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56CD" w:rsidRDefault="00E456CD">
      <w:pPr>
        <w:pStyle w:val="Normal0"/>
        <w:sectPr w:rsidR="00E456CD">
          <w:headerReference w:type="even" r:id="rId6"/>
          <w:headerReference w:type="default" r:id="rId7"/>
          <w:footerReference w:type="even" r:id="rId8"/>
          <w:footerReference w:type="default" r:id="rId9"/>
          <w:headerReference w:type="first" r:id="rId10"/>
          <w:footerReference w:type="first" r:id="rId11"/>
          <w:pgSz w:w="12240" w:h="15840"/>
          <w:pgMar w:top="840" w:right="1000" w:bottom="840" w:left="1000" w:header="400" w:footer="400" w:gutter="0"/>
          <w:cols w:space="720"/>
          <w:titlePg/>
        </w:sectPr>
      </w:pPr>
    </w:p>
    <w:p w:rsidR="00E456CD" w:rsidRDefault="00E456CD">
      <w:pPr>
        <w:pStyle w:val="Normal0"/>
      </w:pPr>
    </w:p>
    <w:p w:rsidR="00E456CD" w:rsidRDefault="00000000">
      <w:pPr>
        <w:pStyle w:val="Heading1"/>
        <w:keepNext w:val="0"/>
        <w:widowControl w:val="0"/>
        <w:spacing w:after="200" w:line="340" w:lineRule="atLeast"/>
        <w:jc w:val="center"/>
      </w:pPr>
      <w:r>
        <w:rPr>
          <w:rFonts w:eastAsia="Arial"/>
          <w:color w:val="000000"/>
          <w:sz w:val="28"/>
        </w:rPr>
        <w:t>Brown v. Stoddard</w:t>
      </w:r>
    </w:p>
    <w:p w:rsidR="00E456CD" w:rsidRDefault="00000000">
      <w:pPr>
        <w:pStyle w:val="Normal0"/>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0"/>
        <w:widowControl w:val="0"/>
        <w:spacing w:before="120" w:line="260" w:lineRule="atLeast"/>
        <w:jc w:val="center"/>
      </w:pPr>
      <w:r>
        <w:rPr>
          <w:rFonts w:ascii="Arial" w:eastAsia="Arial" w:hAnsi="Arial" w:cs="Arial"/>
          <w:color w:val="000000"/>
          <w:sz w:val="20"/>
        </w:rPr>
        <w:t>August 21, 2019, Filed</w:t>
      </w:r>
    </w:p>
    <w:p w:rsidR="00E456CD" w:rsidRDefault="00000000">
      <w:pPr>
        <w:pStyle w:val="Normal0"/>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18-1943</w:t>
      </w:r>
    </w:p>
    <w:p w:rsidR="00E456CD" w:rsidRDefault="00E456CD">
      <w:pPr>
        <w:pStyle w:val="Normal0"/>
        <w:widowControl w:val="0"/>
        <w:spacing w:line="240" w:lineRule="atLeast"/>
        <w:jc w:val="both"/>
      </w:pPr>
      <w:bookmarkStart w:id="0" w:name="Bookmark_1"/>
      <w:bookmarkEnd w:id="0"/>
    </w:p>
    <w:p w:rsidR="00E456CD" w:rsidRDefault="00000000">
      <w:pPr>
        <w:pStyle w:val="Normal0"/>
        <w:widowControl w:val="0"/>
        <w:spacing w:before="200" w:line="240" w:lineRule="atLeast"/>
      </w:pPr>
      <w:bookmarkStart w:id="1" w:name="Reporter"/>
      <w:bookmarkEnd w:id="1"/>
      <w:r>
        <w:rPr>
          <w:rFonts w:ascii="Arial" w:eastAsia="Arial" w:hAnsi="Arial" w:cs="Arial"/>
          <w:b/>
          <w:color w:val="000000"/>
          <w:sz w:val="18"/>
        </w:rPr>
        <w:t>Reporter</w:t>
      </w:r>
    </w:p>
    <w:p w:rsidR="00E456CD" w:rsidRDefault="00000000">
      <w:pPr>
        <w:pStyle w:val="Normal0"/>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2019 U.S. App. LEXIS 25043 *</w:t>
      </w:r>
    </w:p>
    <w:p w:rsidR="00E456CD" w:rsidRDefault="00000000">
      <w:pPr>
        <w:pStyle w:val="Normal0"/>
        <w:widowControl w:val="0"/>
        <w:spacing w:before="120" w:line="260" w:lineRule="atLeast"/>
      </w:pPr>
      <w:r>
        <w:rPr>
          <w:rFonts w:ascii="Arial" w:eastAsia="Arial" w:hAnsi="Arial" w:cs="Arial"/>
          <w:color w:val="000000"/>
          <w:sz w:val="20"/>
        </w:rPr>
        <w:t>DAVID BROWN, Plaintiff-Appellant, v. CATHLEEN STODDARD, Acting Warden, et al., Defendants-Appellees, and JOHN PRELESNIK, Warden, et al., Defendants.</w:t>
      </w:r>
    </w:p>
    <w:p w:rsidR="00E456CD" w:rsidRDefault="00000000">
      <w:pPr>
        <w:pStyle w:val="Normal0"/>
        <w:widowControl w:val="0"/>
        <w:spacing w:before="240" w:line="260" w:lineRule="atLeast"/>
        <w:jc w:val="both"/>
      </w:pPr>
      <w:bookmarkStart w:id="2" w:name="Notice"/>
      <w:bookmarkEnd w:id="2"/>
      <w:r>
        <w:rPr>
          <w:rFonts w:ascii="Arial" w:eastAsia="Arial" w:hAnsi="Arial" w:cs="Arial"/>
          <w:b/>
          <w:color w:val="000000"/>
          <w:sz w:val="20"/>
        </w:rPr>
        <w:t>Notice:</w:t>
      </w:r>
      <w:r>
        <w:rPr>
          <w:rFonts w:ascii="Arial" w:eastAsia="Arial" w:hAnsi="Arial" w:cs="Arial"/>
          <w:color w:val="000000"/>
          <w:sz w:val="20"/>
        </w:rPr>
        <w:t> </w:t>
      </w:r>
      <w:bookmarkStart w:id="3" w:name="Bookmark_para_1"/>
      <w:bookmarkEnd w:id="3"/>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0"/>
        <w:widowControl w:val="0"/>
        <w:spacing w:before="240" w:line="260" w:lineRule="atLeast"/>
        <w:jc w:val="both"/>
      </w:pPr>
      <w:bookmarkStart w:id="4" w:name="Prior_History"/>
      <w:bookmarkEnd w:id="4"/>
      <w:r>
        <w:rPr>
          <w:rFonts w:ascii="Arial" w:eastAsia="Arial" w:hAnsi="Arial" w:cs="Arial"/>
          <w:b/>
          <w:color w:val="000000"/>
          <w:sz w:val="20"/>
        </w:rPr>
        <w:t>Prior History:</w:t>
      </w:r>
      <w:r>
        <w:rPr>
          <w:rFonts w:ascii="Arial" w:eastAsia="Arial" w:hAnsi="Arial" w:cs="Arial"/>
          <w:color w:val="000000"/>
          <w:sz w:val="20"/>
        </w:rPr>
        <w:t> </w:t>
      </w:r>
      <w:bookmarkStart w:id="5" w:name="Bookmark_para_2"/>
      <w:bookmarkEnd w:id="5"/>
      <w:r>
        <w:rPr>
          <w:rFonts w:ascii="Arial" w:eastAsia="Arial" w:hAnsi="Arial" w:cs="Arial"/>
          <w:color w:val="000000"/>
          <w:sz w:val="20"/>
        </w:rPr>
        <w:t> [*1] ON APPEAL FROM THE UNITED STATES DISTRICT COURT FOR THE WESTERN DISTRICT OF MICHIGAN.</w:t>
      </w:r>
    </w:p>
    <w:p w:rsidR="00E456CD" w:rsidRDefault="00000000">
      <w:pPr>
        <w:pStyle w:val="Normal0"/>
        <w:widowControl w:val="0"/>
        <w:spacing w:before="120" w:line="260" w:lineRule="atLeast"/>
      </w:pPr>
      <w:r>
        <w:rPr>
          <w:rFonts w:ascii="Arial" w:eastAsia="Arial" w:hAnsi="Arial" w:cs="Arial"/>
          <w:color w:val="000000"/>
          <w:sz w:val="20"/>
        </w:rPr>
        <w:t>Brown v. Prelesnik, 2016 U.S. Dist. LEXIS 37369 (W.D. Mich., Mar. 23, 2016)</w:t>
      </w:r>
    </w:p>
    <w:p w:rsidR="00E456CD" w:rsidRDefault="00000000">
      <w:pPr>
        <w:pStyle w:val="Normal0"/>
        <w:widowControl w:val="0"/>
        <w:spacing w:before="240" w:line="260" w:lineRule="atLeast"/>
      </w:pPr>
      <w:bookmarkStart w:id="6" w:name="Counsel"/>
      <w:bookmarkEnd w:id="6"/>
      <w:r>
        <w:rPr>
          <w:rFonts w:ascii="Arial" w:eastAsia="Arial" w:hAnsi="Arial" w:cs="Arial"/>
          <w:b/>
          <w:color w:val="000000"/>
          <w:sz w:val="20"/>
        </w:rPr>
        <w:t>Counsel:</w:t>
      </w:r>
      <w:r>
        <w:rPr>
          <w:rFonts w:ascii="Arial" w:eastAsia="Arial" w:hAnsi="Arial" w:cs="Arial"/>
          <w:color w:val="000000"/>
          <w:sz w:val="20"/>
        </w:rPr>
        <w:t> David Brown, Plaintiff - Appellant, Pro se, Ionia, MI.</w:t>
      </w:r>
    </w:p>
    <w:p w:rsidR="00E456CD" w:rsidRDefault="00000000">
      <w:pPr>
        <w:pStyle w:val="Normal0"/>
        <w:widowControl w:val="0"/>
        <w:spacing w:before="120" w:line="260" w:lineRule="atLeast"/>
      </w:pPr>
      <w:r>
        <w:rPr>
          <w:rFonts w:ascii="Arial" w:eastAsia="Arial" w:hAnsi="Arial" w:cs="Arial"/>
          <w:color w:val="000000"/>
          <w:sz w:val="20"/>
        </w:rPr>
        <w:t>For [unknown] Lahr, C.O., DANIEL H. HEYNS, Director of MDOC, Michigan Department of Corrections, P. SHOARD, Sergeants, Nannette Norwood, D.W., Erica Huss, D.W., Unknown Gilkey, Rum, Jody Lebarre, Hum, CATHLEEN STODDARD, Acting Warden, JOHN PRELESNIK, Warden, Defendants, Defendants - Appellees: Michael Richard Dean, Assistant Attorney General, Office of the Attorney General, Lansing, MI.</w:t>
      </w:r>
    </w:p>
    <w:p w:rsidR="00E456CD" w:rsidRDefault="00000000">
      <w:pPr>
        <w:pStyle w:val="Normal0"/>
        <w:widowControl w:val="0"/>
        <w:spacing w:before="240" w:line="260" w:lineRule="atLeast"/>
      </w:pPr>
      <w:bookmarkStart w:id="7" w:name="Judges"/>
      <w:bookmarkEnd w:id="7"/>
      <w:r>
        <w:rPr>
          <w:rFonts w:ascii="Arial" w:eastAsia="Arial" w:hAnsi="Arial" w:cs="Arial"/>
          <w:b/>
          <w:color w:val="000000"/>
          <w:sz w:val="20"/>
        </w:rPr>
        <w:t>Judges:</w:t>
      </w:r>
      <w:r>
        <w:rPr>
          <w:rFonts w:ascii="Arial" w:eastAsia="Arial" w:hAnsi="Arial" w:cs="Arial"/>
          <w:color w:val="000000"/>
          <w:sz w:val="20"/>
        </w:rPr>
        <w:t> Before: ROGERS, SUTTON, and READLER, Circuit Judges.</w:t>
      </w:r>
    </w:p>
    <w:p w:rsidR="00E456CD" w:rsidRDefault="00000000">
      <w:pPr>
        <w:pStyle w:val="Normal0"/>
        <w:keepNext/>
        <w:widowControl w:val="0"/>
        <w:spacing w:before="240" w:line="340" w:lineRule="atLeast"/>
      </w:pPr>
      <w:bookmarkStart w:id="8" w:name="Opinion"/>
      <w:bookmarkEnd w:id="8"/>
      <w:r>
        <w:rPr>
          <w:rFonts w:ascii="Arial" w:eastAsia="Arial" w:hAnsi="Arial" w:cs="Arial"/>
          <w:b/>
          <w:color w:val="000000"/>
          <w:sz w:val="28"/>
        </w:rPr>
        <w:t>Opinion</w:t>
      </w:r>
    </w:p>
    <w:p w:rsidR="00E456CD" w:rsidRDefault="00E22289">
      <w:pPr>
        <w:pStyle w:val="Normal0"/>
        <w:spacing w:line="6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25400</wp:posOffset>
                </wp:positionV>
                <wp:extent cx="3187700" cy="0"/>
                <wp:effectExtent l="21590" t="19050" r="19685" b="19050"/>
                <wp:wrapTopAndBottom/>
                <wp:docPr id="1137503102"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E2AC4" id="Line 1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0"/>
        <w:spacing w:line="120" w:lineRule="exact"/>
      </w:pPr>
    </w:p>
    <w:p w:rsidR="00E456CD" w:rsidRDefault="00000000">
      <w:pPr>
        <w:pStyle w:val="Normal0"/>
        <w:widowControl w:val="0"/>
        <w:spacing w:before="240" w:line="260" w:lineRule="atLeast"/>
      </w:pPr>
      <w:r>
        <w:br/>
      </w:r>
      <w:r>
        <w:rPr>
          <w:rFonts w:ascii="Arial" w:eastAsia="Arial" w:hAnsi="Arial" w:cs="Arial"/>
          <w:color w:val="000000"/>
          <w:sz w:val="20"/>
          <w:u w:val="single"/>
        </w:rPr>
        <w:t>ORDER</w:t>
      </w:r>
    </w:p>
    <w:p w:rsidR="00E456CD" w:rsidRDefault="00000000">
      <w:pPr>
        <w:pStyle w:val="Normal0"/>
        <w:widowControl w:val="0"/>
        <w:spacing w:before="200" w:line="260" w:lineRule="atLeast"/>
        <w:jc w:val="both"/>
      </w:pPr>
      <w:bookmarkStart w:id="9" w:name="Bookmark_para_3"/>
      <w:bookmarkEnd w:id="9"/>
      <w:r>
        <w:rPr>
          <w:rFonts w:ascii="Arial" w:eastAsia="Arial" w:hAnsi="Arial" w:cs="Arial"/>
          <w:color w:val="000000"/>
          <w:sz w:val="20"/>
        </w:rPr>
        <w:t>In 2012, David Brown sued the Michigan Department of Corrections ("MDOC"), along with multiple MDOC officials, for alleged statutory and constitutional violations that occurred while he was incarcerated in Michigan's Ionia Correctional Facility. Among other claims, Brown alleged that the defendants failed to accommodate his degenerative eye condition in violation of the Americans with Disabilities Act ("ADA") and the Rehabilitation Act ("RA"), and that multiple defendants violated his Eighth Amendment right to be free from cruel and unusual punishment under 42 U.S.C. § 1983. The district court dismissed Brown's claims against twelve defendants [*2]  for failure to state a claim, including Cathleen Stoddard (former warden at Ionia), Erika Huss (former deputy warden at Ionia), Nannette Norwood (former deputy warden at Ionia), and Bo Gilkey (former resident unit manager at Ionia). The court subsequently granted summary judgment to Jody LeBarre (Ionia's health unit manager). Brown's ADA and RA claims against four defendants went to trial, and the jury found in favor of the defendants. On appeal, Brown challenges the district court's pre-trial dismissal of his claims against Stoddard, Huss, Norwood, and Gilkey, along with the district court's grant of summary judgment to LeBarre. None of Brown's arguments succeeds.</w:t>
      </w:r>
    </w:p>
    <w:p w:rsidR="00E456CD" w:rsidRDefault="00000000">
      <w:pPr>
        <w:pStyle w:val="Normal0"/>
        <w:widowControl w:val="0"/>
        <w:spacing w:before="200" w:line="260" w:lineRule="atLeast"/>
        <w:jc w:val="both"/>
      </w:pPr>
      <w:bookmarkStart w:id="10" w:name="Bookmark_para_4"/>
      <w:bookmarkEnd w:id="10"/>
      <w:r>
        <w:rPr>
          <w:rFonts w:ascii="Arial" w:eastAsia="Arial" w:hAnsi="Arial" w:cs="Arial"/>
          <w:color w:val="000000"/>
          <w:sz w:val="20"/>
        </w:rPr>
        <w:t>Brown identifies the following as claims that should go forward against Stoddard, Huss, Norwood, Gilkey, and LeBarre. First, Brown alleges that Stoddard was made aware of Brown's need for special accommodations through the grievance process and personal conversations but failed to either modify Ionia's facilities and policies or recommend that Brown be transferred to a facility that could accommodate him. Second, Brown claims that he made Huss aware that Ionia did not properly accommodate his needs under the ADA and the RA, [*3]  and that Huss punished Brown for filing grievances concerning Ionia's lack of handicap accommodations by placing him in a cell next to a mentally ill prisoner who would throw urine and feces at Brown's door and squirt it through the air vents. Third, Brown asserts that he informed Norwood during a grievance interview that Ionia did not accommodate his needs under the ADA and the RA, and provided supporting documentation. Norwood allegedly disregarded Brown's complaints, which led to Brown slipping in the shower, declining to shower for 288 days, and developing a rash. Fourth, Brown contends that he provided Gilkey with documentation of his need for accommodations, but Gilkey disregarded Brown's needs by failing to request that Brown be transferred to another facility. Fifth, Brown alleges that LeBarre reviewed Brown's accommodations sheets but disregarded his need for ramps, elevators, and barrier free housing, took away his walking stick, and refused to indicate on Brown's transfer sheet that Brown cannot be housed at Ionia due to his medical needs.</w:t>
      </w:r>
    </w:p>
    <w:p w:rsidR="00E456CD" w:rsidRDefault="00000000">
      <w:pPr>
        <w:pStyle w:val="Normal0"/>
        <w:widowControl w:val="0"/>
        <w:spacing w:before="200" w:line="260" w:lineRule="atLeast"/>
        <w:jc w:val="both"/>
      </w:pPr>
      <w:bookmarkStart w:id="11" w:name="Bookmark_para_5"/>
      <w:bookmarkStart w:id="12" w:name="Bookmark_I5WXCMF92D6NWG0020000400"/>
      <w:bookmarkEnd w:id="11"/>
      <w:bookmarkEnd w:id="12"/>
      <w:r>
        <w:rPr>
          <w:rFonts w:ascii="Arial" w:eastAsia="Arial" w:hAnsi="Arial" w:cs="Arial"/>
          <w:color w:val="000000"/>
          <w:sz w:val="20"/>
        </w:rPr>
        <w:t xml:space="preserve">The district court properly dismissed Brown's claims against Stoddard, Huss, Norwood, and Gilkey for failure to state a claim under FED. R. CIV. PROC. 12(b)(6), [*4]  for the reasons given by the district court. </w:t>
      </w:r>
      <w:r>
        <w:rPr>
          <w:rFonts w:ascii="Arial" w:eastAsia="Arial" w:hAnsi="Arial" w:cs="Arial"/>
          <w:i/>
          <w:color w:val="000000"/>
          <w:sz w:val="20"/>
        </w:rPr>
        <w:t xml:space="preserve">See </w:t>
      </w:r>
      <w:bookmarkStart w:id="13" w:name="Bookmark_I5WXCMF92D6NWG0010000400"/>
      <w:bookmarkEnd w:id="13"/>
      <w:r>
        <w:rPr>
          <w:rFonts w:ascii="Arial" w:eastAsia="Arial" w:hAnsi="Arial" w:cs="Arial"/>
          <w:i/>
          <w:color w:val="000000"/>
          <w:sz w:val="20"/>
        </w:rPr>
        <w:t>Brown v. Prelesnik, et al.</w:t>
      </w:r>
      <w:r>
        <w:rPr>
          <w:rFonts w:ascii="Arial" w:eastAsia="Arial" w:hAnsi="Arial" w:cs="Arial"/>
          <w:color w:val="000000"/>
          <w:sz w:val="20"/>
        </w:rPr>
        <w:t xml:space="preserve">, No. 1:12-cv-873, 2013 U.S. Dist. LEXIS 30361, 2013 WL 838289, at *4-8, *16-17 (W.D. Mich. Mar. 6, 2013). </w:t>
      </w:r>
      <w:bookmarkStart w:id="14" w:name="Bookmark_I5WXCMF92D6NWG0040000400"/>
      <w:bookmarkEnd w:id="14"/>
      <w:r>
        <w:rPr>
          <w:rFonts w:ascii="Arial" w:eastAsia="Arial" w:hAnsi="Arial" w:cs="Arial"/>
          <w:color w:val="000000"/>
          <w:sz w:val="20"/>
        </w:rPr>
        <w:t xml:space="preserve">Stoddard, Huss, Norwood, and Gilkey were allegedly aware of Ionia's handicap inaccessibility and failed to intervene on behalf of Brown, after which Brown suffered injuries to his neck and back after slipping in the shower on multiple occasions. </w:t>
      </w:r>
      <w:bookmarkStart w:id="15" w:name="Bookmark_I5WXCMF92D6NWG0040000400_2"/>
      <w:bookmarkStart w:id="16" w:name="Bookmark_I5WXCMFB2SF7RK0030000400"/>
      <w:bookmarkEnd w:id="15"/>
      <w:bookmarkEnd w:id="16"/>
      <w:r>
        <w:rPr>
          <w:rFonts w:ascii="Arial" w:eastAsia="Arial" w:hAnsi="Arial" w:cs="Arial"/>
          <w:color w:val="000000"/>
          <w:sz w:val="20"/>
        </w:rPr>
        <w:t xml:space="preserve">However, a mere awareness of wrongdoing is insufficient to establish liability under § 1983. "Supervisory liability under § 1983 does not attach when it is premised on a mere failure to act; it 'must be based on active unconstitutional behavior.'" </w:t>
      </w:r>
      <w:bookmarkStart w:id="17" w:name="Bookmark_I5WXCMF92D6NWG0030000400"/>
      <w:bookmarkEnd w:id="17"/>
      <w:r>
        <w:rPr>
          <w:rFonts w:ascii="Arial" w:eastAsia="Arial" w:hAnsi="Arial" w:cs="Arial"/>
          <w:i/>
          <w:color w:val="000000"/>
          <w:sz w:val="20"/>
        </w:rPr>
        <w:t>Greene v. Barber</w:t>
      </w:r>
      <w:r>
        <w:rPr>
          <w:rFonts w:ascii="Arial" w:eastAsia="Arial" w:hAnsi="Arial" w:cs="Arial"/>
          <w:color w:val="000000"/>
          <w:sz w:val="20"/>
        </w:rPr>
        <w:t xml:space="preserve">, 310 F.3d 889, 899 (6th Cir. 2002) (quoting </w:t>
      </w:r>
      <w:bookmarkStart w:id="18" w:name="Bookmark_I5WXCMF92D6NWG0050000400"/>
      <w:bookmarkEnd w:id="18"/>
      <w:r>
        <w:rPr>
          <w:rFonts w:ascii="Arial" w:eastAsia="Arial" w:hAnsi="Arial" w:cs="Arial"/>
          <w:i/>
          <w:color w:val="000000"/>
          <w:sz w:val="20"/>
        </w:rPr>
        <w:t>Bass v. Robinson</w:t>
      </w:r>
      <w:r>
        <w:rPr>
          <w:rFonts w:ascii="Arial" w:eastAsia="Arial" w:hAnsi="Arial" w:cs="Arial"/>
          <w:color w:val="000000"/>
          <w:sz w:val="20"/>
        </w:rPr>
        <w:t xml:space="preserve">, 167 F.3d 1041, 1048 (6th Cir. 1999)). </w:t>
      </w:r>
      <w:bookmarkStart w:id="19" w:name="Bookmark_I5WXCMFB2SF7RK0030000400_2"/>
      <w:bookmarkEnd w:id="19"/>
      <w:r>
        <w:rPr>
          <w:rFonts w:ascii="Arial" w:eastAsia="Arial" w:hAnsi="Arial" w:cs="Arial"/>
          <w:color w:val="000000"/>
          <w:sz w:val="20"/>
        </w:rPr>
        <w:t xml:space="preserve">"Because § 1983 liability cannot be imposed under a theory of </w:t>
      </w:r>
      <w:r>
        <w:rPr>
          <w:rFonts w:ascii="Arial" w:eastAsia="Arial" w:hAnsi="Arial" w:cs="Arial"/>
          <w:i/>
          <w:color w:val="000000"/>
          <w:sz w:val="20"/>
        </w:rPr>
        <w:t>respondeat superior</w:t>
      </w:r>
      <w:r>
        <w:rPr>
          <w:rFonts w:ascii="Arial" w:eastAsia="Arial" w:hAnsi="Arial" w:cs="Arial"/>
          <w:color w:val="000000"/>
          <w:sz w:val="20"/>
        </w:rPr>
        <w:t xml:space="preserve">, proof of personal involvement is required to incur personal liability." </w:t>
      </w:r>
      <w:bookmarkStart w:id="20" w:name="Bookmark_I5WXCMFB2SF7RK0020000400"/>
      <w:bookmarkEnd w:id="20"/>
      <w:r>
        <w:rPr>
          <w:rFonts w:ascii="Arial" w:eastAsia="Arial" w:hAnsi="Arial" w:cs="Arial"/>
          <w:i/>
          <w:color w:val="000000"/>
          <w:sz w:val="20"/>
        </w:rPr>
        <w:t>Grinter v. Knight</w:t>
      </w:r>
      <w:r>
        <w:rPr>
          <w:rFonts w:ascii="Arial" w:eastAsia="Arial" w:hAnsi="Arial" w:cs="Arial"/>
          <w:color w:val="000000"/>
          <w:sz w:val="20"/>
        </w:rPr>
        <w:t xml:space="preserve">, 532 F.3d 567, 575 (6th Cir. 2008) (quoting </w:t>
      </w:r>
      <w:bookmarkStart w:id="21" w:name="Bookmark_I5WXCMFB2SF7RK0040000400"/>
      <w:bookmarkEnd w:id="21"/>
      <w:r>
        <w:rPr>
          <w:rFonts w:ascii="Arial" w:eastAsia="Arial" w:hAnsi="Arial" w:cs="Arial"/>
          <w:i/>
          <w:color w:val="000000"/>
          <w:sz w:val="20"/>
        </w:rPr>
        <w:t>Miller v. Calhoun County</w:t>
      </w:r>
      <w:r>
        <w:rPr>
          <w:rFonts w:ascii="Arial" w:eastAsia="Arial" w:hAnsi="Arial" w:cs="Arial"/>
          <w:color w:val="000000"/>
          <w:sz w:val="20"/>
        </w:rPr>
        <w:t>, 408 F.3d 803, 817 n.3 (6th Cir. 2005)). Brown does not allege that the defendants were personally involved in causing Brown's slip-and-fall injuries, and Brown's Amended Complaint therefore does not state a claim against the defendants based on their awareness of Ionia's handicap inaccessibility.</w:t>
      </w:r>
    </w:p>
    <w:p w:rsidR="00E456CD" w:rsidRDefault="00000000">
      <w:pPr>
        <w:pStyle w:val="Normal0"/>
        <w:widowControl w:val="0"/>
        <w:spacing w:before="200" w:line="260" w:lineRule="atLeast"/>
        <w:jc w:val="both"/>
      </w:pPr>
      <w:bookmarkStart w:id="22" w:name="Bookmark_para_6"/>
      <w:bookmarkStart w:id="23" w:name="Bookmark_I5WXCMFC2SF7RN0020000400"/>
      <w:bookmarkEnd w:id="22"/>
      <w:bookmarkEnd w:id="23"/>
      <w:r>
        <w:rPr>
          <w:rFonts w:ascii="Arial" w:eastAsia="Arial" w:hAnsi="Arial" w:cs="Arial"/>
          <w:color w:val="000000"/>
          <w:sz w:val="20"/>
        </w:rPr>
        <w:t xml:space="preserve">To the extent that the defendants were allegedly aware of Brown's exclusion from certain programs and activities at Ionia, their failure to intervene does not amount to an Eighth Amendment violation for which [*5]  the defendants would be liable. Although Brown's brief summarily asserts that various defendants were deliberately indifferent to his medical needs, his Amended Complaint does not allege circumstances in which the defendants disregarded a risk of harm serious enough to violate the Eighth Amendment. </w:t>
      </w:r>
      <w:bookmarkStart w:id="24" w:name="Bookmark_I5WXCMFC2D6NWS0050000400"/>
      <w:bookmarkEnd w:id="24"/>
      <w:r>
        <w:rPr>
          <w:rFonts w:ascii="Arial" w:eastAsia="Arial" w:hAnsi="Arial" w:cs="Arial"/>
          <w:color w:val="000000"/>
          <w:sz w:val="20"/>
        </w:rPr>
        <w:t xml:space="preserve">To state a claim for an Eighth Amendment violation against a prison official, an inmate must assert the following: (1) that the official failed to protect the inmate from a "risk of harm" that "must be objectively sufficiently serious" from the perspective of a layperson, </w:t>
      </w:r>
      <w:bookmarkStart w:id="25" w:name="Bookmark_I5WXCMFC2SF7RN0010000400"/>
      <w:bookmarkEnd w:id="25"/>
      <w:r>
        <w:rPr>
          <w:rFonts w:ascii="Arial" w:eastAsia="Arial" w:hAnsi="Arial" w:cs="Arial"/>
          <w:i/>
          <w:color w:val="000000"/>
          <w:sz w:val="20"/>
        </w:rPr>
        <w:t>Mingus v. Butler</w:t>
      </w:r>
      <w:r>
        <w:rPr>
          <w:rFonts w:ascii="Arial" w:eastAsia="Arial" w:hAnsi="Arial" w:cs="Arial"/>
          <w:color w:val="000000"/>
          <w:sz w:val="20"/>
        </w:rPr>
        <w:t xml:space="preserve">, 591 F.3d 474, 480 (6th Cir. 2010) (quoting </w:t>
      </w:r>
      <w:bookmarkStart w:id="26" w:name="Bookmark_I5WXCMFC2SF7RN0030000400"/>
      <w:bookmarkEnd w:id="26"/>
      <w:r>
        <w:rPr>
          <w:rFonts w:ascii="Arial" w:eastAsia="Arial" w:hAnsi="Arial" w:cs="Arial"/>
          <w:i/>
          <w:color w:val="000000"/>
          <w:sz w:val="20"/>
        </w:rPr>
        <w:t>Harrison v. Ash</w:t>
      </w:r>
      <w:r>
        <w:rPr>
          <w:rFonts w:ascii="Arial" w:eastAsia="Arial" w:hAnsi="Arial" w:cs="Arial"/>
          <w:color w:val="000000"/>
          <w:sz w:val="20"/>
        </w:rPr>
        <w:t xml:space="preserve">, 539 F.3d 510, 518 (6th Cir. 2008)); and (2) "that the official acted with 'deliberate indifference' to inmate health or safety," </w:t>
      </w:r>
      <w:bookmarkStart w:id="27" w:name="Bookmark_I5WXCMFC2SF7RN0050000400"/>
      <w:bookmarkEnd w:id="27"/>
      <w:r>
        <w:rPr>
          <w:rFonts w:ascii="Arial" w:eastAsia="Arial" w:hAnsi="Arial" w:cs="Arial"/>
          <w:i/>
          <w:color w:val="000000"/>
          <w:sz w:val="20"/>
        </w:rPr>
        <w:t>Mingus</w:t>
      </w:r>
      <w:r>
        <w:rPr>
          <w:rFonts w:ascii="Arial" w:eastAsia="Arial" w:hAnsi="Arial" w:cs="Arial"/>
          <w:color w:val="000000"/>
          <w:sz w:val="20"/>
        </w:rPr>
        <w:t xml:space="preserve">, 591 F.3d at 480 (quoting </w:t>
      </w:r>
      <w:bookmarkStart w:id="28" w:name="Bookmark_I5WXCMFC2D6NWS0020000400"/>
      <w:bookmarkEnd w:id="28"/>
      <w:r>
        <w:rPr>
          <w:rFonts w:ascii="Arial" w:eastAsia="Arial" w:hAnsi="Arial" w:cs="Arial"/>
          <w:i/>
          <w:color w:val="000000"/>
          <w:sz w:val="20"/>
        </w:rPr>
        <w:t>Farmer v. Brennan</w:t>
      </w:r>
      <w:r>
        <w:rPr>
          <w:rFonts w:ascii="Arial" w:eastAsia="Arial" w:hAnsi="Arial" w:cs="Arial"/>
          <w:color w:val="000000"/>
          <w:sz w:val="20"/>
        </w:rPr>
        <w:t xml:space="preserve">, 511 U.S. 825, 834, 114 S. Ct. 1970, 128 L. Ed. 2d 811 (1994)). </w:t>
      </w:r>
      <w:bookmarkStart w:id="29" w:name="Bookmark_I5WXCMFC2D6NWS0050000400_2"/>
      <w:bookmarkEnd w:id="29"/>
      <w:r>
        <w:rPr>
          <w:rFonts w:ascii="Arial" w:eastAsia="Arial" w:hAnsi="Arial" w:cs="Arial"/>
          <w:color w:val="000000"/>
          <w:sz w:val="20"/>
        </w:rPr>
        <w:t xml:space="preserve">Merely depriving Brown of reading and writing assistance and of the opportunity to participate in prison programs is not enough to satisfy the first requirement for an Eighth Amendment claim. "[A] prison official cannot be found liable under the Eighth Amendment for denying an inmate humane conditions of confinement unless the official knows of and disregards an excessive risk to inmate health or safety." </w:t>
      </w:r>
      <w:bookmarkStart w:id="30" w:name="Bookmark_I5WXCMFC2D6NWS0040000400"/>
      <w:bookmarkEnd w:id="30"/>
      <w:r>
        <w:rPr>
          <w:rFonts w:ascii="Arial" w:eastAsia="Arial" w:hAnsi="Arial" w:cs="Arial"/>
          <w:i/>
          <w:color w:val="000000"/>
          <w:sz w:val="20"/>
        </w:rPr>
        <w:t>Farmer</w:t>
      </w:r>
      <w:r>
        <w:rPr>
          <w:rFonts w:ascii="Arial" w:eastAsia="Arial" w:hAnsi="Arial" w:cs="Arial"/>
          <w:color w:val="000000"/>
          <w:sz w:val="20"/>
        </w:rPr>
        <w:t>, 511 U.S. at 837. Brown has not claimed that he experienced such an excessive risk to his health or safety as a result of the defendants' actions, and his allegations are therefore [*6]  insufficient to state an Eighth Amendment claim against Stoddard, Huss, Norwood, and Gilkey.</w:t>
      </w:r>
    </w:p>
    <w:p w:rsidR="00E456CD" w:rsidRDefault="00000000">
      <w:pPr>
        <w:pStyle w:val="Normal0"/>
        <w:widowControl w:val="0"/>
        <w:spacing w:before="200" w:line="260" w:lineRule="atLeast"/>
        <w:jc w:val="both"/>
      </w:pPr>
      <w:bookmarkStart w:id="31" w:name="Bookmark_para_7"/>
      <w:bookmarkStart w:id="32" w:name="Bookmark_I5WXCMFD2D6NWT0020000400"/>
      <w:bookmarkEnd w:id="31"/>
      <w:bookmarkEnd w:id="32"/>
      <w:r>
        <w:rPr>
          <w:rFonts w:ascii="Arial" w:eastAsia="Arial" w:hAnsi="Arial" w:cs="Arial"/>
          <w:color w:val="000000"/>
          <w:sz w:val="20"/>
        </w:rPr>
        <w:t xml:space="preserve">On appeal, Brown cites the ADA and the RA in his discussion of the allegations against Stoddard, Huss, and Norwood, suggesting that he seeks to challenge the dismissal of his ADA and RA claims against those defendants. However, Brown's Amended Complaint expressly sued Stoddard, Huss, and Norwood in their individual capacities, and neither the ADA nor the RA permits suits against defendants in their individual capacities. </w:t>
      </w:r>
      <w:r>
        <w:rPr>
          <w:rFonts w:ascii="Arial" w:eastAsia="Arial" w:hAnsi="Arial" w:cs="Arial"/>
          <w:i/>
          <w:color w:val="000000"/>
          <w:sz w:val="20"/>
        </w:rPr>
        <w:t xml:space="preserve">See </w:t>
      </w:r>
      <w:bookmarkStart w:id="33" w:name="Bookmark_I5WXCMFD2D6NWT0010000400"/>
      <w:bookmarkEnd w:id="33"/>
      <w:r>
        <w:rPr>
          <w:rFonts w:ascii="Arial" w:eastAsia="Arial" w:hAnsi="Arial" w:cs="Arial"/>
          <w:i/>
          <w:color w:val="000000"/>
          <w:sz w:val="20"/>
        </w:rPr>
        <w:t>Brown</w:t>
      </w:r>
      <w:r>
        <w:rPr>
          <w:rFonts w:ascii="Arial" w:eastAsia="Arial" w:hAnsi="Arial" w:cs="Arial"/>
          <w:color w:val="000000"/>
          <w:sz w:val="20"/>
        </w:rPr>
        <w:t xml:space="preserve">, No. 12-cv-00873, 2013 U.S. Dist. LEXIS 30361, 2013 WL 838289, at *17; </w:t>
      </w:r>
      <w:r>
        <w:rPr>
          <w:rFonts w:ascii="Arial" w:eastAsia="Arial" w:hAnsi="Arial" w:cs="Arial"/>
          <w:i/>
          <w:color w:val="000000"/>
          <w:sz w:val="20"/>
        </w:rPr>
        <w:t xml:space="preserve">see also </w:t>
      </w:r>
      <w:bookmarkStart w:id="34" w:name="Bookmark_I5WXCMFD2D6NWT0030000400"/>
      <w:bookmarkEnd w:id="34"/>
      <w:r>
        <w:rPr>
          <w:rFonts w:ascii="Arial" w:eastAsia="Arial" w:hAnsi="Arial" w:cs="Arial"/>
          <w:i/>
          <w:color w:val="000000"/>
          <w:sz w:val="20"/>
        </w:rPr>
        <w:t>Everson v. Leis</w:t>
      </w:r>
      <w:r>
        <w:rPr>
          <w:rFonts w:ascii="Arial" w:eastAsia="Arial" w:hAnsi="Arial" w:cs="Arial"/>
          <w:color w:val="000000"/>
          <w:sz w:val="20"/>
        </w:rPr>
        <w:t xml:space="preserve">, 556 F.3d 484, 501 n.7 (6th Cir. 2009); </w:t>
      </w:r>
      <w:bookmarkStart w:id="35" w:name="Bookmark_I5WXCMFD2D6NWT0050000400"/>
      <w:bookmarkEnd w:id="35"/>
      <w:r>
        <w:rPr>
          <w:rFonts w:ascii="Arial" w:eastAsia="Arial" w:hAnsi="Arial" w:cs="Arial"/>
          <w:i/>
          <w:color w:val="000000"/>
          <w:sz w:val="20"/>
        </w:rPr>
        <w:t>Lee v. Mich. Parole Bd</w:t>
      </w:r>
      <w:r>
        <w:rPr>
          <w:rFonts w:ascii="Arial" w:eastAsia="Arial" w:hAnsi="Arial" w:cs="Arial"/>
          <w:color w:val="000000"/>
          <w:sz w:val="20"/>
        </w:rPr>
        <w:t>., 104 F. App'x 490, 493 (6th Cir. 2004). The district court denied Brown permission to amend his complaint for a second time due to the lateness of his request, and Brown does not argue that the denial was erroneous. Accordingly, the ADA and RA claims against Stoddard, Huss, and Norwood were properly dismissed.</w:t>
      </w:r>
    </w:p>
    <w:p w:rsidR="00E456CD" w:rsidRDefault="00000000">
      <w:pPr>
        <w:pStyle w:val="Normal0"/>
        <w:widowControl w:val="0"/>
        <w:spacing w:before="200" w:line="260" w:lineRule="atLeast"/>
        <w:jc w:val="both"/>
      </w:pPr>
      <w:bookmarkStart w:id="36" w:name="Bookmark_para_8"/>
      <w:bookmarkStart w:id="37" w:name="Bookmark_I5WXCMFF2D6NWY0030000400"/>
      <w:bookmarkEnd w:id="36"/>
      <w:bookmarkEnd w:id="37"/>
      <w:r>
        <w:rPr>
          <w:rFonts w:ascii="Arial" w:eastAsia="Arial" w:hAnsi="Arial" w:cs="Arial"/>
          <w:color w:val="000000"/>
          <w:sz w:val="20"/>
        </w:rPr>
        <w:t xml:space="preserve">Stoddard and Gilkey allegedly refused to transfer Brown to a prison facility that could accommodate his disability, but these allegations also fall short of claims for § 1983 liability. "An inmate possesses no inherent constitutional right to placement in any particular prison or in any particular section within the prison system." </w:t>
      </w:r>
      <w:bookmarkStart w:id="38" w:name="Bookmark_I5WXCMFF2D6NWY0020000400"/>
      <w:bookmarkEnd w:id="38"/>
      <w:r>
        <w:rPr>
          <w:rFonts w:ascii="Arial" w:eastAsia="Arial" w:hAnsi="Arial" w:cs="Arial"/>
          <w:i/>
          <w:color w:val="000000"/>
          <w:sz w:val="20"/>
        </w:rPr>
        <w:t>Joseph v. Curtin</w:t>
      </w:r>
      <w:r>
        <w:rPr>
          <w:rFonts w:ascii="Arial" w:eastAsia="Arial" w:hAnsi="Arial" w:cs="Arial"/>
          <w:color w:val="000000"/>
          <w:sz w:val="20"/>
        </w:rPr>
        <w:t xml:space="preserve">, 410 F. App'x 865, 868 (6th Cir. 2010) (quoting </w:t>
      </w:r>
      <w:bookmarkStart w:id="39" w:name="Bookmark_I5WXCMFF2D6NWY0040000400"/>
      <w:bookmarkEnd w:id="39"/>
      <w:r>
        <w:rPr>
          <w:rFonts w:ascii="Arial" w:eastAsia="Arial" w:hAnsi="Arial" w:cs="Arial"/>
          <w:i/>
          <w:color w:val="000000"/>
          <w:sz w:val="20"/>
        </w:rPr>
        <w:t>Williams v. Bass</w:t>
      </w:r>
      <w:r>
        <w:rPr>
          <w:rFonts w:ascii="Arial" w:eastAsia="Arial" w:hAnsi="Arial" w:cs="Arial"/>
          <w:color w:val="000000"/>
          <w:sz w:val="20"/>
        </w:rPr>
        <w:t>, 63 F.3d 483, 485 (1995) (internal alteration omitted)). Brown does not [*7]  explain how the defendants' failure to transfer him was tied to a constitutional violation. The district court did not err in dismissing Brown's claims against Stoddard and Gilkey based on their denial of his requests for transfer.</w:t>
      </w:r>
    </w:p>
    <w:p w:rsidR="00E456CD" w:rsidRDefault="00000000">
      <w:pPr>
        <w:pStyle w:val="Normal0"/>
        <w:widowControl w:val="0"/>
        <w:spacing w:before="200" w:line="260" w:lineRule="atLeast"/>
        <w:jc w:val="both"/>
      </w:pPr>
      <w:bookmarkStart w:id="40" w:name="Bookmark_para_9"/>
      <w:bookmarkEnd w:id="40"/>
      <w:r>
        <w:rPr>
          <w:rFonts w:ascii="Arial" w:eastAsia="Arial" w:hAnsi="Arial" w:cs="Arial"/>
          <w:color w:val="000000"/>
          <w:sz w:val="20"/>
        </w:rPr>
        <w:t xml:space="preserve">Furthermore, Brown does not offer persuasive arguments to reverse the district court's grant of summary judgment to LeBarre. Although LeBarre was allegedly aware of Ionia's inability to accommodate Brown's disability, a mere awareness of wrongdoing—without further personal involvement on the part of LeBarre—is not enough to establish liability under § 1983. Brown also claims that LeBarre authorized the removal of his walking cane and refused to indicate on Brown's transfer sheet that Brown was transferred due to Ionia's inability to accommodate his disability. </w:t>
      </w:r>
      <w:bookmarkStart w:id="41" w:name="Bookmark_I5WXCMFG2HM6YK0020000400"/>
      <w:bookmarkEnd w:id="41"/>
      <w:r>
        <w:rPr>
          <w:rFonts w:ascii="Arial" w:eastAsia="Arial" w:hAnsi="Arial" w:cs="Arial"/>
          <w:color w:val="000000"/>
          <w:sz w:val="20"/>
        </w:rPr>
        <w:t xml:space="preserve">However, both of these claims also fall short of claims for § 1983 liability because Brown does not identify the serious medical needs that were put at risk as a result of LeBarre's actions. While Brown summarily asserts that LeBarre acted with a deliberate indifference to his serious medical needs, he does not provide any further explanation regarding what those needs were or how LeBarre jeopardized them. "Threadbare [*8]  recitals of the elements of a cause of action, supported by mere conclusory statements, do not suffice" to state a claim that would survive a motion to dismiss, much less a motion for summary judgment. </w:t>
      </w:r>
      <w:bookmarkStart w:id="42" w:name="Bookmark_I5WXCMFG2HM6YK0010000400"/>
      <w:bookmarkEnd w:id="42"/>
      <w:r>
        <w:rPr>
          <w:rFonts w:ascii="Arial" w:eastAsia="Arial" w:hAnsi="Arial" w:cs="Arial"/>
          <w:i/>
          <w:color w:val="000000"/>
          <w:sz w:val="20"/>
        </w:rPr>
        <w:t>Ashcroft v. Iqbal</w:t>
      </w:r>
      <w:r>
        <w:rPr>
          <w:rFonts w:ascii="Arial" w:eastAsia="Arial" w:hAnsi="Arial" w:cs="Arial"/>
          <w:color w:val="000000"/>
          <w:sz w:val="20"/>
        </w:rPr>
        <w:t>, 556 U.S. 662, 678, 129 S. Ct. 1937, 173 L. Ed. 2d 868 (2009). Brown's brief does not offer more than conclusory statements with respect to how LeBarre's actions interfered with his serious medical needs. Accordingly, LeBarre's alleged awareness of Ionia's handicap inaccessibility, authorization of the removal of Brown's walking cane, and refusal to properly fill out Brown's prison transfer sheet do not provide a basis for reversing the district court's judgment.</w:t>
      </w:r>
    </w:p>
    <w:p w:rsidR="00E456CD" w:rsidRDefault="00000000">
      <w:pPr>
        <w:pStyle w:val="Normal0"/>
        <w:widowControl w:val="0"/>
        <w:spacing w:before="200" w:line="260" w:lineRule="atLeast"/>
        <w:jc w:val="both"/>
      </w:pPr>
      <w:bookmarkStart w:id="43" w:name="Bookmark_para_10"/>
      <w:bookmarkStart w:id="44" w:name="Bookmark_I5WXCMFG2HM6YK0040000400"/>
      <w:bookmarkEnd w:id="43"/>
      <w:bookmarkEnd w:id="44"/>
      <w:r>
        <w:rPr>
          <w:rFonts w:ascii="Arial" w:eastAsia="Arial" w:hAnsi="Arial" w:cs="Arial"/>
          <w:color w:val="000000"/>
          <w:sz w:val="20"/>
        </w:rPr>
        <w:t xml:space="preserve">Brown's two remaining allegations against Norwood and Huss were not included in his Amended Complaint, and for that reason the allegations do not warrant reversal. First, Brown claims that Huss retaliated against him for filing grievances by ordering him housed next to a mentally ill patient who threw feces and urine at his door and squirted urine through the air vents. Second, Brown claims that Norwood personally required Brown to choose between showering in a non-handicap facility or not showering at all, which allegedly led to Brown's inability to shower for 288 days. Neither of these [*9]  allegations was raised in Brown's Amended Complaint, and we do not address them here in light of "the long-standing rule that this court generally will not consider an argument not raised in the district court and presented for the first time on appeal." </w:t>
      </w:r>
      <w:bookmarkStart w:id="45" w:name="Bookmark_I5WXCMFG2HM6YK0030000400"/>
      <w:bookmarkEnd w:id="45"/>
      <w:r>
        <w:rPr>
          <w:rFonts w:ascii="Arial" w:eastAsia="Arial" w:hAnsi="Arial" w:cs="Arial"/>
          <w:i/>
          <w:color w:val="000000"/>
          <w:sz w:val="20"/>
        </w:rPr>
        <w:t>United States v. Ellison</w:t>
      </w:r>
      <w:r>
        <w:rPr>
          <w:rFonts w:ascii="Arial" w:eastAsia="Arial" w:hAnsi="Arial" w:cs="Arial"/>
          <w:color w:val="000000"/>
          <w:sz w:val="20"/>
        </w:rPr>
        <w:t>, 462 F.3d 557, 560 (6th Cir. 2006).</w:t>
      </w:r>
    </w:p>
    <w:p w:rsidR="00E456CD" w:rsidRDefault="00000000">
      <w:pPr>
        <w:pStyle w:val="Normal0"/>
        <w:widowControl w:val="0"/>
        <w:spacing w:before="200" w:line="260" w:lineRule="atLeast"/>
        <w:jc w:val="both"/>
      </w:pPr>
      <w:bookmarkStart w:id="46" w:name="Bookmark_para_11"/>
      <w:bookmarkEnd w:id="46"/>
      <w:r>
        <w:rPr>
          <w:rFonts w:ascii="Arial" w:eastAsia="Arial" w:hAnsi="Arial" w:cs="Arial"/>
          <w:color w:val="000000"/>
          <w:sz w:val="20"/>
        </w:rPr>
        <w:t>The district court's judgment is affirmed.</w:t>
      </w:r>
    </w:p>
    <w:p w:rsidR="00E456CD" w:rsidRDefault="00E456CD">
      <w:pPr>
        <w:pStyle w:val="Normal0"/>
      </w:pPr>
    </w:p>
    <w:p w:rsidR="00E456CD" w:rsidRDefault="00000000">
      <w:pPr>
        <w:pStyle w:val="Normal0"/>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6328193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BE218"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
        <w:sectPr w:rsidR="00E456CD">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gutter="0"/>
          <w:cols w:space="720"/>
          <w:titlePg/>
        </w:sectPr>
      </w:pPr>
    </w:p>
    <w:p w:rsidR="00E456CD" w:rsidRDefault="00E456CD">
      <w:pPr>
        <w:pStyle w:val="Normal1"/>
      </w:pPr>
    </w:p>
    <w:p w:rsidR="00E456CD" w:rsidRDefault="00000000">
      <w:pPr>
        <w:pStyle w:val="Heading10"/>
        <w:keepNext w:val="0"/>
        <w:widowControl w:val="0"/>
        <w:spacing w:after="200" w:line="340" w:lineRule="atLeast"/>
        <w:jc w:val="center"/>
      </w:pPr>
      <w:r>
        <w:rPr>
          <w:rFonts w:eastAsia="Arial"/>
          <w:color w:val="000000"/>
          <w:sz w:val="28"/>
        </w:rPr>
        <w:t>Furgess v. Pa. Dep't of Corr.</w:t>
      </w:r>
    </w:p>
    <w:p w:rsidR="00E456CD" w:rsidRDefault="00000000">
      <w:pPr>
        <w:pStyle w:val="Normal1"/>
        <w:widowControl w:val="0"/>
        <w:spacing w:before="120" w:line="260" w:lineRule="atLeast"/>
        <w:jc w:val="center"/>
      </w:pPr>
      <w:r>
        <w:rPr>
          <w:rFonts w:ascii="Arial" w:eastAsia="Arial" w:hAnsi="Arial" w:cs="Arial"/>
          <w:color w:val="000000"/>
          <w:sz w:val="20"/>
        </w:rPr>
        <w:t>United States Court of Appeals for the Third Circuit</w:t>
      </w:r>
    </w:p>
    <w:p w:rsidR="00E456CD" w:rsidRDefault="00000000">
      <w:pPr>
        <w:pStyle w:val="Normal1"/>
        <w:widowControl w:val="0"/>
        <w:spacing w:before="120" w:line="260" w:lineRule="atLeast"/>
        <w:jc w:val="center"/>
      </w:pPr>
      <w:r>
        <w:rPr>
          <w:rFonts w:ascii="Arial" w:eastAsia="Arial" w:hAnsi="Arial" w:cs="Arial"/>
          <w:color w:val="000000"/>
          <w:sz w:val="20"/>
        </w:rPr>
        <w:t>January 24, 2019, Argued; August 8, 2019, Filed</w:t>
      </w:r>
    </w:p>
    <w:p w:rsidR="00E456CD" w:rsidRDefault="00000000">
      <w:pPr>
        <w:pStyle w:val="Normal1"/>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18-1758</w:t>
      </w:r>
    </w:p>
    <w:p w:rsidR="00E456CD" w:rsidRDefault="00E456CD">
      <w:pPr>
        <w:pStyle w:val="Normal1"/>
        <w:widowControl w:val="0"/>
        <w:spacing w:line="240" w:lineRule="atLeast"/>
        <w:jc w:val="both"/>
      </w:pPr>
      <w:bookmarkStart w:id="47" w:name="Bookmark_2"/>
      <w:bookmarkEnd w:id="47"/>
    </w:p>
    <w:p w:rsidR="00E456CD" w:rsidRDefault="00000000">
      <w:pPr>
        <w:pStyle w:val="Normal1"/>
        <w:widowControl w:val="0"/>
        <w:spacing w:before="200" w:line="240" w:lineRule="atLeast"/>
      </w:pPr>
      <w:bookmarkStart w:id="48" w:name="Reporter_0"/>
      <w:bookmarkEnd w:id="48"/>
      <w:r>
        <w:rPr>
          <w:rFonts w:ascii="Arial" w:eastAsia="Arial" w:hAnsi="Arial" w:cs="Arial"/>
          <w:b/>
          <w:color w:val="000000"/>
          <w:sz w:val="18"/>
        </w:rPr>
        <w:t>Reporter</w:t>
      </w:r>
    </w:p>
    <w:p w:rsidR="00E456CD" w:rsidRDefault="00000000">
      <w:pPr>
        <w:pStyle w:val="Normal1"/>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933 F.3d 285 *; 2019 U.S. App. LEXIS 23680 **; 2019 WL 3720871</w:t>
      </w:r>
    </w:p>
    <w:p w:rsidR="00E456CD" w:rsidRDefault="00000000">
      <w:pPr>
        <w:pStyle w:val="Normal1"/>
        <w:widowControl w:val="0"/>
        <w:spacing w:before="120" w:line="260" w:lineRule="atLeast"/>
      </w:pPr>
      <w:r>
        <w:rPr>
          <w:rFonts w:ascii="Arial" w:eastAsia="Arial" w:hAnsi="Arial" w:cs="Arial"/>
          <w:color w:val="000000"/>
          <w:sz w:val="20"/>
        </w:rPr>
        <w:t>ROBERT FURGESS, Appellant v. THE PENNSYLVANIA DEPARTMENT OF CORRECTIONS</w:t>
      </w:r>
    </w:p>
    <w:p w:rsidR="00E456CD" w:rsidRDefault="00000000">
      <w:pPr>
        <w:pStyle w:val="Normal1"/>
        <w:widowControl w:val="0"/>
        <w:spacing w:before="240" w:line="260" w:lineRule="atLeast"/>
        <w:jc w:val="both"/>
      </w:pPr>
      <w:bookmarkStart w:id="49" w:name="Prior_History_0"/>
      <w:bookmarkEnd w:id="49"/>
      <w:r>
        <w:rPr>
          <w:rFonts w:ascii="Arial" w:eastAsia="Arial" w:hAnsi="Arial" w:cs="Arial"/>
          <w:b/>
          <w:color w:val="000000"/>
          <w:sz w:val="20"/>
        </w:rPr>
        <w:t>Prior History:</w:t>
      </w:r>
      <w:r>
        <w:rPr>
          <w:rFonts w:ascii="Arial" w:eastAsia="Arial" w:hAnsi="Arial" w:cs="Arial"/>
          <w:color w:val="000000"/>
          <w:sz w:val="20"/>
        </w:rPr>
        <w:t> </w:t>
      </w:r>
      <w:bookmarkStart w:id="50" w:name="Bookmark_para_1_0"/>
      <w:bookmarkEnd w:id="50"/>
      <w:r>
        <w:rPr>
          <w:rFonts w:ascii="Arial" w:eastAsia="Arial" w:hAnsi="Arial" w:cs="Arial"/>
          <w:color w:val="000000"/>
          <w:sz w:val="20"/>
        </w:rPr>
        <w:t> [**1] On Appeal from the United States District Court for the Western District of Pennsylvania. (D. C. Civil Action No. 1-17-cv-00326). District Judge: Honorable Susan Paradise Baxter.</w:t>
      </w:r>
    </w:p>
    <w:p w:rsidR="00E456CD" w:rsidRDefault="00000000">
      <w:pPr>
        <w:pStyle w:val="Normal1"/>
        <w:widowControl w:val="0"/>
        <w:spacing w:before="120" w:line="260" w:lineRule="atLeast"/>
      </w:pPr>
      <w:r>
        <w:rPr>
          <w:rFonts w:ascii="Arial" w:eastAsia="Arial" w:hAnsi="Arial" w:cs="Arial"/>
          <w:color w:val="000000"/>
          <w:sz w:val="20"/>
        </w:rPr>
        <w:t>Furgess v. Pa. Dep't of Corr., 2018 U.S. Dist. LEXIS 36104 (W.D. Pa., Mar. 6, 2018)</w:t>
      </w:r>
    </w:p>
    <w:p w:rsidR="00E456CD" w:rsidRDefault="00000000">
      <w:pPr>
        <w:pStyle w:val="Normal1"/>
        <w:widowControl w:val="0"/>
        <w:spacing w:before="240" w:line="260" w:lineRule="atLeast"/>
      </w:pPr>
      <w:bookmarkStart w:id="51" w:name="Counsel_0"/>
      <w:bookmarkEnd w:id="51"/>
      <w:r>
        <w:rPr>
          <w:rFonts w:ascii="Arial" w:eastAsia="Arial" w:hAnsi="Arial" w:cs="Arial"/>
          <w:b/>
          <w:color w:val="000000"/>
          <w:sz w:val="20"/>
        </w:rPr>
        <w:t>Counsel:</w:t>
      </w:r>
      <w:r>
        <w:rPr>
          <w:rFonts w:ascii="Arial" w:eastAsia="Arial" w:hAnsi="Arial" w:cs="Arial"/>
          <w:color w:val="000000"/>
          <w:sz w:val="20"/>
        </w:rPr>
        <w:t> John F. Mizner, Esq., (ARGUED), Mizner Law Firm, Erie, PA, Counsel for Appellant.</w:t>
      </w:r>
    </w:p>
    <w:p w:rsidR="00E456CD" w:rsidRDefault="00000000">
      <w:pPr>
        <w:pStyle w:val="Normal1"/>
        <w:widowControl w:val="0"/>
        <w:spacing w:before="120" w:line="260" w:lineRule="atLeast"/>
      </w:pPr>
      <w:r>
        <w:rPr>
          <w:rFonts w:ascii="Arial" w:eastAsia="Arial" w:hAnsi="Arial" w:cs="Arial"/>
          <w:color w:val="000000"/>
          <w:sz w:val="20"/>
        </w:rPr>
        <w:t>Kemal A. Mericli, Esq. (ARGUED), Daniel B. Mullen, Esq., Office of Attorney General of Pennsylvania, Pittsburgh, PA, Counsel for Appellee.</w:t>
      </w:r>
    </w:p>
    <w:p w:rsidR="00E456CD" w:rsidRDefault="00000000">
      <w:pPr>
        <w:pStyle w:val="Normal1"/>
        <w:widowControl w:val="0"/>
        <w:spacing w:before="120" w:line="260" w:lineRule="atLeast"/>
      </w:pPr>
      <w:r>
        <w:rPr>
          <w:rFonts w:ascii="Arial" w:eastAsia="Arial" w:hAnsi="Arial" w:cs="Arial"/>
          <w:color w:val="000000"/>
          <w:sz w:val="20"/>
        </w:rPr>
        <w:t>Erin H. Flynn, Esq., Christine A. Monta, Esq., United States Department of Justice, Civil Rights Division, Appellate Section, Washington, DC, Counsel for Amicus Appellant.</w:t>
      </w:r>
    </w:p>
    <w:p w:rsidR="00E456CD" w:rsidRDefault="00000000">
      <w:pPr>
        <w:pStyle w:val="Normal1"/>
        <w:widowControl w:val="0"/>
        <w:spacing w:before="240" w:line="260" w:lineRule="atLeast"/>
      </w:pPr>
      <w:bookmarkStart w:id="52" w:name="Judges_0"/>
      <w:bookmarkEnd w:id="52"/>
      <w:r>
        <w:rPr>
          <w:rFonts w:ascii="Arial" w:eastAsia="Arial" w:hAnsi="Arial" w:cs="Arial"/>
          <w:b/>
          <w:color w:val="000000"/>
          <w:sz w:val="20"/>
        </w:rPr>
        <w:t>Judges:</w:t>
      </w:r>
      <w:r>
        <w:rPr>
          <w:rFonts w:ascii="Arial" w:eastAsia="Arial" w:hAnsi="Arial" w:cs="Arial"/>
          <w:color w:val="000000"/>
          <w:sz w:val="20"/>
        </w:rPr>
        <w:t> Before: JORDAN, KRAUSE and ROTH, Circuit Judges.</w:t>
      </w:r>
    </w:p>
    <w:p w:rsidR="00E456CD" w:rsidRDefault="00000000">
      <w:pPr>
        <w:pStyle w:val="Normal1"/>
        <w:widowControl w:val="0"/>
        <w:spacing w:before="240" w:line="260" w:lineRule="atLeast"/>
      </w:pPr>
      <w:bookmarkStart w:id="53" w:name="Opinion_by"/>
      <w:bookmarkEnd w:id="53"/>
      <w:r>
        <w:rPr>
          <w:rFonts w:ascii="Arial" w:eastAsia="Arial" w:hAnsi="Arial" w:cs="Arial"/>
          <w:b/>
          <w:color w:val="000000"/>
          <w:sz w:val="20"/>
        </w:rPr>
        <w:t>Opinion by:</w:t>
      </w:r>
      <w:r>
        <w:rPr>
          <w:rFonts w:ascii="Arial" w:eastAsia="Arial" w:hAnsi="Arial" w:cs="Arial"/>
          <w:color w:val="000000"/>
          <w:sz w:val="20"/>
        </w:rPr>
        <w:t> ROTH</w:t>
      </w:r>
    </w:p>
    <w:p w:rsidR="00E456CD" w:rsidRDefault="00000000">
      <w:pPr>
        <w:pStyle w:val="Normal1"/>
        <w:keepNext/>
        <w:widowControl w:val="0"/>
        <w:spacing w:before="240" w:line="340" w:lineRule="atLeast"/>
      </w:pPr>
      <w:bookmarkStart w:id="54" w:name="Opinion_0"/>
      <w:bookmarkEnd w:id="54"/>
      <w:r>
        <w:rPr>
          <w:rFonts w:ascii="Arial" w:eastAsia="Arial" w:hAnsi="Arial" w:cs="Arial"/>
          <w:b/>
          <w:color w:val="000000"/>
          <w:sz w:val="28"/>
        </w:rPr>
        <w:t>Opinion</w:t>
      </w:r>
    </w:p>
    <w:p w:rsidR="00E456CD" w:rsidRDefault="00E22289">
      <w:pPr>
        <w:pStyle w:val="Normal1"/>
        <w:spacing w:line="60" w:lineRule="exact"/>
      </w:pPr>
      <w:r>
        <w:rPr>
          <w:noProo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44328396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F4663"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
      </w:pPr>
    </w:p>
    <w:p w:rsidR="00E456CD" w:rsidRDefault="00000000">
      <w:pPr>
        <w:pStyle w:val="Normal1"/>
        <w:widowControl w:val="0"/>
        <w:spacing w:before="200" w:line="260" w:lineRule="atLeast"/>
        <w:jc w:val="both"/>
      </w:pPr>
      <w:bookmarkStart w:id="55" w:name="Bookmark_para_2_0"/>
      <w:bookmarkEnd w:id="55"/>
      <w:r>
        <w:rPr>
          <w:rFonts w:ascii="Arial" w:eastAsia="Arial" w:hAnsi="Arial" w:cs="Arial"/>
          <w:color w:val="000000"/>
          <w:sz w:val="20"/>
        </w:rPr>
        <w:t xml:space="preserve"> [*287]  ROTH, </w:t>
      </w:r>
      <w:r>
        <w:rPr>
          <w:rFonts w:ascii="Arial" w:eastAsia="Arial" w:hAnsi="Arial" w:cs="Arial"/>
          <w:color w:val="000000"/>
          <w:sz w:val="20"/>
          <w:u w:val="single"/>
        </w:rPr>
        <w:t>Circuit Judge</w:t>
      </w:r>
    </w:p>
    <w:p w:rsidR="00E456CD" w:rsidRDefault="00000000">
      <w:pPr>
        <w:pStyle w:val="Normal1"/>
        <w:widowControl w:val="0"/>
        <w:spacing w:before="200" w:line="260" w:lineRule="atLeast"/>
        <w:jc w:val="both"/>
      </w:pPr>
      <w:bookmarkStart w:id="56" w:name="Bookmark_para_3_0"/>
      <w:bookmarkEnd w:id="56"/>
      <w:r>
        <w:rPr>
          <w:rFonts w:ascii="Arial" w:eastAsia="Arial" w:hAnsi="Arial" w:cs="Arial"/>
          <w:color w:val="000000"/>
          <w:sz w:val="20"/>
        </w:rPr>
        <w:t xml:space="preserve">Robert Furgess, an inmate in a Pennsylvania state prison, suffers from a disability and was unable to take a shower for three months because the prison staff did not provide him with a handicapped-accessible shower facility. He subsequently brought claims against the Pennsylvania Department of Corrections (PDOC) under Title II of the Americans with Disabilities Act (ADA) and Section 504 of the Rehabilitation Act (RA). </w:t>
      </w:r>
      <w:bookmarkStart w:id="57" w:name="Bookmark_LNHNREFclscc1"/>
      <w:bookmarkEnd w:id="57"/>
      <w:r>
        <w:rPr>
          <w:rFonts w:ascii="Arial" w:eastAsia="Arial" w:hAnsi="Arial" w:cs="Arial"/>
          <w:color w:val="000000"/>
          <w:sz w:val="20"/>
        </w:rPr>
        <w:t>Both the ADA and the RA require public entities, including state prisons, to provide, in all of their programs, services, and activities, a reasonable [**2]  accommodation to individuals with disabilities. The District Court dismissed Furgess's complaint with prejudice on the ground that, under case law from the United States District Court of the Western District of Pennsylvania, the provision of showers is not a program, service, or activity under the ADA or the RA. For the reasons that follow, we will vacate the District Court's dismissal of Furgess's complaint and remand the case for further proceedings.</w:t>
      </w:r>
    </w:p>
    <w:p w:rsidR="00E456CD" w:rsidRDefault="00000000">
      <w:pPr>
        <w:pStyle w:val="Normal1"/>
        <w:widowControl w:val="0"/>
        <w:spacing w:before="120" w:line="260" w:lineRule="atLeast"/>
      </w:pPr>
      <w:r>
        <w:rPr>
          <w:rFonts w:ascii="Arial" w:eastAsia="Arial" w:hAnsi="Arial" w:cs="Arial"/>
          <w:color w:val="000000"/>
          <w:sz w:val="20"/>
        </w:rPr>
        <w:t>I.</w:t>
      </w:r>
      <w:r>
        <w:rPr>
          <w:rFonts w:ascii="Arial" w:eastAsia="Arial" w:hAnsi="Arial" w:cs="Arial"/>
          <w:vertAlign w:val="superscript"/>
        </w:rPr>
        <w:footnoteReference w:customMarkFollows="1" w:id="1"/>
        <w:t>1</w:t>
      </w:r>
    </w:p>
    <w:p w:rsidR="00E456CD" w:rsidRDefault="00000000">
      <w:pPr>
        <w:pStyle w:val="Normal1"/>
        <w:widowControl w:val="0"/>
        <w:spacing w:before="200" w:line="260" w:lineRule="atLeast"/>
        <w:jc w:val="both"/>
      </w:pPr>
      <w:bookmarkStart w:id="61" w:name="Bookmark_para_4_0"/>
      <w:bookmarkEnd w:id="61"/>
      <w:r>
        <w:rPr>
          <w:rFonts w:ascii="Arial" w:eastAsia="Arial" w:hAnsi="Arial" w:cs="Arial"/>
          <w:color w:val="000000"/>
          <w:sz w:val="20"/>
        </w:rPr>
        <w:t>Furgess has myasthenia gravis (MG), a neuromuscular disease that inhibits his  [*288]  ability to see, walk, speak, and lift. He arrived at the State Correctional Institution at Albion, Pennsylvania, (SCI Albion) in 2014 and requested accommodations for his disability. SCI Albion subsequently provided him with an accessible shower stall, moved his cell closer to the medical and dining halls, and fitted him for leg braces. On December 10, 2015, Furgess was moved to the Restrictive Housing Unit (RHU) at SCI Albion,</w:t>
      </w:r>
      <w:r>
        <w:rPr>
          <w:rFonts w:ascii="Arial" w:eastAsia="Arial" w:hAnsi="Arial" w:cs="Arial"/>
          <w:vertAlign w:val="superscript"/>
        </w:rPr>
        <w:footnoteReference w:customMarkFollows="1" w:id="2"/>
        <w:t>2</w:t>
      </w:r>
      <w:r>
        <w:rPr>
          <w:rFonts w:ascii="Arial" w:eastAsia="Arial" w:hAnsi="Arial" w:cs="Arial"/>
          <w:color w:val="000000"/>
          <w:sz w:val="20"/>
        </w:rPr>
        <w:t xml:space="preserve"> which was not equipped with handicapped-accessible shower facilities. Furgess repeatedly requested to be provided with an accessible shower but he was not. By February of 2016, Furgess had not taken a shower. The SCI Albion staff [**3]  alerted RHU Lieutenant Barner of Furgess's disability, but Furgess still was not provided a shower. By March 2016, the Superintendent of SCI Albion had become aware that Furgess had not been able to shower. He questioned Lieutenant Barner. Barner told the Superintendent that the staff would escort Furgess to the infirmary shower facilities, which were accessible. The staff did not, however, do so. On March 7, Furgess filed a grievance, requesting a handicapped-accessible shower facility. Although his grievance was rejected, he was moved to a handicapped-accessible cell but he still was not provided access to a shower. On March 16, for the first time in over three months, Furgess was escorted to a shower. Unfortunately, the shower was not handicapped-accessible. The staff gave Furgess an armless plastic chair on which to sit during the shower. Because the hot water exacerbated the symptoms of Furgess's MG, he tried to leave the shower room. Due to the lack of rails or safety bars, he slipped and was knocked unconscious. As a result of this fall, he has been confined to a wheelchair and suffers from headaches and back pain. Furgess filed another grievance on March 25 claiming that he [**4]  had been denied accommodation for his disability. The grievance was denied on April 18.</w:t>
      </w:r>
    </w:p>
    <w:p w:rsidR="00E456CD" w:rsidRDefault="00000000">
      <w:pPr>
        <w:pStyle w:val="Normal1"/>
        <w:widowControl w:val="0"/>
        <w:spacing w:before="200" w:line="260" w:lineRule="atLeast"/>
        <w:jc w:val="both"/>
      </w:pPr>
      <w:bookmarkStart w:id="63" w:name="Bookmark_para_5_0"/>
      <w:bookmarkEnd w:id="63"/>
      <w:r>
        <w:rPr>
          <w:rFonts w:ascii="Arial" w:eastAsia="Arial" w:hAnsi="Arial" w:cs="Arial"/>
          <w:color w:val="000000"/>
          <w:sz w:val="20"/>
        </w:rPr>
        <w:t>Furgess brought this action against the PDOC, alleging it violated his rights under Title II of the ADA and Section 504 of the RA by failing to provide him with an accessible shower. The PDOC moved to dismiss under Fed. R. Civ. P. 12(b)(6), arguing that Furgess had failed to state a claim because a shower is not a "service, program, or activity" under either statute. The District Court agreed and dismissed Furgess's complaint with prejudice.</w:t>
      </w:r>
    </w:p>
    <w:p w:rsidR="00E456CD" w:rsidRDefault="00000000">
      <w:pPr>
        <w:pStyle w:val="Normal1"/>
        <w:widowControl w:val="0"/>
        <w:spacing w:before="120" w:line="260" w:lineRule="atLeast"/>
      </w:pPr>
      <w:r>
        <w:rPr>
          <w:rFonts w:ascii="Arial" w:eastAsia="Arial" w:hAnsi="Arial" w:cs="Arial"/>
          <w:color w:val="000000"/>
          <w:sz w:val="20"/>
        </w:rPr>
        <w:t>II.</w:t>
      </w:r>
    </w:p>
    <w:p w:rsidR="00E456CD" w:rsidRDefault="00000000">
      <w:pPr>
        <w:pStyle w:val="Normal1"/>
        <w:widowControl w:val="0"/>
        <w:spacing w:before="200" w:line="260" w:lineRule="atLeast"/>
        <w:jc w:val="both"/>
      </w:pPr>
      <w:bookmarkStart w:id="64" w:name="Bookmark_para_6_0"/>
      <w:bookmarkStart w:id="65" w:name="Bookmark_I5WSB5WW2HM6H50040000400"/>
      <w:bookmarkStart w:id="66" w:name="Bookmark_I5WSB5WW2SF8KD0010000400"/>
      <w:bookmarkEnd w:id="64"/>
      <w:bookmarkEnd w:id="65"/>
      <w:bookmarkEnd w:id="66"/>
      <w:r>
        <w:rPr>
          <w:rFonts w:ascii="Arial" w:eastAsia="Arial" w:hAnsi="Arial" w:cs="Arial"/>
          <w:color w:val="000000"/>
          <w:sz w:val="20"/>
        </w:rPr>
        <w:t xml:space="preserve">We have jurisdiction pursuant to 28 U.S.C. § 1291. </w:t>
      </w:r>
      <w:bookmarkStart w:id="67" w:name="Bookmark_LNHNREFclscc2"/>
      <w:bookmarkEnd w:id="67"/>
      <w:r>
        <w:rPr>
          <w:rFonts w:ascii="Arial" w:eastAsia="Arial" w:hAnsi="Arial" w:cs="Arial"/>
          <w:color w:val="000000"/>
          <w:sz w:val="20"/>
        </w:rPr>
        <w:t>Our review of an order granting a motion to dismiss under Fed. R. Civ. P. 12(b)(6) is plenary.</w:t>
      </w:r>
      <w:r>
        <w:rPr>
          <w:rFonts w:ascii="Arial" w:eastAsia="Arial" w:hAnsi="Arial" w:cs="Arial"/>
          <w:vertAlign w:val="superscript"/>
        </w:rPr>
        <w:footnoteReference w:customMarkFollows="1" w:id="3"/>
        <w:t>3</w:t>
      </w:r>
      <w:r>
        <w:rPr>
          <w:rFonts w:ascii="Arial" w:eastAsia="Arial" w:hAnsi="Arial" w:cs="Arial"/>
          <w:color w:val="000000"/>
          <w:sz w:val="20"/>
        </w:rPr>
        <w:t xml:space="preserve"> We accept all factual allegations as true and determine whether "under any reasonable reading of the complaint, the plaintiff may be entitled to relief."</w:t>
      </w:r>
      <w:r>
        <w:rPr>
          <w:rFonts w:ascii="Arial" w:eastAsia="Arial" w:hAnsi="Arial" w:cs="Arial"/>
          <w:vertAlign w:val="superscript"/>
        </w:rPr>
        <w:footnoteReference w:customMarkFollows="1" w:id="4"/>
        <w:t>4</w:t>
      </w:r>
    </w:p>
    <w:p w:rsidR="00E456CD" w:rsidRDefault="00000000">
      <w:pPr>
        <w:pStyle w:val="Normal1"/>
        <w:widowControl w:val="0"/>
        <w:spacing w:before="120" w:line="260" w:lineRule="atLeast"/>
      </w:pPr>
      <w:r>
        <w:rPr>
          <w:rFonts w:ascii="Arial" w:eastAsia="Arial" w:hAnsi="Arial" w:cs="Arial"/>
          <w:color w:val="000000"/>
          <w:sz w:val="20"/>
        </w:rPr>
        <w:t>III.</w:t>
      </w:r>
    </w:p>
    <w:p w:rsidR="00E456CD" w:rsidRDefault="00000000">
      <w:pPr>
        <w:pStyle w:val="Normal1"/>
        <w:widowControl w:val="0"/>
        <w:spacing w:before="200" w:line="260" w:lineRule="atLeast"/>
        <w:jc w:val="both"/>
      </w:pPr>
      <w:bookmarkStart w:id="72" w:name="Bookmark_para_7_0"/>
      <w:bookmarkStart w:id="73" w:name="Bookmark_I5WSB5WW2SF8KD0030000400"/>
      <w:bookmarkStart w:id="74" w:name="Bookmark_I5WSB5WW2SF8KD0050000400"/>
      <w:bookmarkStart w:id="75" w:name="Bookmark_I5WSB5WX2SF8KM0020000400"/>
      <w:bookmarkEnd w:id="72"/>
      <w:bookmarkEnd w:id="73"/>
      <w:bookmarkEnd w:id="74"/>
      <w:bookmarkEnd w:id="75"/>
      <w:r>
        <w:rPr>
          <w:rFonts w:ascii="Arial" w:eastAsia="Arial" w:hAnsi="Arial" w:cs="Arial"/>
          <w:color w:val="000000"/>
          <w:sz w:val="20"/>
        </w:rPr>
        <w:t xml:space="preserve">We consider the Title II and Section 504 claims together because </w:t>
      </w:r>
      <w:bookmarkStart w:id="76" w:name="Bookmark_LNHNREFclscc3"/>
      <w:bookmarkEnd w:id="76"/>
      <w:r>
        <w:rPr>
          <w:rFonts w:ascii="Arial" w:eastAsia="Arial" w:hAnsi="Arial" w:cs="Arial"/>
          <w:color w:val="000000"/>
          <w:sz w:val="20"/>
        </w:rPr>
        <w:t>"the substantive standards for determining liability are the same."</w:t>
      </w:r>
      <w:r>
        <w:rPr>
          <w:rFonts w:ascii="Arial" w:eastAsia="Arial" w:hAnsi="Arial" w:cs="Arial"/>
          <w:vertAlign w:val="superscript"/>
        </w:rPr>
        <w:footnoteReference w:customMarkFollows="1" w:id="5"/>
        <w:t>5</w:t>
      </w:r>
      <w:r>
        <w:rPr>
          <w:rFonts w:ascii="Arial" w:eastAsia="Arial" w:hAnsi="Arial" w:cs="Arial"/>
          <w:color w:val="000000"/>
          <w:sz w:val="20"/>
        </w:rPr>
        <w:t xml:space="preserve"> To state a claim under either the ADA or the RA, Furgess must allege that he is a qualified individual with a disability, who was precluded from participating  [*289]  in a program, service, or activity, or otherwise was subject to discrimination, by reason of his disability.</w:t>
      </w:r>
      <w:r>
        <w:rPr>
          <w:rFonts w:ascii="Arial" w:eastAsia="Arial" w:hAnsi="Arial" w:cs="Arial"/>
          <w:vertAlign w:val="superscript"/>
        </w:rPr>
        <w:footnoteReference w:customMarkFollows="1" w:id="6"/>
        <w:t>6</w:t>
      </w:r>
      <w:r>
        <w:rPr>
          <w:rFonts w:ascii="Arial" w:eastAsia="Arial" w:hAnsi="Arial" w:cs="Arial"/>
          <w:color w:val="000000"/>
          <w:sz w:val="20"/>
        </w:rPr>
        <w:t xml:space="preserve"> Furgess must also show intentional discrimination under a deliberate indifference [**5]  standard because he seeks compensatory damages.</w:t>
      </w:r>
      <w:r>
        <w:rPr>
          <w:rFonts w:ascii="Arial" w:eastAsia="Arial" w:hAnsi="Arial" w:cs="Arial"/>
          <w:vertAlign w:val="superscript"/>
        </w:rPr>
        <w:footnoteReference w:customMarkFollows="1" w:id="7"/>
        <w:t>7</w:t>
      </w:r>
      <w:r>
        <w:rPr>
          <w:rFonts w:ascii="Arial" w:eastAsia="Arial" w:hAnsi="Arial" w:cs="Arial"/>
          <w:color w:val="000000"/>
          <w:sz w:val="20"/>
        </w:rPr>
        <w:t xml:space="preserve"> The PDOC does not contest that Furgess is a qualified individual with a disability. It only cursorily defends the District Court's holding that showers are not programs, services, or activities. Its primary argument on appeal is that Furgess was not denied a shower "by reason of" his disability. Rather, according to the PDOC, he was deprived of a shower because he was housed in the RHU, which did not have accessible shower facilities.</w:t>
      </w:r>
    </w:p>
    <w:p w:rsidR="00E456CD" w:rsidRDefault="00000000">
      <w:pPr>
        <w:pStyle w:val="Normal1"/>
        <w:widowControl w:val="0"/>
        <w:spacing w:before="200" w:line="260" w:lineRule="atLeast"/>
        <w:jc w:val="both"/>
      </w:pPr>
      <w:bookmarkStart w:id="83" w:name="Bookmark_para_8_0"/>
      <w:bookmarkStart w:id="84" w:name="Bookmark_I5WSB5WX2SF8KM0040000400"/>
      <w:bookmarkEnd w:id="83"/>
      <w:bookmarkEnd w:id="84"/>
      <w:r>
        <w:rPr>
          <w:rFonts w:ascii="Arial" w:eastAsia="Arial" w:hAnsi="Arial" w:cs="Arial"/>
          <w:color w:val="000000"/>
          <w:sz w:val="20"/>
        </w:rPr>
        <w:t>Our analysis proceeds in two parts. First, we address whether the provision of showers is a program, service, or activity under Title II and Section 504. Next, we turn to the PDOC's central argument, that Furgess did not suffer the deprivation of a shower due to his disability.</w:t>
      </w:r>
      <w:r>
        <w:rPr>
          <w:rFonts w:ascii="Arial" w:eastAsia="Arial" w:hAnsi="Arial" w:cs="Arial"/>
          <w:vertAlign w:val="superscript"/>
        </w:rPr>
        <w:footnoteReference w:customMarkFollows="1" w:id="8"/>
        <w:t>8</w:t>
      </w:r>
    </w:p>
    <w:p w:rsidR="00E456CD" w:rsidRDefault="00000000">
      <w:pPr>
        <w:pStyle w:val="Normal1"/>
        <w:widowControl w:val="0"/>
        <w:spacing w:before="120" w:line="260" w:lineRule="atLeast"/>
      </w:pPr>
      <w:r>
        <w:rPr>
          <w:rFonts w:ascii="Arial" w:eastAsia="Arial" w:hAnsi="Arial" w:cs="Arial"/>
          <w:color w:val="000000"/>
          <w:sz w:val="20"/>
        </w:rPr>
        <w:t>A. IS THE PROVISION OF A SHOWER A PROGRAM, SERVICE OR ACTIVITY?</w:t>
      </w:r>
    </w:p>
    <w:p w:rsidR="00E456CD" w:rsidRDefault="00000000">
      <w:pPr>
        <w:pStyle w:val="Normal1"/>
        <w:widowControl w:val="0"/>
        <w:spacing w:before="200" w:line="260" w:lineRule="atLeast"/>
        <w:jc w:val="both"/>
      </w:pPr>
      <w:bookmarkStart w:id="87" w:name="Bookmark_para_9_0"/>
      <w:bookmarkEnd w:id="87"/>
      <w:r>
        <w:rPr>
          <w:rFonts w:ascii="Arial" w:eastAsia="Arial" w:hAnsi="Arial" w:cs="Arial"/>
          <w:color w:val="000000"/>
          <w:sz w:val="20"/>
        </w:rPr>
        <w:t>The District Court dismissed Furgess's complaint on the ground that the PDOC's alleged failure to accommodate his disability did not preclude him from participating in a program, service, or activity because showers are not a program, service, or activity. The District Court's conclusion, and the cases supporting it, are contrary both to the statutory language of the RA and the [**6]  ADA and to the weight of case law.</w:t>
      </w:r>
    </w:p>
    <w:p w:rsidR="00E456CD" w:rsidRDefault="00000000">
      <w:pPr>
        <w:pStyle w:val="Normal1"/>
        <w:widowControl w:val="0"/>
        <w:spacing w:before="200" w:line="260" w:lineRule="atLeast"/>
        <w:jc w:val="both"/>
      </w:pPr>
      <w:bookmarkStart w:id="88" w:name="Bookmark_para_10_0"/>
      <w:bookmarkStart w:id="89" w:name="Bookmark_I5WSB5WX2D6NG20010000400"/>
      <w:bookmarkStart w:id="90" w:name="Bookmark_I5WSB5WX2D6NG20030000400"/>
      <w:bookmarkStart w:id="91" w:name="Bookmark_I5WSB5WX2D6NG20050000400"/>
      <w:bookmarkEnd w:id="88"/>
      <w:bookmarkEnd w:id="89"/>
      <w:bookmarkEnd w:id="90"/>
      <w:bookmarkEnd w:id="91"/>
      <w:r>
        <w:rPr>
          <w:rFonts w:ascii="Arial" w:eastAsia="Arial" w:hAnsi="Arial" w:cs="Arial"/>
          <w:color w:val="000000"/>
          <w:sz w:val="20"/>
        </w:rPr>
        <w:t xml:space="preserve">Looking first to the statutory language, </w:t>
      </w:r>
      <w:bookmarkStart w:id="92" w:name="Bookmark_LNHNREFclscc4"/>
      <w:bookmarkEnd w:id="92"/>
      <w:r>
        <w:rPr>
          <w:rFonts w:ascii="Arial" w:eastAsia="Arial" w:hAnsi="Arial" w:cs="Arial"/>
          <w:color w:val="000000"/>
          <w:sz w:val="20"/>
        </w:rPr>
        <w:t>Section 504 of the RA defines a "program or activity" quite broadly to include "</w:t>
      </w:r>
      <w:r>
        <w:rPr>
          <w:rFonts w:ascii="Arial" w:eastAsia="Arial" w:hAnsi="Arial" w:cs="Arial"/>
          <w:i/>
          <w:color w:val="000000"/>
          <w:sz w:val="20"/>
        </w:rPr>
        <w:t>all</w:t>
      </w:r>
      <w:r>
        <w:rPr>
          <w:rFonts w:ascii="Arial" w:eastAsia="Arial" w:hAnsi="Arial" w:cs="Arial"/>
          <w:color w:val="000000"/>
          <w:sz w:val="20"/>
        </w:rPr>
        <w:t xml:space="preserve"> of the operations of" a state instrumentality.</w:t>
      </w:r>
      <w:r>
        <w:rPr>
          <w:rFonts w:ascii="Arial" w:eastAsia="Arial" w:hAnsi="Arial" w:cs="Arial"/>
          <w:vertAlign w:val="superscript"/>
        </w:rPr>
        <w:footnoteReference w:customMarkFollows="1" w:id="9"/>
        <w:t>9</w:t>
      </w:r>
      <w:r>
        <w:rPr>
          <w:rFonts w:ascii="Arial" w:eastAsia="Arial" w:hAnsi="Arial" w:cs="Arial"/>
          <w:color w:val="000000"/>
          <w:sz w:val="20"/>
        </w:rPr>
        <w:t xml:space="preserve"> We have confirmed these terms' broad meaning, calling them "all-encompassing."</w:t>
      </w:r>
      <w:r>
        <w:rPr>
          <w:rFonts w:ascii="Arial" w:eastAsia="Arial" w:hAnsi="Arial" w:cs="Arial"/>
          <w:vertAlign w:val="superscript"/>
        </w:rPr>
        <w:footnoteReference w:customMarkFollows="1" w:id="10"/>
        <w:t>10</w:t>
      </w:r>
      <w:r>
        <w:rPr>
          <w:rFonts w:ascii="Arial" w:eastAsia="Arial" w:hAnsi="Arial" w:cs="Arial"/>
          <w:color w:val="000000"/>
          <w:sz w:val="20"/>
        </w:rPr>
        <w:t xml:space="preserve"> The ADA does not define "services, programs, or activities," but both Congress and this Court have recognized that Title II provides at least the same degree of protection as Section 504.</w:t>
      </w:r>
      <w:r>
        <w:rPr>
          <w:rFonts w:ascii="Arial" w:eastAsia="Arial" w:hAnsi="Arial" w:cs="Arial"/>
          <w:vertAlign w:val="superscript"/>
        </w:rPr>
        <w:footnoteReference w:customMarkFollows="1" w:id="11"/>
        <w:t>11</w:t>
      </w:r>
      <w:r>
        <w:rPr>
          <w:rFonts w:ascii="Arial" w:eastAsia="Arial" w:hAnsi="Arial" w:cs="Arial"/>
          <w:color w:val="000000"/>
          <w:sz w:val="20"/>
        </w:rPr>
        <w:t xml:space="preserve"> Thus, the phrase "service, program, or activity" under Title II, like "program or activity" under Section 504, is "extremely broad in scope and includes anything a public entity does."</w:t>
      </w:r>
      <w:r>
        <w:rPr>
          <w:rFonts w:ascii="Arial" w:eastAsia="Arial" w:hAnsi="Arial" w:cs="Arial"/>
          <w:vertAlign w:val="superscript"/>
        </w:rPr>
        <w:footnoteReference w:customMarkFollows="1" w:id="12"/>
        <w:t>12</w:t>
      </w:r>
      <w:r>
        <w:rPr>
          <w:rFonts w:ascii="Arial" w:eastAsia="Arial" w:hAnsi="Arial" w:cs="Arial"/>
          <w:color w:val="000000"/>
          <w:sz w:val="20"/>
        </w:rPr>
        <w:t xml:space="preserve"> A prison's provision of showers to inmates fits within this expansive definition, as it undoubtedly is something "a public entity does" and is one "of the operations" of the prison.</w:t>
      </w:r>
    </w:p>
    <w:p w:rsidR="00E456CD" w:rsidRDefault="00000000">
      <w:pPr>
        <w:pStyle w:val="Normal1"/>
        <w:widowControl w:val="0"/>
        <w:spacing w:before="200" w:line="260" w:lineRule="atLeast"/>
        <w:jc w:val="both"/>
      </w:pPr>
      <w:bookmarkStart w:id="101" w:name="Bookmark_para_11_0"/>
      <w:bookmarkStart w:id="102" w:name="Bookmark_I5WSB5WY28T40D0020000400"/>
      <w:bookmarkEnd w:id="101"/>
      <w:bookmarkEnd w:id="102"/>
      <w:r>
        <w:rPr>
          <w:rFonts w:ascii="Arial" w:eastAsia="Arial" w:hAnsi="Arial" w:cs="Arial"/>
          <w:color w:val="000000"/>
          <w:sz w:val="20"/>
        </w:rPr>
        <w:t xml:space="preserve">Indeed, </w:t>
      </w:r>
      <w:bookmarkStart w:id="103" w:name="Bookmark_LNHNREFclscc6"/>
      <w:bookmarkEnd w:id="103"/>
      <w:r>
        <w:rPr>
          <w:rFonts w:ascii="Arial" w:eastAsia="Arial" w:hAnsi="Arial" w:cs="Arial"/>
          <w:color w:val="000000"/>
          <w:sz w:val="20"/>
        </w:rPr>
        <w:t>Department of Justice guidance on Title II regulations explicitly refers to a prison's provision of hygiene as being included  [*290]  under the statute's purview.</w:t>
      </w:r>
      <w:r>
        <w:rPr>
          <w:rFonts w:ascii="Arial" w:eastAsia="Arial" w:hAnsi="Arial" w:cs="Arial"/>
          <w:vertAlign w:val="superscript"/>
        </w:rPr>
        <w:footnoteReference w:customMarkFollows="1" w:id="13"/>
        <w:t>13</w:t>
      </w:r>
      <w:r>
        <w:rPr>
          <w:rFonts w:ascii="Arial" w:eastAsia="Arial" w:hAnsi="Arial" w:cs="Arial"/>
          <w:color w:val="000000"/>
          <w:sz w:val="20"/>
        </w:rPr>
        <w:t xml:space="preserve"> Specifically, the DOJ explains that corrections systems are unique facilities under Title II because inmates cannot leave, and thus prisons must address the needs of inmates with disabilities by providing "accessible [**7]  toilet and shower facilities, devices such as a bed transfer or a shower chair, and assistance with hygiene methods for prisoners with physical disabilities."</w:t>
      </w:r>
      <w:r>
        <w:rPr>
          <w:rFonts w:ascii="Arial" w:eastAsia="Arial" w:hAnsi="Arial" w:cs="Arial"/>
          <w:vertAlign w:val="superscript"/>
        </w:rPr>
        <w:footnoteReference w:customMarkFollows="1" w:id="14"/>
        <w:t>14</w:t>
      </w:r>
    </w:p>
    <w:p w:rsidR="00E456CD" w:rsidRDefault="00000000">
      <w:pPr>
        <w:pStyle w:val="Normal1"/>
        <w:widowControl w:val="0"/>
        <w:spacing w:before="200" w:line="260" w:lineRule="atLeast"/>
        <w:jc w:val="both"/>
      </w:pPr>
      <w:bookmarkStart w:id="107" w:name="Bookmark_para_12"/>
      <w:bookmarkStart w:id="108" w:name="Bookmark_LNHNREFclscc7"/>
      <w:bookmarkStart w:id="109" w:name="Bookmark_I5KS9474Y67000054PM0001M"/>
      <w:bookmarkStart w:id="110" w:name="Bookmark_I5WSB5WY28T40D0040000400"/>
      <w:bookmarkStart w:id="111" w:name="Bookmark_I5WSB5WY2HM6HY0010000400"/>
      <w:bookmarkStart w:id="112" w:name="Bookmark_I5WSB5WY2HM6HY0030000400"/>
      <w:bookmarkStart w:id="113" w:name="Bookmark_I5WSB5WY2HM6HY0050000400"/>
      <w:bookmarkStart w:id="114" w:name="Bookmark_I5WSB5WY2SF8M60020000400"/>
      <w:bookmarkEnd w:id="107"/>
      <w:bookmarkEnd w:id="108"/>
      <w:bookmarkEnd w:id="109"/>
      <w:bookmarkEnd w:id="110"/>
      <w:bookmarkEnd w:id="111"/>
      <w:bookmarkEnd w:id="112"/>
      <w:bookmarkEnd w:id="113"/>
      <w:bookmarkEnd w:id="114"/>
      <w:r>
        <w:rPr>
          <w:rFonts w:ascii="Arial" w:eastAsia="Arial" w:hAnsi="Arial" w:cs="Arial"/>
          <w:color w:val="000000"/>
          <w:sz w:val="20"/>
        </w:rPr>
        <w:t xml:space="preserve">The weight of the case law also supports our conclusion that the provision of a shower is a service, program, or activity. First, in </w:t>
      </w:r>
      <w:r>
        <w:rPr>
          <w:rFonts w:ascii="Arial" w:eastAsia="Arial" w:hAnsi="Arial" w:cs="Arial"/>
          <w:i/>
          <w:color w:val="000000"/>
          <w:sz w:val="20"/>
        </w:rPr>
        <w:t>Jaros v. Illinois Department of Corrections</w:t>
      </w:r>
      <w:r>
        <w:rPr>
          <w:rFonts w:ascii="Arial" w:eastAsia="Arial" w:hAnsi="Arial" w:cs="Arial"/>
          <w:color w:val="000000"/>
          <w:sz w:val="20"/>
        </w:rPr>
        <w:t>,</w:t>
      </w:r>
      <w:r>
        <w:rPr>
          <w:rFonts w:ascii="Arial" w:eastAsia="Arial" w:hAnsi="Arial" w:cs="Arial"/>
          <w:vertAlign w:val="superscript"/>
        </w:rPr>
        <w:footnoteReference w:customMarkFollows="1" w:id="15"/>
        <w:t>15</w:t>
      </w:r>
      <w:r>
        <w:rPr>
          <w:rFonts w:ascii="Arial" w:eastAsia="Arial" w:hAnsi="Arial" w:cs="Arial"/>
          <w:color w:val="000000"/>
          <w:sz w:val="20"/>
        </w:rPr>
        <w:t xml:space="preserve"> the Seventh Circuit held that meals and showers made available to inmates are programs or activities under Section 504.</w:t>
      </w:r>
      <w:r>
        <w:rPr>
          <w:rFonts w:ascii="Arial" w:eastAsia="Arial" w:hAnsi="Arial" w:cs="Arial"/>
          <w:vertAlign w:val="superscript"/>
        </w:rPr>
        <w:footnoteReference w:customMarkFollows="1" w:id="16"/>
        <w:t>16</w:t>
      </w:r>
      <w:r>
        <w:rPr>
          <w:rFonts w:ascii="Arial" w:eastAsia="Arial" w:hAnsi="Arial" w:cs="Arial"/>
          <w:color w:val="000000"/>
          <w:sz w:val="20"/>
        </w:rPr>
        <w:t xml:space="preserve"> Second, in providing examples of what constitutes a program or activity that prisons provide to inmates, the Ninth Circuit listed "toilet[s] and bathing facilities."</w:t>
      </w:r>
      <w:r>
        <w:rPr>
          <w:rFonts w:ascii="Arial" w:eastAsia="Arial" w:hAnsi="Arial" w:cs="Arial"/>
          <w:vertAlign w:val="superscript"/>
        </w:rPr>
        <w:footnoteReference w:customMarkFollows="1" w:id="17"/>
        <w:t>17</w:t>
      </w:r>
      <w:r>
        <w:rPr>
          <w:rFonts w:ascii="Arial" w:eastAsia="Arial" w:hAnsi="Arial" w:cs="Arial"/>
          <w:color w:val="000000"/>
          <w:sz w:val="20"/>
        </w:rPr>
        <w:t xml:space="preserve"> Third, the First Circuit reversed a district court's grant of summary judgment for a prison on the grounds that an issue of material fact remained as to whether prison officials prevented an inmate from using a showering chair, implying that the provision of showers is a program, service, or activity under Title II.</w:t>
      </w:r>
      <w:r>
        <w:rPr>
          <w:rFonts w:ascii="Arial" w:eastAsia="Arial" w:hAnsi="Arial" w:cs="Arial"/>
          <w:vertAlign w:val="superscript"/>
        </w:rPr>
        <w:footnoteReference w:customMarkFollows="1" w:id="18"/>
        <w:t>18</w:t>
      </w:r>
      <w:r>
        <w:rPr>
          <w:rFonts w:ascii="Arial" w:eastAsia="Arial" w:hAnsi="Arial" w:cs="Arial"/>
          <w:color w:val="000000"/>
          <w:sz w:val="20"/>
        </w:rPr>
        <w:t xml:space="preserve"> Finally, in dictum, the Supreme Court has stated that a prison's refusal to accommodate inmates' disabilities "in such fundamentals as mobility, hygiene, medical care, and virtually all other prison programs" constitutes a denial of the benefits of a prison's services, [**8]  programs, or activities under Title II.</w:t>
      </w:r>
      <w:r>
        <w:rPr>
          <w:rFonts w:ascii="Arial" w:eastAsia="Arial" w:hAnsi="Arial" w:cs="Arial"/>
          <w:vertAlign w:val="superscript"/>
        </w:rPr>
        <w:footnoteReference w:customMarkFollows="1" w:id="19"/>
        <w:t>19</w:t>
      </w:r>
    </w:p>
    <w:p w:rsidR="00E456CD" w:rsidRDefault="00000000">
      <w:pPr>
        <w:pStyle w:val="Normal1"/>
        <w:widowControl w:val="0"/>
        <w:spacing w:before="200" w:line="260" w:lineRule="atLeast"/>
        <w:jc w:val="both"/>
      </w:pPr>
      <w:bookmarkStart w:id="125" w:name="Bookmark_para_13"/>
      <w:bookmarkStart w:id="126" w:name="Bookmark_I5KS947539V000054PM0001N"/>
      <w:bookmarkStart w:id="127" w:name="Bookmark_I5WSB5WY2SF8M60040000400"/>
      <w:bookmarkStart w:id="128" w:name="Bookmark_I5WSB5X02N1RNY0010000400"/>
      <w:bookmarkStart w:id="129" w:name="Bookmark_I5WSB5X02N1RNY0030000400"/>
      <w:bookmarkStart w:id="130" w:name="Bookmark_I5KS9475HRH000054PM0001S"/>
      <w:bookmarkStart w:id="131" w:name="Bookmark_I5KS9475CKH000054PM0001R"/>
      <w:bookmarkStart w:id="132" w:name="Bookmark_I5KS94757DS000054PM0001P"/>
      <w:bookmarkStart w:id="133" w:name="Bookmark_I5WSB5X02N1RNY0050000400"/>
      <w:bookmarkEnd w:id="125"/>
      <w:bookmarkEnd w:id="126"/>
      <w:bookmarkEnd w:id="127"/>
      <w:bookmarkEnd w:id="128"/>
      <w:bookmarkEnd w:id="129"/>
      <w:bookmarkEnd w:id="130"/>
      <w:bookmarkEnd w:id="131"/>
      <w:bookmarkEnd w:id="132"/>
      <w:bookmarkEnd w:id="133"/>
      <w:r>
        <w:rPr>
          <w:rFonts w:ascii="Arial" w:eastAsia="Arial" w:hAnsi="Arial" w:cs="Arial"/>
          <w:color w:val="000000"/>
          <w:sz w:val="20"/>
        </w:rPr>
        <w:t xml:space="preserve">The District Court, along with the three decisions from the Western District of Pennsylvania it relied on, failed to engage in any statutory or regulatory analysis in holding that showers are not programs, services, or activities. Rather, these decisions improperly relied on a Seventh Circuit case, </w:t>
      </w:r>
      <w:r>
        <w:rPr>
          <w:rFonts w:ascii="Arial" w:eastAsia="Arial" w:hAnsi="Arial" w:cs="Arial"/>
          <w:i/>
          <w:color w:val="000000"/>
          <w:sz w:val="20"/>
        </w:rPr>
        <w:t>Bryant v. Madigan</w:t>
      </w:r>
      <w:r>
        <w:rPr>
          <w:rFonts w:ascii="Arial" w:eastAsia="Arial" w:hAnsi="Arial" w:cs="Arial"/>
          <w:color w:val="000000"/>
          <w:sz w:val="20"/>
        </w:rPr>
        <w:t>.</w:t>
      </w:r>
      <w:r>
        <w:rPr>
          <w:rFonts w:ascii="Arial" w:eastAsia="Arial" w:hAnsi="Arial" w:cs="Arial"/>
          <w:vertAlign w:val="superscript"/>
        </w:rPr>
        <w:footnoteReference w:customMarkFollows="1" w:id="20"/>
        <w:t>20</w:t>
      </w:r>
      <w:r>
        <w:rPr>
          <w:rFonts w:ascii="Arial" w:eastAsia="Arial" w:hAnsi="Arial" w:cs="Arial"/>
          <w:color w:val="000000"/>
          <w:sz w:val="20"/>
        </w:rPr>
        <w:t xml:space="preserve"> In </w:t>
      </w:r>
      <w:r>
        <w:rPr>
          <w:rFonts w:ascii="Arial" w:eastAsia="Arial" w:hAnsi="Arial" w:cs="Arial"/>
          <w:i/>
          <w:color w:val="000000"/>
          <w:sz w:val="20"/>
        </w:rPr>
        <w:t>Bryant</w:t>
      </w:r>
      <w:r>
        <w:rPr>
          <w:rFonts w:ascii="Arial" w:eastAsia="Arial" w:hAnsi="Arial" w:cs="Arial"/>
          <w:color w:val="000000"/>
          <w:sz w:val="20"/>
        </w:rPr>
        <w:t>, an inmate claimed that a prison violated the ADA when it (1) failed to install guardrails on his bed, and as a result, he fell out of bed and broke his leg due to leg spasms caused by his paraplegia, and (2) denied him pain medication for his broken leg.</w:t>
      </w:r>
      <w:r>
        <w:rPr>
          <w:rFonts w:ascii="Arial" w:eastAsia="Arial" w:hAnsi="Arial" w:cs="Arial"/>
          <w:vertAlign w:val="superscript"/>
        </w:rPr>
        <w:footnoteReference w:customMarkFollows="1" w:id="21"/>
        <w:t>21</w:t>
      </w:r>
      <w:r>
        <w:rPr>
          <w:rFonts w:ascii="Arial" w:eastAsia="Arial" w:hAnsi="Arial" w:cs="Arial"/>
          <w:color w:val="000000"/>
          <w:sz w:val="20"/>
        </w:rPr>
        <w:t xml:space="preserve"> The court characterized both allegations as ones of improper medical treatment of his paraplegia and held that the inmate's claims failed because "[t]he ADA does not create a remedy for medical malpractice" in prisons.</w:t>
      </w:r>
      <w:r>
        <w:rPr>
          <w:rFonts w:ascii="Arial" w:eastAsia="Arial" w:hAnsi="Arial" w:cs="Arial"/>
          <w:vertAlign w:val="superscript"/>
        </w:rPr>
        <w:footnoteReference w:customMarkFollows="1" w:id="22"/>
        <w:t>22</w:t>
      </w:r>
      <w:r>
        <w:rPr>
          <w:rFonts w:ascii="Arial" w:eastAsia="Arial" w:hAnsi="Arial" w:cs="Arial"/>
          <w:color w:val="000000"/>
          <w:sz w:val="20"/>
        </w:rPr>
        <w:t xml:space="preserve"> The court went on to explain that "incarceration, which requires the provision of a place to sleep, is not a 'program' or 'activity.' Sleeping in one's cell is not a 'program' or 'activity.'"</w:t>
      </w:r>
      <w:r>
        <w:rPr>
          <w:rFonts w:ascii="Arial" w:eastAsia="Arial" w:hAnsi="Arial" w:cs="Arial"/>
          <w:vertAlign w:val="superscript"/>
        </w:rPr>
        <w:footnoteReference w:customMarkFollows="1" w:id="23"/>
        <w:t>23</w:t>
      </w:r>
      <w:r>
        <w:rPr>
          <w:rFonts w:ascii="Arial" w:eastAsia="Arial" w:hAnsi="Arial" w:cs="Arial"/>
          <w:color w:val="000000"/>
          <w:sz w:val="20"/>
        </w:rPr>
        <w:t xml:space="preserve"> Similarly, the Western District of Pennsylvania cases characterize the failure to provide an accessible shower as medical treatment and conclude that showers are not [**9]  programs, services, or activities.</w:t>
      </w:r>
      <w:r>
        <w:rPr>
          <w:rFonts w:ascii="Arial" w:eastAsia="Arial" w:hAnsi="Arial" w:cs="Arial"/>
          <w:vertAlign w:val="superscript"/>
        </w:rPr>
        <w:footnoteReference w:customMarkFollows="1" w:id="24"/>
        <w:t>24</w:t>
      </w:r>
    </w:p>
    <w:p w:rsidR="00E456CD" w:rsidRDefault="00000000">
      <w:pPr>
        <w:pStyle w:val="Normal1"/>
        <w:widowControl w:val="0"/>
        <w:spacing w:before="200" w:line="260" w:lineRule="atLeast"/>
        <w:jc w:val="both"/>
      </w:pPr>
      <w:bookmarkStart w:id="146" w:name="Bookmark_para_14"/>
      <w:bookmarkEnd w:id="146"/>
      <w:r>
        <w:rPr>
          <w:rFonts w:ascii="Arial" w:eastAsia="Arial" w:hAnsi="Arial" w:cs="Arial"/>
          <w:color w:val="000000"/>
          <w:sz w:val="20"/>
        </w:rPr>
        <w:t xml:space="preserve"> [*291]  The problem with these cases' analysis is that complaints about not being provided an accessible shower are not allegations of medical malpractice or disagreements about medical treatment. They are requests for reasonable accommodations so that inmates with disabilities can take a shower—just like able-bodied inmates. Tellingly, the Seventh Circuit itself has not relied on </w:t>
      </w:r>
      <w:r>
        <w:rPr>
          <w:rFonts w:ascii="Arial" w:eastAsia="Arial" w:hAnsi="Arial" w:cs="Arial"/>
          <w:i/>
          <w:color w:val="000000"/>
          <w:sz w:val="20"/>
        </w:rPr>
        <w:t>Bryant</w:t>
      </w:r>
      <w:r>
        <w:rPr>
          <w:rFonts w:ascii="Arial" w:eastAsia="Arial" w:hAnsi="Arial" w:cs="Arial"/>
          <w:color w:val="000000"/>
          <w:sz w:val="20"/>
        </w:rPr>
        <w:t xml:space="preserve"> when deciding if showers constitute programs, services, or activities. As noted above, the Seventh Circuit answered this question in the affirmative in </w:t>
      </w:r>
      <w:r>
        <w:rPr>
          <w:rFonts w:ascii="Arial" w:eastAsia="Arial" w:hAnsi="Arial" w:cs="Arial"/>
          <w:i/>
          <w:color w:val="000000"/>
          <w:sz w:val="20"/>
        </w:rPr>
        <w:t>Jaros</w:t>
      </w:r>
      <w:r>
        <w:rPr>
          <w:rFonts w:ascii="Arial" w:eastAsia="Arial" w:hAnsi="Arial" w:cs="Arial"/>
          <w:color w:val="000000"/>
          <w:sz w:val="20"/>
        </w:rPr>
        <w:t>.</w:t>
      </w:r>
    </w:p>
    <w:p w:rsidR="00E456CD" w:rsidRDefault="00000000">
      <w:pPr>
        <w:pStyle w:val="Normal1"/>
        <w:widowControl w:val="0"/>
        <w:spacing w:before="200" w:line="260" w:lineRule="atLeast"/>
        <w:jc w:val="both"/>
      </w:pPr>
      <w:bookmarkStart w:id="147" w:name="Bookmark_para_15"/>
      <w:bookmarkEnd w:id="147"/>
      <w:r>
        <w:rPr>
          <w:rFonts w:ascii="Arial" w:eastAsia="Arial" w:hAnsi="Arial" w:cs="Arial"/>
          <w:color w:val="000000"/>
          <w:sz w:val="20"/>
        </w:rPr>
        <w:t xml:space="preserve">We conclude that </w:t>
      </w:r>
      <w:bookmarkStart w:id="148" w:name="Bookmark_LNHNREFclscc8"/>
      <w:bookmarkEnd w:id="148"/>
      <w:r>
        <w:rPr>
          <w:rFonts w:ascii="Arial" w:eastAsia="Arial" w:hAnsi="Arial" w:cs="Arial"/>
          <w:color w:val="000000"/>
          <w:sz w:val="20"/>
        </w:rPr>
        <w:t>provision of showers is a part of the programs, activities, or services referred to in the ADA and the RA.</w:t>
      </w:r>
    </w:p>
    <w:p w:rsidR="00E456CD" w:rsidRDefault="00000000">
      <w:pPr>
        <w:pStyle w:val="Normal1"/>
        <w:widowControl w:val="0"/>
        <w:spacing w:before="120" w:line="260" w:lineRule="atLeast"/>
      </w:pPr>
      <w:r>
        <w:rPr>
          <w:rFonts w:ascii="Arial" w:eastAsia="Arial" w:hAnsi="Arial" w:cs="Arial"/>
          <w:color w:val="000000"/>
          <w:sz w:val="20"/>
        </w:rPr>
        <w:t>B. DID FURGESS SUFFER DISCRIMINATION BECAUSE OF HIS DISABILITY?</w:t>
      </w:r>
    </w:p>
    <w:p w:rsidR="00E456CD" w:rsidRDefault="00000000">
      <w:pPr>
        <w:pStyle w:val="Normal1"/>
        <w:widowControl w:val="0"/>
        <w:spacing w:before="200" w:line="260" w:lineRule="atLeast"/>
        <w:jc w:val="both"/>
      </w:pPr>
      <w:bookmarkStart w:id="149" w:name="Bookmark_para_16"/>
      <w:bookmarkEnd w:id="149"/>
      <w:r>
        <w:rPr>
          <w:rFonts w:ascii="Arial" w:eastAsia="Arial" w:hAnsi="Arial" w:cs="Arial"/>
          <w:color w:val="000000"/>
          <w:sz w:val="20"/>
        </w:rPr>
        <w:t>Next, we address the PDOC's primary argument on appeal—that Furgess has not alleged he suffered discrimination "by reason of his disability." The PDOC contends that Furgess was deprived of a shower because his own misconduct landed him in the RHU, which lacked accessible shower facilities, not because the PDOC intentionally discriminated against him on the basis of his disability. It is not clear [**10]  whether the PDOC's argument goes to causation, intent, or both, but either way, its argument is unconvincing. Furgess's complaint alleges both causation and the requisite intent, deliberate indifference.</w:t>
      </w:r>
    </w:p>
    <w:p w:rsidR="00E456CD" w:rsidRDefault="00000000">
      <w:pPr>
        <w:pStyle w:val="Normal1"/>
        <w:widowControl w:val="0"/>
        <w:spacing w:before="200" w:line="260" w:lineRule="atLeast"/>
        <w:jc w:val="both"/>
      </w:pPr>
      <w:bookmarkStart w:id="150" w:name="Bookmark_para_17"/>
      <w:bookmarkEnd w:id="150"/>
      <w:r>
        <w:rPr>
          <w:rFonts w:ascii="Arial" w:eastAsia="Arial" w:hAnsi="Arial" w:cs="Arial"/>
          <w:color w:val="000000"/>
          <w:sz w:val="20"/>
        </w:rPr>
        <w:t>As to causation, the sole cause of Furgess's deprivation of a shower was his disability.</w:t>
      </w:r>
      <w:r>
        <w:rPr>
          <w:rFonts w:ascii="Arial" w:eastAsia="Arial" w:hAnsi="Arial" w:cs="Arial"/>
          <w:vertAlign w:val="superscript"/>
        </w:rPr>
        <w:footnoteReference w:customMarkFollows="1" w:id="25"/>
        <w:t>25</w:t>
      </w:r>
      <w:r>
        <w:rPr>
          <w:rFonts w:ascii="Arial" w:eastAsia="Arial" w:hAnsi="Arial" w:cs="Arial"/>
          <w:color w:val="000000"/>
          <w:sz w:val="20"/>
        </w:rPr>
        <w:t xml:space="preserve"> The PDOC's argument to the contrary fails because it conflates the alleged discriminatory action—failure to accommodate by not making the RHU showers handicapped-accessible—with the causation element of Furgess's claims. In other words, the PDOC's transfer of Furgess to the RHU cannot serve as a superseding or intervening "cause" of the lack of a shower that would defeat his claims.</w:t>
      </w:r>
    </w:p>
    <w:p w:rsidR="00E456CD" w:rsidRDefault="00000000">
      <w:pPr>
        <w:pStyle w:val="Normal1"/>
        <w:widowControl w:val="0"/>
        <w:spacing w:before="200" w:line="260" w:lineRule="atLeast"/>
        <w:jc w:val="both"/>
      </w:pPr>
      <w:bookmarkStart w:id="155" w:name="Bookmark_para_18"/>
      <w:bookmarkEnd w:id="155"/>
      <w:r>
        <w:rPr>
          <w:rFonts w:ascii="Arial" w:eastAsia="Arial" w:hAnsi="Arial" w:cs="Arial"/>
          <w:color w:val="000000"/>
          <w:sz w:val="20"/>
        </w:rPr>
        <w:t xml:space="preserve">The PDOC tries to convince us that Furgess was in the RHU because of a disciplinary infraction, and that but-for his alleged misconduct, he would not be in the RHU and thus deprived of a shower. But the reason why Furgess was housed in the RHU is irrelevant. </w:t>
      </w:r>
      <w:bookmarkStart w:id="156" w:name="Bookmark_LNHNREFclscc10"/>
      <w:bookmarkEnd w:id="156"/>
      <w:r>
        <w:rPr>
          <w:rFonts w:ascii="Arial" w:eastAsia="Arial" w:hAnsi="Arial" w:cs="Arial"/>
          <w:color w:val="000000"/>
          <w:sz w:val="20"/>
        </w:rPr>
        <w:t>A prisoner's misconduct does not strip him of his right to reasonable accommodations, and a prison's obligation to comply with the ADA and the RA does not disappear when inmates are placed in a segregated housing unit, regardless of the reason for which they are housed [**11]  there. As the ADA's regulations make clear, the PDOC's failure to equip the RHU with accessible showers does not excuse the prison from its duty to reasonably accommodate prisoners with disabilities.</w:t>
      </w:r>
      <w:r>
        <w:rPr>
          <w:rFonts w:ascii="Arial" w:eastAsia="Arial" w:hAnsi="Arial" w:cs="Arial"/>
          <w:vertAlign w:val="superscript"/>
        </w:rPr>
        <w:footnoteReference w:customMarkFollows="1" w:id="26"/>
        <w:t>26</w:t>
      </w:r>
    </w:p>
    <w:p w:rsidR="00E456CD" w:rsidRDefault="00000000">
      <w:pPr>
        <w:pStyle w:val="Normal1"/>
        <w:widowControl w:val="0"/>
        <w:spacing w:before="200" w:line="260" w:lineRule="atLeast"/>
        <w:jc w:val="both"/>
      </w:pPr>
      <w:bookmarkStart w:id="158" w:name="Bookmark_para_19"/>
      <w:bookmarkEnd w:id="158"/>
      <w:r>
        <w:rPr>
          <w:rFonts w:ascii="Arial" w:eastAsia="Arial" w:hAnsi="Arial" w:cs="Arial"/>
          <w:color w:val="000000"/>
          <w:sz w:val="20"/>
        </w:rPr>
        <w:t xml:space="preserve"> [*292]  </w:t>
      </w:r>
      <w:bookmarkStart w:id="159" w:name="Bookmark_I5WSB5X02SF8MH0050000400"/>
      <w:bookmarkStart w:id="160" w:name="Bookmark_I5WSB5X12SF8MR0020000400"/>
      <w:bookmarkEnd w:id="159"/>
      <w:bookmarkEnd w:id="160"/>
      <w:r>
        <w:rPr>
          <w:rFonts w:ascii="Arial" w:eastAsia="Arial" w:hAnsi="Arial" w:cs="Arial"/>
          <w:color w:val="000000"/>
          <w:sz w:val="20"/>
        </w:rPr>
        <w:t xml:space="preserve">Furgess has also alleged intentional discrimination, which, </w:t>
      </w:r>
      <w:bookmarkStart w:id="161" w:name="Bookmark_LNHNREFclscc11"/>
      <w:bookmarkEnd w:id="161"/>
      <w:r>
        <w:rPr>
          <w:rFonts w:ascii="Arial" w:eastAsia="Arial" w:hAnsi="Arial" w:cs="Arial"/>
          <w:color w:val="000000"/>
          <w:sz w:val="20"/>
        </w:rPr>
        <w:t>in this Circuit, may be satisfied by a showing of deliberate indifference.</w:t>
      </w:r>
      <w:r>
        <w:rPr>
          <w:rFonts w:ascii="Arial" w:eastAsia="Arial" w:hAnsi="Arial" w:cs="Arial"/>
          <w:vertAlign w:val="superscript"/>
        </w:rPr>
        <w:footnoteReference w:customMarkFollows="1" w:id="27"/>
        <w:t>27</w:t>
      </w:r>
      <w:r>
        <w:rPr>
          <w:rFonts w:ascii="Arial" w:eastAsia="Arial" w:hAnsi="Arial" w:cs="Arial"/>
          <w:color w:val="000000"/>
          <w:sz w:val="20"/>
        </w:rPr>
        <w:t xml:space="preserve"> Under this test, Furgess must allege that (1) the PDOC had "knowledge that a federally protected right is substantially likely to be violated," (i.e. knowledge that the failure to provide Furgess with an accessible shower likely violated his right to reasonable accommodations of his disability), and (2) the prison failed "to act despite that knowledge."</w:t>
      </w:r>
      <w:r>
        <w:rPr>
          <w:rFonts w:ascii="Arial" w:eastAsia="Arial" w:hAnsi="Arial" w:cs="Arial"/>
          <w:vertAlign w:val="superscript"/>
        </w:rPr>
        <w:footnoteReference w:customMarkFollows="1" w:id="28"/>
        <w:t>28</w:t>
      </w:r>
    </w:p>
    <w:p w:rsidR="00E456CD" w:rsidRDefault="00000000">
      <w:pPr>
        <w:pStyle w:val="Normal1"/>
        <w:widowControl w:val="0"/>
        <w:spacing w:before="200" w:line="260" w:lineRule="atLeast"/>
        <w:jc w:val="both"/>
      </w:pPr>
      <w:bookmarkStart w:id="167" w:name="Bookmark_para_20"/>
      <w:bookmarkEnd w:id="167"/>
      <w:r>
        <w:rPr>
          <w:rFonts w:ascii="Arial" w:eastAsia="Arial" w:hAnsi="Arial" w:cs="Arial"/>
          <w:color w:val="000000"/>
          <w:sz w:val="20"/>
        </w:rPr>
        <w:t>As to the first prong, there are multiple allegations that the PDOC knew about Furgess's need for an accessible shower facility. First, at the time that Furgess was held in the general prison population, he requested and was granted an accessible shower stall. Second, after he was placed in the RHU, he requested an accessible shower multiple times. Third, the medical staff as well as the RHU Lieutenant and the Superintendent [**12]  knew that Furgess had not been able to shower because the RHU showers were not handicapped-accessible. It is clear from the above that the PDOC knew that Furgess required a handicapped-accessible shower and that by failing to provide him with one, his right to a reasonable accommodation of his disability was likely to be violated. The second prong, failure to act, is also adequately pled. For three months, the PDOC did not provide him with any accommodation that would allow him to shower; when they did bring him to a shower, it was not handicapped-accessible. We conclude that these allegations constitute deliberate indifference.</w:t>
      </w:r>
    </w:p>
    <w:p w:rsidR="00E456CD" w:rsidRDefault="00000000">
      <w:pPr>
        <w:pStyle w:val="Normal1"/>
        <w:widowControl w:val="0"/>
        <w:spacing w:before="200" w:line="260" w:lineRule="atLeast"/>
        <w:jc w:val="both"/>
      </w:pPr>
      <w:bookmarkStart w:id="168" w:name="Bookmark_para_21"/>
      <w:bookmarkStart w:id="169" w:name="Bookmark_I5KS9475NWX000054PM0001T"/>
      <w:bookmarkStart w:id="170" w:name="Bookmark_I5WSB5X12SF8MR0040000400"/>
      <w:bookmarkStart w:id="171" w:name="Bookmark_I5WSB5X12HM6JS0010000400"/>
      <w:bookmarkEnd w:id="168"/>
      <w:bookmarkEnd w:id="169"/>
      <w:bookmarkEnd w:id="170"/>
      <w:bookmarkEnd w:id="171"/>
      <w:r>
        <w:rPr>
          <w:rFonts w:ascii="Arial" w:eastAsia="Arial" w:hAnsi="Arial" w:cs="Arial"/>
          <w:color w:val="000000"/>
          <w:sz w:val="20"/>
        </w:rPr>
        <w:t xml:space="preserve">The PDOC cites </w:t>
      </w:r>
      <w:r>
        <w:rPr>
          <w:rFonts w:ascii="Arial" w:eastAsia="Arial" w:hAnsi="Arial" w:cs="Arial"/>
          <w:i/>
          <w:color w:val="000000"/>
          <w:sz w:val="20"/>
        </w:rPr>
        <w:t>Thomas v. Pennsylvania Department of Corrections</w:t>
      </w:r>
      <w:r>
        <w:rPr>
          <w:rFonts w:ascii="Arial" w:eastAsia="Arial" w:hAnsi="Arial" w:cs="Arial"/>
          <w:color w:val="000000"/>
          <w:sz w:val="20"/>
        </w:rPr>
        <w:t>,</w:t>
      </w:r>
      <w:r>
        <w:rPr>
          <w:rFonts w:ascii="Arial" w:eastAsia="Arial" w:hAnsi="Arial" w:cs="Arial"/>
          <w:vertAlign w:val="superscript"/>
        </w:rPr>
        <w:footnoteReference w:customMarkFollows="1" w:id="29"/>
        <w:t>29</w:t>
      </w:r>
      <w:r>
        <w:rPr>
          <w:rFonts w:ascii="Arial" w:eastAsia="Arial" w:hAnsi="Arial" w:cs="Arial"/>
          <w:color w:val="000000"/>
          <w:sz w:val="20"/>
        </w:rPr>
        <w:t xml:space="preserve"> in which the plaintiff claimed that the prison violated the ADA by providing him with a replacement prosthetic leg that was inferior to his old one.</w:t>
      </w:r>
      <w:r>
        <w:rPr>
          <w:rFonts w:ascii="Arial" w:eastAsia="Arial" w:hAnsi="Arial" w:cs="Arial"/>
          <w:vertAlign w:val="superscript"/>
        </w:rPr>
        <w:footnoteReference w:customMarkFollows="1" w:id="30"/>
        <w:t>30</w:t>
      </w:r>
      <w:r>
        <w:rPr>
          <w:rFonts w:ascii="Arial" w:eastAsia="Arial" w:hAnsi="Arial" w:cs="Arial"/>
          <w:color w:val="000000"/>
          <w:sz w:val="20"/>
        </w:rPr>
        <w:t xml:space="preserve"> The district court held that the replacement prosthetic was a reasonable accommodation of his disability, and even if the prosthetic was "inferior," the prison's provision of the prosthetic was not "by reason of his disability" because the Department of Corrections provides only one type of prosthesis.</w:t>
      </w:r>
      <w:r>
        <w:rPr>
          <w:rFonts w:ascii="Arial" w:eastAsia="Arial" w:hAnsi="Arial" w:cs="Arial"/>
          <w:vertAlign w:val="superscript"/>
        </w:rPr>
        <w:footnoteReference w:customMarkFollows="1" w:id="31"/>
        <w:t>31</w:t>
      </w:r>
      <w:r>
        <w:rPr>
          <w:rFonts w:ascii="Arial" w:eastAsia="Arial" w:hAnsi="Arial" w:cs="Arial"/>
          <w:color w:val="000000"/>
          <w:sz w:val="20"/>
        </w:rPr>
        <w:t xml:space="preserve"> Thus, Thomas was accommodated without discrimination, [**13]  and we find it distinguishable.</w:t>
      </w:r>
    </w:p>
    <w:p w:rsidR="00E456CD" w:rsidRDefault="00000000">
      <w:pPr>
        <w:pStyle w:val="Normal1"/>
        <w:widowControl w:val="0"/>
        <w:spacing w:before="200" w:line="260" w:lineRule="atLeast"/>
        <w:jc w:val="both"/>
      </w:pPr>
      <w:bookmarkStart w:id="182" w:name="Bookmark_para_22"/>
      <w:bookmarkEnd w:id="182"/>
      <w:r>
        <w:rPr>
          <w:rFonts w:ascii="Arial" w:eastAsia="Arial" w:hAnsi="Arial" w:cs="Arial"/>
          <w:color w:val="000000"/>
          <w:sz w:val="20"/>
        </w:rPr>
        <w:t>For the above reasons, we hold that Furgess has adequately alleged that he was denied a shower "by reason of" his disability and that the PDOC was deliberately indifferent in failing to provide him with a handicapped-accessible shower.</w:t>
      </w:r>
    </w:p>
    <w:p w:rsidR="00E456CD" w:rsidRDefault="00000000">
      <w:pPr>
        <w:pStyle w:val="Normal1"/>
        <w:widowControl w:val="0"/>
        <w:spacing w:before="120" w:line="260" w:lineRule="atLeast"/>
      </w:pPr>
      <w:r>
        <w:rPr>
          <w:rFonts w:ascii="Arial" w:eastAsia="Arial" w:hAnsi="Arial" w:cs="Arial"/>
          <w:color w:val="000000"/>
          <w:sz w:val="20"/>
        </w:rPr>
        <w:t>IV.</w:t>
      </w:r>
    </w:p>
    <w:p w:rsidR="00E456CD" w:rsidRDefault="00000000">
      <w:pPr>
        <w:pStyle w:val="Normal1"/>
        <w:widowControl w:val="0"/>
        <w:spacing w:before="200" w:line="260" w:lineRule="atLeast"/>
        <w:jc w:val="both"/>
      </w:pPr>
      <w:bookmarkStart w:id="183" w:name="Bookmark_para_23"/>
      <w:bookmarkEnd w:id="183"/>
      <w:r>
        <w:rPr>
          <w:rFonts w:ascii="Arial" w:eastAsia="Arial" w:hAnsi="Arial" w:cs="Arial"/>
          <w:color w:val="000000"/>
          <w:sz w:val="20"/>
        </w:rPr>
        <w:t>We vacate the District Court's dismissal of Furgess's complaint and remand for further proceeding consistent with this opinion.</w:t>
      </w:r>
    </w:p>
    <w:p w:rsidR="00E456CD" w:rsidRDefault="00E456CD">
      <w:pPr>
        <w:pStyle w:val="Normal1"/>
      </w:pPr>
    </w:p>
    <w:p w:rsidR="00E456CD" w:rsidRDefault="00000000">
      <w:pPr>
        <w:pStyle w:val="Normal1"/>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37867817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310B7"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
        <w:sectPr w:rsidR="00E456CD">
          <w:headerReference w:type="even" r:id="rId18"/>
          <w:headerReference w:type="default" r:id="rId19"/>
          <w:footerReference w:type="even" r:id="rId20"/>
          <w:footerReference w:type="default" r:id="rId21"/>
          <w:headerReference w:type="first" r:id="rId22"/>
          <w:footerReference w:type="first" r:id="rId23"/>
          <w:pgSz w:w="12240" w:h="15840"/>
          <w:pgMar w:top="840" w:right="1000" w:bottom="840" w:left="1000" w:header="400" w:footer="400" w:gutter="0"/>
          <w:cols w:space="720"/>
          <w:titlePg/>
        </w:sectPr>
      </w:pPr>
    </w:p>
    <w:p w:rsidR="00E456CD" w:rsidRDefault="00E456CD">
      <w:pPr>
        <w:pStyle w:val="Normal2"/>
      </w:pPr>
    </w:p>
    <w:p w:rsidR="00E456CD" w:rsidRDefault="00000000">
      <w:pPr>
        <w:pStyle w:val="Heading11"/>
        <w:keepNext w:val="0"/>
        <w:widowControl w:val="0"/>
        <w:spacing w:after="200" w:line="340" w:lineRule="atLeast"/>
        <w:jc w:val="center"/>
      </w:pPr>
      <w:r>
        <w:rPr>
          <w:rFonts w:eastAsia="Arial"/>
          <w:color w:val="000000"/>
          <w:sz w:val="28"/>
        </w:rPr>
        <w:t>Childress v. Fox Assocs., LLC</w:t>
      </w:r>
    </w:p>
    <w:p w:rsidR="00E456CD" w:rsidRDefault="00000000">
      <w:pPr>
        <w:pStyle w:val="Normal2"/>
        <w:widowControl w:val="0"/>
        <w:spacing w:before="120" w:line="260" w:lineRule="atLeast"/>
        <w:jc w:val="center"/>
      </w:pPr>
      <w:r>
        <w:rPr>
          <w:rFonts w:ascii="Arial" w:eastAsia="Arial" w:hAnsi="Arial" w:cs="Arial"/>
          <w:color w:val="000000"/>
          <w:sz w:val="20"/>
        </w:rPr>
        <w:t>United States Court of Appeals for the Eighth Circuit</w:t>
      </w:r>
    </w:p>
    <w:p w:rsidR="00E456CD" w:rsidRDefault="00000000">
      <w:pPr>
        <w:pStyle w:val="Normal2"/>
        <w:widowControl w:val="0"/>
        <w:spacing w:before="120" w:line="260" w:lineRule="atLeast"/>
        <w:jc w:val="center"/>
      </w:pPr>
      <w:r>
        <w:rPr>
          <w:rFonts w:ascii="Arial" w:eastAsia="Arial" w:hAnsi="Arial" w:cs="Arial"/>
          <w:color w:val="000000"/>
          <w:sz w:val="20"/>
        </w:rPr>
        <w:t>April 17, 2019, Submitted; August 7, 2019, Filed</w:t>
      </w:r>
    </w:p>
    <w:p w:rsidR="00E456CD" w:rsidRDefault="00000000">
      <w:pPr>
        <w:pStyle w:val="Normal2"/>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18-2352, No. 18-2577</w:t>
      </w:r>
    </w:p>
    <w:p w:rsidR="00E456CD" w:rsidRDefault="00E456CD">
      <w:pPr>
        <w:pStyle w:val="Normal2"/>
        <w:widowControl w:val="0"/>
        <w:spacing w:line="240" w:lineRule="atLeast"/>
        <w:jc w:val="both"/>
      </w:pPr>
      <w:bookmarkStart w:id="184" w:name="Bookmark_3"/>
      <w:bookmarkEnd w:id="184"/>
    </w:p>
    <w:p w:rsidR="00E456CD" w:rsidRDefault="00000000">
      <w:pPr>
        <w:pStyle w:val="Normal2"/>
        <w:widowControl w:val="0"/>
        <w:spacing w:before="200" w:line="240" w:lineRule="atLeast"/>
      </w:pPr>
      <w:bookmarkStart w:id="185" w:name="Reporter_1"/>
      <w:bookmarkEnd w:id="185"/>
      <w:r>
        <w:rPr>
          <w:rFonts w:ascii="Arial" w:eastAsia="Arial" w:hAnsi="Arial" w:cs="Arial"/>
          <w:b/>
          <w:color w:val="000000"/>
          <w:sz w:val="18"/>
        </w:rPr>
        <w:t>Reporter</w:t>
      </w:r>
    </w:p>
    <w:p w:rsidR="00E456CD" w:rsidRDefault="00000000">
      <w:pPr>
        <w:pStyle w:val="Normal2"/>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932 F.3d 1165 *; 2019 U.S. App. LEXIS 23581 **; 2019 WL 3642999</w:t>
      </w:r>
    </w:p>
    <w:p w:rsidR="00E456CD" w:rsidRDefault="00000000">
      <w:pPr>
        <w:pStyle w:val="Normal2"/>
        <w:widowControl w:val="0"/>
        <w:spacing w:before="120" w:line="260" w:lineRule="atLeast"/>
      </w:pPr>
      <w:r>
        <w:rPr>
          <w:rFonts w:ascii="Arial" w:eastAsia="Arial" w:hAnsi="Arial" w:cs="Arial"/>
          <w:color w:val="000000"/>
          <w:sz w:val="20"/>
        </w:rPr>
        <w:t>Maria C. Childress, An Individual, on behalf of Herself and Others Similarly Situated, also known as Tina Childress; Association of Late Deafened Adults, (ALDA), an Illinois Corporation, Plaintiffs - Appellees; Mary Stodden, An Individual, on behalf of Herself and Others Similarly Situated, Petitioner - Appellee; Hearing Loss Association of America, Greater St. Louis Chapter, (HLAA-StL), an unincorporated affiliate of the Hearing Loss of America, A Maryland Corporation, Plaintiff - Appellee v. Fox Associates, LLC, doing business as Fabulous Fox Theatre, Defendant - Appellant;Maria C. Childress, An Individual, on behalf of Herself and Others Similarly Situated, also known as Tina Childress; Association of Late Deafened Adults, (ALDA), an Illinois Corporation, Plaintiffs - Appellees; Mary Stodden, Individual, on behalf of Herself and Others Similarly Situated, Petitioner - Appellee; Hearing Loss Association of America, Greater St. Louis Chapter, (HLAA-StL), an unincorporated affiliate of the Hearing Loss of America, A Maryland Corporation, Plaintiff - Appellee v. Fox Associates, LLC, doing business as Fabulous Fox Theatre, Defendant - Appellant</w:t>
      </w:r>
    </w:p>
    <w:p w:rsidR="00E456CD" w:rsidRDefault="00000000">
      <w:pPr>
        <w:pStyle w:val="Normal2"/>
        <w:widowControl w:val="0"/>
        <w:spacing w:before="240" w:line="260" w:lineRule="atLeast"/>
      </w:pPr>
      <w:bookmarkStart w:id="186" w:name="Subsequent_History"/>
      <w:bookmarkEnd w:id="186"/>
      <w:r>
        <w:rPr>
          <w:rFonts w:ascii="Arial" w:eastAsia="Arial" w:hAnsi="Arial" w:cs="Arial"/>
          <w:b/>
          <w:color w:val="000000"/>
          <w:sz w:val="20"/>
        </w:rPr>
        <w:t>Subsequent History:</w:t>
      </w:r>
      <w:r>
        <w:rPr>
          <w:rFonts w:ascii="Arial" w:eastAsia="Arial" w:hAnsi="Arial" w:cs="Arial"/>
          <w:color w:val="000000"/>
          <w:sz w:val="20"/>
        </w:rPr>
        <w:t> Rehearing denied by, En banc, Rehearing denied by Childress v. Fox Assocs., LLC, 2019 U.S. App. LEXIS 29622 (8th Cir. Mo., Oct. 2, 2019)</w:t>
      </w:r>
    </w:p>
    <w:p w:rsidR="00E456CD" w:rsidRDefault="00000000">
      <w:pPr>
        <w:pStyle w:val="Normal2"/>
        <w:widowControl w:val="0"/>
        <w:spacing w:before="240" w:line="260" w:lineRule="atLeast"/>
      </w:pPr>
      <w:bookmarkStart w:id="187" w:name="Prior_History_1"/>
      <w:bookmarkEnd w:id="187"/>
      <w:r>
        <w:rPr>
          <w:rFonts w:ascii="Arial" w:eastAsia="Arial" w:hAnsi="Arial" w:cs="Arial"/>
          <w:b/>
          <w:color w:val="000000"/>
          <w:sz w:val="20"/>
        </w:rPr>
        <w:t>Prior History:</w:t>
      </w:r>
      <w:r>
        <w:rPr>
          <w:rFonts w:ascii="Arial" w:eastAsia="Arial" w:hAnsi="Arial" w:cs="Arial"/>
          <w:color w:val="000000"/>
          <w:sz w:val="20"/>
        </w:rPr>
        <w:t> Childress v. Fox Assocs., LLC, 2018 U.S. Dist. LEXIS 108989 (E.D. Mo., June 29, 2018)</w:t>
      </w:r>
    </w:p>
    <w:p w:rsidR="00E456CD" w:rsidRDefault="00000000">
      <w:pPr>
        <w:pStyle w:val="Normal2"/>
        <w:widowControl w:val="0"/>
        <w:spacing w:before="120" w:line="260" w:lineRule="atLeast"/>
      </w:pPr>
      <w:r>
        <w:rPr>
          <w:rFonts w:ascii="Arial" w:eastAsia="Arial" w:hAnsi="Arial" w:cs="Arial"/>
          <w:color w:val="000000"/>
          <w:sz w:val="20"/>
        </w:rPr>
        <w:t>Childress v. Fox Assocs., LLC, 2018 U.S. Dist. LEXIS 65126 (E.D. Mo., Apr. 18, 2018)</w:t>
      </w:r>
    </w:p>
    <w:p w:rsidR="00E456CD" w:rsidRDefault="00000000">
      <w:pPr>
        <w:pStyle w:val="Normal2"/>
        <w:widowControl w:val="0"/>
        <w:spacing w:before="240" w:line="260" w:lineRule="atLeast"/>
      </w:pPr>
      <w:bookmarkStart w:id="188" w:name="Counsel_1"/>
      <w:bookmarkEnd w:id="188"/>
      <w:r>
        <w:rPr>
          <w:rFonts w:ascii="Arial" w:eastAsia="Arial" w:hAnsi="Arial" w:cs="Arial"/>
          <w:b/>
          <w:color w:val="000000"/>
          <w:sz w:val="20"/>
        </w:rPr>
        <w:t>Counsel:</w:t>
      </w:r>
      <w:r>
        <w:rPr>
          <w:rFonts w:ascii="Arial" w:eastAsia="Arial" w:hAnsi="Arial" w:cs="Arial"/>
          <w:color w:val="000000"/>
          <w:sz w:val="20"/>
        </w:rPr>
        <w:t>  [**1] For Maria C. Childress, An Individual, on behalf of Herself and Others Similarly Situated, also known as: Tina Childress, Association of Late Deafened Adults, (ALDA), an Illinois Corporation, Hearing Loss Association of America, Greater St. Louis Chapter, (HLAA-StL), an unincorporated affiliate of the Hearing Loss America, A Maryland Corporation (18-2352, 18-2577), Plaintiffs - Appellees: John Frazier Waldo Jr., Law Office of John F. Waldo, Houston, TX.</w:t>
      </w:r>
    </w:p>
    <w:p w:rsidR="00E456CD" w:rsidRDefault="00000000">
      <w:pPr>
        <w:pStyle w:val="Normal2"/>
        <w:widowControl w:val="0"/>
        <w:spacing w:before="120" w:line="260" w:lineRule="atLeast"/>
      </w:pPr>
      <w:r>
        <w:rPr>
          <w:rFonts w:ascii="Arial" w:eastAsia="Arial" w:hAnsi="Arial" w:cs="Arial"/>
          <w:color w:val="000000"/>
          <w:sz w:val="20"/>
        </w:rPr>
        <w:t>For Mary Stodden, Individuals, on behalf of Themselves and Others Similarily Situated (18-2352, 18-2577), Petitioner - Appellee: John Frazier Waldo Jr., Law Office of John F. Waldo, Houston, TX.</w:t>
      </w:r>
    </w:p>
    <w:p w:rsidR="00E456CD" w:rsidRDefault="00000000">
      <w:pPr>
        <w:pStyle w:val="Normal2"/>
        <w:widowControl w:val="0"/>
        <w:spacing w:before="120" w:line="260" w:lineRule="atLeast"/>
      </w:pPr>
      <w:r>
        <w:rPr>
          <w:rFonts w:ascii="Arial" w:eastAsia="Arial" w:hAnsi="Arial" w:cs="Arial"/>
          <w:color w:val="000000"/>
          <w:sz w:val="20"/>
        </w:rPr>
        <w:t>For Fox Associates, LLC, doing business as: Fabulous Fox Theatre (18-2352, 18-2577), Defendant - Appellant: Rene Leigh Duckworth, James M. Paul, Ogletree &amp; Deakins, Saint Louis, MO.</w:t>
      </w:r>
    </w:p>
    <w:p w:rsidR="00E456CD" w:rsidRDefault="00000000">
      <w:pPr>
        <w:pStyle w:val="Normal2"/>
        <w:widowControl w:val="0"/>
        <w:spacing w:before="240" w:line="260" w:lineRule="atLeast"/>
      </w:pPr>
      <w:bookmarkStart w:id="189" w:name="Judges_1"/>
      <w:bookmarkEnd w:id="189"/>
      <w:r>
        <w:rPr>
          <w:rFonts w:ascii="Arial" w:eastAsia="Arial" w:hAnsi="Arial" w:cs="Arial"/>
          <w:b/>
          <w:color w:val="000000"/>
          <w:sz w:val="20"/>
        </w:rPr>
        <w:t>Judges:</w:t>
      </w:r>
      <w:r>
        <w:rPr>
          <w:rFonts w:ascii="Arial" w:eastAsia="Arial" w:hAnsi="Arial" w:cs="Arial"/>
          <w:color w:val="000000"/>
          <w:sz w:val="20"/>
        </w:rPr>
        <w:t> Before SHEPHERD, MELLOY, and GRASZ, Circuit Judges. GRASZ, Circuit Judge, dissenting.</w:t>
      </w:r>
    </w:p>
    <w:p w:rsidR="00E456CD" w:rsidRDefault="00000000">
      <w:pPr>
        <w:pStyle w:val="Normal2"/>
        <w:widowControl w:val="0"/>
        <w:spacing w:before="240" w:line="260" w:lineRule="atLeast"/>
      </w:pPr>
      <w:bookmarkStart w:id="190" w:name="Opinion_by_0"/>
      <w:bookmarkEnd w:id="190"/>
      <w:r>
        <w:rPr>
          <w:rFonts w:ascii="Arial" w:eastAsia="Arial" w:hAnsi="Arial" w:cs="Arial"/>
          <w:b/>
          <w:color w:val="000000"/>
          <w:sz w:val="20"/>
        </w:rPr>
        <w:t>Opinion by:</w:t>
      </w:r>
      <w:r>
        <w:rPr>
          <w:rFonts w:ascii="Arial" w:eastAsia="Arial" w:hAnsi="Arial" w:cs="Arial"/>
          <w:color w:val="000000"/>
          <w:sz w:val="20"/>
        </w:rPr>
        <w:t> SHEPHERD</w:t>
      </w:r>
    </w:p>
    <w:p w:rsidR="00E456CD" w:rsidRDefault="00000000">
      <w:pPr>
        <w:pStyle w:val="Normal2"/>
        <w:keepNext/>
        <w:widowControl w:val="0"/>
        <w:spacing w:before="240" w:line="340" w:lineRule="atLeast"/>
      </w:pPr>
      <w:bookmarkStart w:id="191" w:name="Opinion_1"/>
      <w:bookmarkEnd w:id="191"/>
      <w:r>
        <w:rPr>
          <w:rFonts w:ascii="Arial" w:eastAsia="Arial" w:hAnsi="Arial" w:cs="Arial"/>
          <w:b/>
          <w:color w:val="000000"/>
          <w:sz w:val="28"/>
        </w:rPr>
        <w:t>Opinion</w:t>
      </w:r>
    </w:p>
    <w:p w:rsidR="00E456CD" w:rsidRDefault="00E22289">
      <w:pPr>
        <w:pStyle w:val="Normal2"/>
        <w:spacing w:line="60" w:lineRule="exact"/>
      </w:pP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4231955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8048A"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
      </w:pPr>
    </w:p>
    <w:p w:rsidR="00E456CD" w:rsidRDefault="00000000">
      <w:pPr>
        <w:pStyle w:val="Normal2"/>
        <w:widowControl w:val="0"/>
        <w:spacing w:before="200" w:line="260" w:lineRule="atLeast"/>
        <w:jc w:val="both"/>
      </w:pPr>
      <w:bookmarkStart w:id="192" w:name="Bookmark_para_1_1"/>
      <w:bookmarkEnd w:id="192"/>
      <w:r>
        <w:rPr>
          <w:rFonts w:ascii="Arial" w:eastAsia="Arial" w:hAnsi="Arial" w:cs="Arial"/>
          <w:color w:val="000000"/>
          <w:sz w:val="20"/>
        </w:rPr>
        <w:t> [*1168]  SHEPHERD, Circuit Judge.</w:t>
      </w:r>
    </w:p>
    <w:p w:rsidR="00E456CD" w:rsidRDefault="00000000">
      <w:pPr>
        <w:pStyle w:val="Normal2"/>
        <w:widowControl w:val="0"/>
        <w:spacing w:before="200" w:line="260" w:lineRule="atLeast"/>
        <w:jc w:val="both"/>
      </w:pPr>
      <w:bookmarkStart w:id="193" w:name="Bookmark_para_2_1"/>
      <w:bookmarkEnd w:id="193"/>
      <w:r>
        <w:rPr>
          <w:rFonts w:ascii="Arial" w:eastAsia="Arial" w:hAnsi="Arial" w:cs="Arial"/>
          <w:color w:val="000000"/>
          <w:sz w:val="20"/>
        </w:rPr>
        <w:t>Fox Associates, LLC, doing business as the Fabulous Fox Theater, appeals the district court's</w:t>
      </w:r>
      <w:r>
        <w:rPr>
          <w:rFonts w:ascii="Arial" w:eastAsia="Arial" w:hAnsi="Arial" w:cs="Arial"/>
          <w:vertAlign w:val="superscript"/>
        </w:rPr>
        <w:footnoteReference w:customMarkFollows="1" w:id="32"/>
        <w:t>1</w:t>
      </w:r>
      <w:r>
        <w:rPr>
          <w:rFonts w:ascii="Arial" w:eastAsia="Arial" w:hAnsi="Arial" w:cs="Arial"/>
          <w:color w:val="000000"/>
          <w:sz w:val="20"/>
        </w:rPr>
        <w:t xml:space="preserve"> adverse grant of summary judgment and award of attorney's fees, expenses, and costs on an Americans with Disabilities Act claim brought by Maria Childress and [**2]  Mary Stodden, two individuals with hearing impairments, as well as two organizations that serve individuals with hearing impairments. Having jurisdiction under 28 U.S.C. § 1291, we affirm.</w:t>
      </w:r>
    </w:p>
    <w:p w:rsidR="00E456CD" w:rsidRDefault="00000000">
      <w:pPr>
        <w:pStyle w:val="Normal2"/>
        <w:widowControl w:val="0"/>
        <w:spacing w:before="120" w:line="260" w:lineRule="atLeast"/>
      </w:pPr>
      <w:r>
        <w:rPr>
          <w:rFonts w:ascii="Arial" w:eastAsia="Arial" w:hAnsi="Arial" w:cs="Arial"/>
          <w:color w:val="000000"/>
          <w:sz w:val="20"/>
        </w:rPr>
        <w:t>I.</w:t>
      </w:r>
    </w:p>
    <w:p w:rsidR="00E456CD" w:rsidRDefault="00000000">
      <w:pPr>
        <w:pStyle w:val="Normal2"/>
        <w:widowControl w:val="0"/>
        <w:spacing w:before="200" w:line="260" w:lineRule="atLeast"/>
        <w:jc w:val="both"/>
      </w:pPr>
      <w:bookmarkStart w:id="195" w:name="Bookmark_para_3_1"/>
      <w:bookmarkEnd w:id="195"/>
      <w:r>
        <w:rPr>
          <w:rFonts w:ascii="Arial" w:eastAsia="Arial" w:hAnsi="Arial" w:cs="Arial"/>
          <w:color w:val="000000"/>
          <w:sz w:val="20"/>
        </w:rPr>
        <w:t>Fox Associates runs the Fabulous Fox Theater (the Fox), a 4,500-seat live theater in St. Louis, Missouri. The Fox does not develop or produce its own shows; rather, it provides a venue for traveling Broadway shows to perform. These traveling shows do not rehearse at the Fox for any length of time before performing. They simply arrive at the venue, set up their sets and equipment pursuant to their needs, and conduct multiple performances of the same production.</w:t>
      </w:r>
    </w:p>
    <w:p w:rsidR="00E456CD" w:rsidRDefault="00000000">
      <w:pPr>
        <w:pStyle w:val="Normal2"/>
        <w:widowControl w:val="0"/>
        <w:spacing w:before="200" w:line="260" w:lineRule="atLeast"/>
        <w:jc w:val="both"/>
      </w:pPr>
      <w:bookmarkStart w:id="196" w:name="Bookmark_para_4_1"/>
      <w:bookmarkEnd w:id="196"/>
      <w:r>
        <w:rPr>
          <w:rFonts w:ascii="Arial" w:eastAsia="Arial" w:hAnsi="Arial" w:cs="Arial"/>
          <w:color w:val="000000"/>
          <w:sz w:val="20"/>
        </w:rPr>
        <w:t xml:space="preserve">In April 2016, Maria Childress, a late-deafened adult, contacted the Fox and requested captioning for a performance of the musical </w:t>
      </w:r>
      <w:r>
        <w:rPr>
          <w:rFonts w:ascii="Arial" w:eastAsia="Arial" w:hAnsi="Arial" w:cs="Arial"/>
          <w:i/>
          <w:color w:val="000000"/>
          <w:sz w:val="20"/>
        </w:rPr>
        <w:t>Rent</w:t>
      </w:r>
      <w:r>
        <w:rPr>
          <w:rFonts w:ascii="Arial" w:eastAsia="Arial" w:hAnsi="Arial" w:cs="Arial"/>
          <w:color w:val="000000"/>
          <w:sz w:val="20"/>
        </w:rPr>
        <w:t>, scheduled for May 2017. Childress, while fluent in American Sign Language (ASL), prefers captioned shows to ASL-interpreted shows so that she can experience the writers' original dialogue and lyrics rather than an ASL interpreter's version. The Fox told Childress that it did not offer captioning and had no plans to do so in the future, but that Childress was welcome to attend a scheduled ASL-interpreted performance of the [**3]  show.</w:t>
      </w:r>
    </w:p>
    <w:p w:rsidR="00E456CD" w:rsidRDefault="00000000">
      <w:pPr>
        <w:pStyle w:val="Normal2"/>
        <w:widowControl w:val="0"/>
        <w:spacing w:before="200" w:line="260" w:lineRule="atLeast"/>
        <w:jc w:val="both"/>
      </w:pPr>
      <w:bookmarkStart w:id="197" w:name="Bookmark_para_5_1"/>
      <w:bookmarkEnd w:id="197"/>
      <w:r>
        <w:rPr>
          <w:rFonts w:ascii="Arial" w:eastAsia="Arial" w:hAnsi="Arial" w:cs="Arial"/>
          <w:color w:val="000000"/>
          <w:sz w:val="20"/>
        </w:rPr>
        <w:t> [*1169]  Childress and the Association of Late-Deafened Adults (ALDA) filed suit against Fox Associates under Title III of the Americans with Disabilities Act (ADA), 42 U.S.C. § 12182, in June 2016.</w:t>
      </w:r>
      <w:r>
        <w:rPr>
          <w:rFonts w:ascii="Arial" w:eastAsia="Arial" w:hAnsi="Arial" w:cs="Arial"/>
          <w:vertAlign w:val="superscript"/>
        </w:rPr>
        <w:footnoteReference w:customMarkFollows="1" w:id="33"/>
        <w:t>2</w:t>
      </w:r>
      <w:r>
        <w:rPr>
          <w:rFonts w:ascii="Arial" w:eastAsia="Arial" w:hAnsi="Arial" w:cs="Arial"/>
          <w:color w:val="000000"/>
          <w:sz w:val="20"/>
        </w:rPr>
        <w:t xml:space="preserve"> She sought injunctive and declaratory relief, including mandated captions at all performances for which the Fox received a captioning request two weeks in advance, publicity that captions were available along with a way to request them, and sale of tickets to deaf and hard-of-hearing patrons by non-telephonic means. After Childress sued, the Fox offered to amend its policies and to offer a single prescheduled captioned performance of each Broadway production as long as a theater patron requested captions for a performance of that production two weeks in advance. To that end, the Fox provided a single scheduled captioned performance—a Saturday matinee—for each of six separate productions from May 2017 to January 2018. The Fox also began publicizing the availability of these performances and provided a means to request captioning and purchase tickets through its website.</w:t>
      </w:r>
    </w:p>
    <w:p w:rsidR="00E456CD" w:rsidRDefault="00000000">
      <w:pPr>
        <w:pStyle w:val="Normal2"/>
        <w:widowControl w:val="0"/>
        <w:spacing w:before="200" w:line="260" w:lineRule="atLeast"/>
        <w:jc w:val="both"/>
      </w:pPr>
      <w:bookmarkStart w:id="199" w:name="Bookmark_para_6_1"/>
      <w:bookmarkEnd w:id="199"/>
      <w:r>
        <w:rPr>
          <w:rFonts w:ascii="Arial" w:eastAsia="Arial" w:hAnsi="Arial" w:cs="Arial"/>
          <w:color w:val="000000"/>
          <w:sz w:val="20"/>
        </w:rPr>
        <w:t xml:space="preserve">Childress was unable to attend the prescheduled captioned performance of </w:t>
      </w:r>
      <w:r>
        <w:rPr>
          <w:rFonts w:ascii="Arial" w:eastAsia="Arial" w:hAnsi="Arial" w:cs="Arial"/>
          <w:i/>
          <w:color w:val="000000"/>
          <w:sz w:val="20"/>
        </w:rPr>
        <w:t>School of Rock</w:t>
      </w:r>
      <w:r>
        <w:rPr>
          <w:rFonts w:ascii="Arial" w:eastAsia="Arial" w:hAnsi="Arial" w:cs="Arial"/>
          <w:color w:val="000000"/>
          <w:sz w:val="20"/>
        </w:rPr>
        <w:t xml:space="preserve"> in January 2018, so the Fox provided a second captioned [**4]  performance a week earlier. It notified Childress, however, that this second captioned performance was an exception to its policy and that future requests for additional captioned performances would not always be granted.</w:t>
      </w:r>
      <w:r>
        <w:rPr>
          <w:rFonts w:ascii="Arial" w:eastAsia="Arial" w:hAnsi="Arial" w:cs="Arial"/>
          <w:vertAlign w:val="superscript"/>
        </w:rPr>
        <w:footnoteReference w:customMarkFollows="1" w:id="34"/>
        <w:t>3</w:t>
      </w:r>
      <w:r>
        <w:rPr>
          <w:rFonts w:ascii="Arial" w:eastAsia="Arial" w:hAnsi="Arial" w:cs="Arial"/>
          <w:color w:val="000000"/>
          <w:sz w:val="20"/>
        </w:rPr>
        <w:t xml:space="preserve"> When Michele Westmaas, a season ticketholder and member of ALDA, requested that the Fox provide captioning at the remaining 2018 performance for which she had tickets, the Fox instead exchanged her tickets for tickets to the prescheduled captioned performance.</w:t>
      </w:r>
    </w:p>
    <w:p w:rsidR="00E456CD" w:rsidRDefault="00000000">
      <w:pPr>
        <w:pStyle w:val="Normal2"/>
        <w:widowControl w:val="0"/>
        <w:spacing w:before="200" w:line="260" w:lineRule="atLeast"/>
        <w:jc w:val="both"/>
      </w:pPr>
      <w:bookmarkStart w:id="201" w:name="Bookmark_para_7_1"/>
      <w:bookmarkEnd w:id="201"/>
      <w:r>
        <w:rPr>
          <w:rFonts w:ascii="Arial" w:eastAsia="Arial" w:hAnsi="Arial" w:cs="Arial"/>
          <w:color w:val="000000"/>
          <w:sz w:val="20"/>
        </w:rPr>
        <w:t>While Childress's initial request asked the Fox to provide open captioning, the Fox chose to provide closed captioning.</w:t>
      </w:r>
      <w:r>
        <w:rPr>
          <w:rFonts w:ascii="Arial" w:eastAsia="Arial" w:hAnsi="Arial" w:cs="Arial"/>
          <w:vertAlign w:val="superscript"/>
        </w:rPr>
        <w:footnoteReference w:customMarkFollows="1" w:id="35"/>
        <w:t>4</w:t>
      </w:r>
      <w:r>
        <w:rPr>
          <w:rFonts w:ascii="Arial" w:eastAsia="Arial" w:hAnsi="Arial" w:cs="Arial"/>
          <w:color w:val="000000"/>
          <w:sz w:val="20"/>
        </w:rPr>
        <w:t xml:space="preserve"> It therefore purchased six electronic tablets that allow theater patrons to view captions during a performance. The tablets can be used from any seat in the theater. The Fox also offers device holders for these tablets so that patrons can view captions hands-free, but these holders can only be affixed to wheelchair-accessible seating due to fire hazards. Captions are generated and appear in real time so as to exactly duplicate what occurs onstage, including dialogue, song lyrics, and sound effects. Because every live performance is slightly different, a live, in-person court reporter must be [**5]  present to transcribe captions for each performance.</w:t>
      </w:r>
    </w:p>
    <w:p w:rsidR="00E456CD" w:rsidRDefault="00000000">
      <w:pPr>
        <w:pStyle w:val="Normal2"/>
        <w:widowControl w:val="0"/>
        <w:spacing w:before="200" w:line="260" w:lineRule="atLeast"/>
        <w:jc w:val="both"/>
      </w:pPr>
      <w:bookmarkStart w:id="203" w:name="Bookmark_para_8_1"/>
      <w:bookmarkEnd w:id="203"/>
      <w:r>
        <w:rPr>
          <w:rFonts w:ascii="Arial" w:eastAsia="Arial" w:hAnsi="Arial" w:cs="Arial"/>
          <w:color w:val="000000"/>
          <w:sz w:val="20"/>
        </w:rPr>
        <w:t>Following the Fox's implementation of its single-captioned-performance policy, both parties moved for summary judgment. The plaintiffs argued that, because the ADA requires equal service, the Fox was required to offer captioning when requested, subject only to the ADA's "undue burden" affirmative defense. Because Fox Associates refused to provide financial information during discovery, stating that such information was irrelevant, and because the undue burden defense requires consideration of a defendant's financial state, the plaintiffs contended that Fox  [*1170]  Associates had waived the defense. Fox Associates argued that requiring captioning whenever it was requested was not a reasonable modification to the Fox's policies, practices, and procedures and that, because it provided captioning whenever the plaintiffs requested it, their claim for injunctive relief was moot. It further argued that it was not yet raising an undue burden argument and that this fact, alone, prevented a grant of summary judgment against it.</w:t>
      </w:r>
    </w:p>
    <w:p w:rsidR="00E456CD" w:rsidRDefault="00000000">
      <w:pPr>
        <w:pStyle w:val="Normal2"/>
        <w:widowControl w:val="0"/>
        <w:spacing w:before="200" w:line="260" w:lineRule="atLeast"/>
        <w:jc w:val="both"/>
      </w:pPr>
      <w:bookmarkStart w:id="204" w:name="Bookmark_para_9_1"/>
      <w:bookmarkStart w:id="205" w:name="Bookmark_I5WSB5XX2SF7N00020000400"/>
      <w:bookmarkEnd w:id="204"/>
      <w:bookmarkEnd w:id="205"/>
      <w:r>
        <w:rPr>
          <w:rFonts w:ascii="Arial" w:eastAsia="Arial" w:hAnsi="Arial" w:cs="Arial"/>
          <w:color w:val="000000"/>
          <w:sz w:val="20"/>
        </w:rPr>
        <w:t xml:space="preserve">The district court found that the plaintiffs brought suit under the ADA's auxiliary aids and services requirements, </w:t>
      </w:r>
      <w:r>
        <w:rPr>
          <w:rFonts w:ascii="Arial" w:eastAsia="Arial" w:hAnsi="Arial" w:cs="Arial"/>
          <w:color w:val="000000"/>
          <w:sz w:val="20"/>
          <w:u w:val="single"/>
        </w:rPr>
        <w:t>see</w:t>
      </w:r>
      <w:r>
        <w:rPr>
          <w:rFonts w:ascii="Arial" w:eastAsia="Arial" w:hAnsi="Arial" w:cs="Arial"/>
          <w:color w:val="000000"/>
          <w:sz w:val="20"/>
        </w:rPr>
        <w:t xml:space="preserve"> 42 U.S.C. § 12182(b)(2)(A)(iii), rather [**6]  than the less-specific section addressing modification to "policies, practices, and procedures," </w:t>
      </w:r>
      <w:r>
        <w:rPr>
          <w:rFonts w:ascii="Arial" w:eastAsia="Arial" w:hAnsi="Arial" w:cs="Arial"/>
          <w:color w:val="000000"/>
          <w:sz w:val="20"/>
          <w:u w:val="single"/>
        </w:rPr>
        <w:t>see</w:t>
      </w:r>
      <w:r>
        <w:rPr>
          <w:rFonts w:ascii="Arial" w:eastAsia="Arial" w:hAnsi="Arial" w:cs="Arial"/>
          <w:color w:val="000000"/>
          <w:sz w:val="20"/>
        </w:rPr>
        <w:t xml:space="preserve"> 42 U.S.C. § 12182(b)(2)(A)(ii). It further found that failing to offer captioning at any performance where captions were requested "results in deaf persons being excluded, denied services, or otherwise treated differently than other individuals merely because of the absence of [an auxiliary] aid. This failure violates 42 U.S.C. § 12182(b)(2)(A)(iii)." </w:t>
      </w:r>
      <w:bookmarkStart w:id="206" w:name="Bookmark_I5WSB5XX2SF7N00010000400"/>
      <w:bookmarkEnd w:id="206"/>
      <w:r>
        <w:rPr>
          <w:rFonts w:ascii="Arial" w:eastAsia="Arial" w:hAnsi="Arial" w:cs="Arial"/>
          <w:color w:val="000000"/>
          <w:sz w:val="20"/>
          <w:u w:val="single"/>
        </w:rPr>
        <w:t>Childress v. Fox Assocs., LLC</w:t>
      </w:r>
      <w:r>
        <w:rPr>
          <w:rFonts w:ascii="Arial" w:eastAsia="Arial" w:hAnsi="Arial" w:cs="Arial"/>
          <w:color w:val="000000"/>
          <w:sz w:val="20"/>
        </w:rPr>
        <w:t>, No. 4:16 CV 931 CDP, 2018 U.S. Dist. LEXIS 65126, 2018 WL 1858157, at *4 (E.D. Mo. Apr. 18, 2018). Fox Associates presented no argument regarding the undue burden defense and the district court granted summary judgment for the plaintiffs. It awarded them injunctive relief and, as relevant to this appeal, required the Fox to provide captioning whenever it received a request two weeks in advance.</w:t>
      </w:r>
    </w:p>
    <w:p w:rsidR="00E456CD" w:rsidRDefault="00000000">
      <w:pPr>
        <w:pStyle w:val="Normal2"/>
        <w:widowControl w:val="0"/>
        <w:spacing w:before="200" w:line="260" w:lineRule="atLeast"/>
        <w:jc w:val="both"/>
      </w:pPr>
      <w:bookmarkStart w:id="207" w:name="Bookmark_para_10_1"/>
      <w:bookmarkStart w:id="208" w:name="Bookmark_I5WSB5XX2SF7N00040000400"/>
      <w:bookmarkEnd w:id="207"/>
      <w:bookmarkEnd w:id="208"/>
      <w:r>
        <w:rPr>
          <w:rFonts w:ascii="Arial" w:eastAsia="Arial" w:hAnsi="Arial" w:cs="Arial"/>
          <w:color w:val="000000"/>
          <w:sz w:val="20"/>
        </w:rPr>
        <w:t xml:space="preserve">Following the grant of summary judgment in their favor, the plaintiffs moved for an award of attorney's fees, expenses, and costs under 42 U.S.C. § 12205. The district court granted the motion and calculated reasonable attorney's fees based on the lodestar method. </w:t>
      </w:r>
      <w:r>
        <w:rPr>
          <w:rFonts w:ascii="Arial" w:eastAsia="Arial" w:hAnsi="Arial" w:cs="Arial"/>
          <w:color w:val="000000"/>
          <w:sz w:val="20"/>
          <w:u w:val="single"/>
        </w:rPr>
        <w:t xml:space="preserve">See </w:t>
      </w:r>
      <w:bookmarkStart w:id="209" w:name="Bookmark_I5WSB5XX2SF7N00030000400"/>
      <w:bookmarkEnd w:id="209"/>
      <w:r>
        <w:rPr>
          <w:rFonts w:ascii="Arial" w:eastAsia="Arial" w:hAnsi="Arial" w:cs="Arial"/>
          <w:color w:val="000000"/>
          <w:sz w:val="20"/>
          <w:u w:val="single"/>
        </w:rPr>
        <w:t>Hensley v. Eckerhart</w:t>
      </w:r>
      <w:r>
        <w:rPr>
          <w:rFonts w:ascii="Arial" w:eastAsia="Arial" w:hAnsi="Arial" w:cs="Arial"/>
          <w:color w:val="000000"/>
          <w:sz w:val="20"/>
        </w:rPr>
        <w:t>, 461 U.S. 424, 433, 103 S. Ct. 1933, 76 L. Ed. 2d 40 (1983). It reduced the requested amount of attorney's fees, however, based on its findings that the plaintiffs' attorney billed for clerical or secretarial work [**7]  and expended time on matters irrelevant to the case as filed. The district court therefore granted the plaintiffs $97,920 in attorney's fees rather than their requested $100,845.</w:t>
      </w:r>
    </w:p>
    <w:p w:rsidR="00E456CD" w:rsidRDefault="00000000">
      <w:pPr>
        <w:pStyle w:val="Normal2"/>
        <w:widowControl w:val="0"/>
        <w:spacing w:before="200" w:line="260" w:lineRule="atLeast"/>
        <w:jc w:val="both"/>
      </w:pPr>
      <w:bookmarkStart w:id="210" w:name="Bookmark_para_11_1"/>
      <w:bookmarkEnd w:id="210"/>
      <w:r>
        <w:rPr>
          <w:rFonts w:ascii="Arial" w:eastAsia="Arial" w:hAnsi="Arial" w:cs="Arial"/>
          <w:color w:val="000000"/>
          <w:sz w:val="20"/>
        </w:rPr>
        <w:t>Fox Associates now appeals, arguing that it provides deaf and hard-of-hearing individuals with meaningful access to its benefits and it should be allowed flexibility to consolidate multiple captioning requests into one performance because providing captions is expensive. Fox Associates further challenges the award of attorney's fees, arguing that the district court used an inflated hourly rate to calculate those fees, allowed the plaintiffs' counsel to bill for tasks he should not have included, and failed to reduce the fee award to account for the plaintiffs' partial success on their summary judgment motion.</w:t>
      </w:r>
    </w:p>
    <w:p w:rsidR="00E456CD" w:rsidRDefault="00000000">
      <w:pPr>
        <w:pStyle w:val="Normal2"/>
        <w:widowControl w:val="0"/>
        <w:spacing w:before="120" w:line="260" w:lineRule="atLeast"/>
      </w:pPr>
      <w:r>
        <w:rPr>
          <w:rFonts w:ascii="Arial" w:eastAsia="Arial" w:hAnsi="Arial" w:cs="Arial"/>
          <w:color w:val="000000"/>
          <w:sz w:val="20"/>
        </w:rPr>
        <w:t>II.</w:t>
      </w:r>
    </w:p>
    <w:p w:rsidR="00E456CD" w:rsidRDefault="00000000">
      <w:pPr>
        <w:pStyle w:val="Normal2"/>
        <w:widowControl w:val="0"/>
        <w:spacing w:before="200" w:line="260" w:lineRule="atLeast"/>
        <w:jc w:val="both"/>
      </w:pPr>
      <w:bookmarkStart w:id="211" w:name="Bookmark_para_12_0"/>
      <w:bookmarkStart w:id="212" w:name="Bookmark_I5WSB5XY2SF7NC0010000400"/>
      <w:bookmarkEnd w:id="211"/>
      <w:bookmarkEnd w:id="212"/>
      <w:r>
        <w:rPr>
          <w:rFonts w:ascii="Arial" w:eastAsia="Arial" w:hAnsi="Arial" w:cs="Arial"/>
          <w:color w:val="000000"/>
          <w:sz w:val="20"/>
        </w:rPr>
        <w:t xml:space="preserve">Fox Associates first argues that the district court improperly granted summary judgment for Appellees and failed to grant Fox Associates' summary judgment motion on Appellees' ADA claim. </w:t>
      </w:r>
      <w:bookmarkStart w:id="213" w:name="Bookmark_LNHNREFclscc1_0"/>
      <w:bookmarkEnd w:id="213"/>
      <w:r>
        <w:rPr>
          <w:rFonts w:ascii="Arial" w:eastAsia="Arial" w:hAnsi="Arial" w:cs="Arial"/>
          <w:color w:val="000000"/>
          <w:sz w:val="20"/>
        </w:rPr>
        <w:t xml:space="preserve">"We review a district court's decision on cross-motions for summary judgment de novo." </w:t>
      </w:r>
      <w:bookmarkStart w:id="214" w:name="Bookmark_I5WSB5XX2SF7N00050000400"/>
      <w:bookmarkEnd w:id="214"/>
      <w:r>
        <w:rPr>
          <w:rFonts w:ascii="Arial" w:eastAsia="Arial" w:hAnsi="Arial" w:cs="Arial"/>
          <w:color w:val="000000"/>
          <w:sz w:val="20"/>
          <w:u w:val="single"/>
        </w:rPr>
        <w:t>Thirty &amp; 141, L.P. v. Lowe's Home Ctrs., Inc.</w:t>
      </w:r>
      <w:r>
        <w:rPr>
          <w:rFonts w:ascii="Arial" w:eastAsia="Arial" w:hAnsi="Arial" w:cs="Arial"/>
          <w:color w:val="000000"/>
          <w:sz w:val="20"/>
        </w:rPr>
        <w:t>, 565 F.3d 443, 445-46 (8th Cir. 2009).</w:t>
      </w:r>
    </w:p>
    <w:p w:rsidR="00E456CD" w:rsidRDefault="00000000">
      <w:pPr>
        <w:pStyle w:val="Normal2"/>
        <w:widowControl w:val="0"/>
        <w:spacing w:before="200" w:line="260" w:lineRule="atLeast"/>
        <w:jc w:val="both"/>
      </w:pPr>
      <w:bookmarkStart w:id="215" w:name="Bookmark_para_13_0"/>
      <w:bookmarkStart w:id="216" w:name="Bookmark_I5WSB5XY2SF7NC0030000400"/>
      <w:bookmarkStart w:id="217" w:name="Bookmark_LNHNREFclscc2_0"/>
      <w:bookmarkEnd w:id="215"/>
      <w:bookmarkEnd w:id="216"/>
      <w:bookmarkEnd w:id="217"/>
      <w:r>
        <w:rPr>
          <w:rFonts w:ascii="Arial" w:eastAsia="Arial" w:hAnsi="Arial" w:cs="Arial"/>
          <w:color w:val="000000"/>
          <w:sz w:val="20"/>
        </w:rPr>
        <w:t>Under the ADA, a public accommodation</w:t>
      </w:r>
      <w:r>
        <w:rPr>
          <w:rFonts w:ascii="Arial" w:eastAsia="Arial" w:hAnsi="Arial" w:cs="Arial"/>
          <w:vertAlign w:val="superscript"/>
        </w:rPr>
        <w:footnoteReference w:customMarkFollows="1" w:id="36"/>
        <w:t>5</w:t>
      </w:r>
      <w:r>
        <w:rPr>
          <w:rFonts w:ascii="Arial" w:eastAsia="Arial" w:hAnsi="Arial" w:cs="Arial"/>
          <w:color w:val="000000"/>
          <w:sz w:val="20"/>
        </w:rPr>
        <w:t xml:space="preserve"> must provide auxiliary aids and services to individuals with disabilities if such individuals [**8]  need those aids and services to enjoy "meaningful access" to the  [*1171]  public accommodation. </w:t>
      </w:r>
      <w:bookmarkStart w:id="219" w:name="Bookmark_I5WSB5XY2SF7NC0020000400"/>
      <w:bookmarkEnd w:id="219"/>
      <w:r>
        <w:rPr>
          <w:rFonts w:ascii="Arial" w:eastAsia="Arial" w:hAnsi="Arial" w:cs="Arial"/>
          <w:color w:val="000000"/>
          <w:sz w:val="20"/>
          <w:u w:val="single"/>
        </w:rPr>
        <w:t>Argenyi v. Creighton Univ.</w:t>
      </w:r>
      <w:r>
        <w:rPr>
          <w:rFonts w:ascii="Arial" w:eastAsia="Arial" w:hAnsi="Arial" w:cs="Arial"/>
          <w:color w:val="000000"/>
          <w:sz w:val="20"/>
        </w:rPr>
        <w:t xml:space="preserve">, 703 F.3d 441, 449 (8th Cir. 2013). A person with a disability receives meaningful access if she receives an "equal opportunity to gain the same benefit" as a person without her disability. </w:t>
      </w:r>
      <w:r>
        <w:rPr>
          <w:rFonts w:ascii="Arial" w:eastAsia="Arial" w:hAnsi="Arial" w:cs="Arial"/>
          <w:color w:val="000000"/>
          <w:sz w:val="20"/>
          <w:u w:val="single"/>
        </w:rPr>
        <w:t>Id.</w:t>
      </w:r>
      <w:r>
        <w:rPr>
          <w:rFonts w:ascii="Arial" w:eastAsia="Arial" w:hAnsi="Arial" w:cs="Arial"/>
          <w:color w:val="000000"/>
          <w:sz w:val="20"/>
        </w:rPr>
        <w:t xml:space="preserve"> Whether an entity provides meaningful access is a fact-based inquiry; a public accommodation's exact responsibilities under the ADA must be determined on a case-by-case basis. </w:t>
      </w:r>
      <w:r>
        <w:rPr>
          <w:rFonts w:ascii="Arial" w:eastAsia="Arial" w:hAnsi="Arial" w:cs="Arial"/>
          <w:color w:val="000000"/>
          <w:sz w:val="20"/>
          <w:u w:val="single"/>
        </w:rPr>
        <w:t>Id.</w:t>
      </w:r>
    </w:p>
    <w:p w:rsidR="00E456CD" w:rsidRDefault="00000000">
      <w:pPr>
        <w:pStyle w:val="Normal2"/>
        <w:widowControl w:val="0"/>
        <w:spacing w:before="200" w:line="260" w:lineRule="atLeast"/>
        <w:jc w:val="both"/>
      </w:pPr>
      <w:bookmarkStart w:id="220" w:name="Bookmark_para_14_0"/>
      <w:bookmarkStart w:id="221" w:name="Bookmark_I5WSB5XY2SF7NC0050000400"/>
      <w:bookmarkStart w:id="222" w:name="Bookmark_LNHNREFclscc3_0"/>
      <w:bookmarkEnd w:id="220"/>
      <w:bookmarkEnd w:id="221"/>
      <w:bookmarkEnd w:id="222"/>
      <w:r>
        <w:rPr>
          <w:rFonts w:ascii="Arial" w:eastAsia="Arial" w:hAnsi="Arial" w:cs="Arial"/>
          <w:color w:val="000000"/>
          <w:sz w:val="20"/>
        </w:rPr>
        <w:t xml:space="preserve">The exact form of auxiliary aid necessary is left up to the public accommodation, but, once the public accommodation determines that an aid is needed, it must provide that aid unless doing so would be an undue burden or would fundamentally alter the nature of the provided benefit. 42 U.S.C. § 12182(b)(2)(A)(iii). </w:t>
      </w:r>
      <w:bookmarkStart w:id="223" w:name="Bookmark_I5WSB5XY2D6NTN0020000400"/>
      <w:bookmarkEnd w:id="223"/>
      <w:r>
        <w:rPr>
          <w:rFonts w:ascii="Arial" w:eastAsia="Arial" w:hAnsi="Arial" w:cs="Arial"/>
          <w:color w:val="000000"/>
          <w:sz w:val="20"/>
        </w:rPr>
        <w:t xml:space="preserve">Both the undue burden and the fundamental alteration arguments are affirmative defenses provided by the ADA. </w:t>
      </w:r>
      <w:bookmarkStart w:id="224" w:name="Bookmark_I5WSB5XY2SF7NC0040000400"/>
      <w:bookmarkEnd w:id="224"/>
      <w:r>
        <w:rPr>
          <w:rFonts w:ascii="Arial" w:eastAsia="Arial" w:hAnsi="Arial" w:cs="Arial"/>
          <w:color w:val="000000"/>
          <w:sz w:val="20"/>
          <w:u w:val="single"/>
        </w:rPr>
        <w:t>Gorman v. Bartch</w:t>
      </w:r>
      <w:r>
        <w:rPr>
          <w:rFonts w:ascii="Arial" w:eastAsia="Arial" w:hAnsi="Arial" w:cs="Arial"/>
          <w:color w:val="000000"/>
          <w:sz w:val="20"/>
        </w:rPr>
        <w:t xml:space="preserve">, 152 F.3d 907, 912 (8th Cir. 1998) (citing 28 C.F.R. § 35.150(a)(3)). </w:t>
      </w:r>
      <w:bookmarkStart w:id="225" w:name="Bookmark_LNHNREFclscc4_0"/>
      <w:bookmarkEnd w:id="225"/>
      <w:r>
        <w:rPr>
          <w:rFonts w:ascii="Arial" w:eastAsia="Arial" w:hAnsi="Arial" w:cs="Arial"/>
          <w:color w:val="000000"/>
          <w:sz w:val="20"/>
        </w:rPr>
        <w:t xml:space="preserve">Failure to raise an affirmative defense before the district court constitutes waiver of that defense. </w:t>
      </w:r>
      <w:bookmarkStart w:id="226" w:name="Bookmark_I5WSB5XY2D6NTN0020000400_2"/>
      <w:bookmarkStart w:id="227" w:name="Bookmark_I5WSB5XY2D6NTN0010000400"/>
      <w:bookmarkEnd w:id="226"/>
      <w:bookmarkEnd w:id="227"/>
      <w:r>
        <w:rPr>
          <w:rFonts w:ascii="Arial" w:eastAsia="Arial" w:hAnsi="Arial" w:cs="Arial"/>
          <w:color w:val="000000"/>
          <w:sz w:val="20"/>
          <w:u w:val="single"/>
        </w:rPr>
        <w:t>Warner Bros. Entm't, Inc. v. X One X Prods.</w:t>
      </w:r>
      <w:r>
        <w:rPr>
          <w:rFonts w:ascii="Arial" w:eastAsia="Arial" w:hAnsi="Arial" w:cs="Arial"/>
          <w:color w:val="000000"/>
          <w:sz w:val="20"/>
        </w:rPr>
        <w:t>, 840 F.3d 971, 980 (8th Cir. 2016).</w:t>
      </w:r>
    </w:p>
    <w:p w:rsidR="00E456CD" w:rsidRDefault="00000000">
      <w:pPr>
        <w:pStyle w:val="Normal2"/>
        <w:widowControl w:val="0"/>
        <w:spacing w:before="200" w:line="260" w:lineRule="atLeast"/>
        <w:jc w:val="both"/>
      </w:pPr>
      <w:bookmarkStart w:id="228" w:name="Bookmark_para_15_0"/>
      <w:bookmarkEnd w:id="228"/>
      <w:r>
        <w:rPr>
          <w:rFonts w:ascii="Arial" w:eastAsia="Arial" w:hAnsi="Arial" w:cs="Arial"/>
          <w:color w:val="000000"/>
          <w:sz w:val="20"/>
        </w:rPr>
        <w:t>On appeal, Fox Associates argues that deaf and hard-of-hearing individuals receive meaningful access to the Fox's productions because the Fox currently captions one performance of each Broadway production and has never denied a captioning request. Appellees counter [**9]  that deaf and hard-of-hearing individuals are guaranteed only one performance date while individuals without hearing impairments may choose from a broad range of performance dates. This discrepancy, Appellees argue, indicates that individuals with hearing impairments have less opportunity to receive the benefits the Fox provides, and that, therefore, the Fox denies them meaningful access.</w:t>
      </w:r>
    </w:p>
    <w:p w:rsidR="00E456CD" w:rsidRDefault="00000000">
      <w:pPr>
        <w:pStyle w:val="Normal2"/>
        <w:widowControl w:val="0"/>
        <w:spacing w:before="200" w:line="260" w:lineRule="atLeast"/>
        <w:jc w:val="both"/>
      </w:pPr>
      <w:bookmarkStart w:id="229" w:name="Bookmark_para_16_0"/>
      <w:bookmarkEnd w:id="229"/>
      <w:r>
        <w:rPr>
          <w:rFonts w:ascii="Arial" w:eastAsia="Arial" w:hAnsi="Arial" w:cs="Arial"/>
          <w:color w:val="000000"/>
          <w:sz w:val="20"/>
        </w:rPr>
        <w:t xml:space="preserve">The Fox provides its scheduled captioned performance during a Saturday matinee time slot for each Broadway production. </w:t>
      </w:r>
      <w:bookmarkStart w:id="230" w:name="Bookmark_I5WSB5XY2D6NTN0040000400"/>
      <w:bookmarkEnd w:id="230"/>
      <w:r>
        <w:rPr>
          <w:rFonts w:ascii="Arial" w:eastAsia="Arial" w:hAnsi="Arial" w:cs="Arial"/>
          <w:color w:val="000000"/>
          <w:sz w:val="20"/>
        </w:rPr>
        <w:t xml:space="preserve">Under the Fox's current policies, individuals with hearing impairments must attend that production in order to have access to captioning and therefore cannot, like their hearing-enabled counterparts, attend the theater during the week or in the evening. This excludes individuals with hearing impairments from "the economic and social mainstream of American life[,]" perpetuating the discrimination the ADA sought to address. </w:t>
      </w:r>
      <w:bookmarkStart w:id="231" w:name="Bookmark_I5WSB5XY2D6NTN0030000400"/>
      <w:bookmarkEnd w:id="231"/>
      <w:r>
        <w:rPr>
          <w:rFonts w:ascii="Arial" w:eastAsia="Arial" w:hAnsi="Arial" w:cs="Arial"/>
          <w:color w:val="000000"/>
          <w:sz w:val="20"/>
          <w:u w:val="single"/>
        </w:rPr>
        <w:t>McGann v. Cinemark USA, Inc.</w:t>
      </w:r>
      <w:r>
        <w:rPr>
          <w:rFonts w:ascii="Arial" w:eastAsia="Arial" w:hAnsi="Arial" w:cs="Arial"/>
          <w:color w:val="000000"/>
          <w:sz w:val="20"/>
        </w:rPr>
        <w:t xml:space="preserve">, 873 F.3d 218, 230 (8th Cir. 2017) (quoting </w:t>
      </w:r>
      <w:bookmarkStart w:id="232" w:name="Bookmark_I5WSB5XY2D6NTN0050000400"/>
      <w:bookmarkEnd w:id="232"/>
      <w:r>
        <w:rPr>
          <w:rFonts w:ascii="Arial" w:eastAsia="Arial" w:hAnsi="Arial" w:cs="Arial"/>
          <w:color w:val="000000"/>
          <w:sz w:val="20"/>
          <w:u w:val="single"/>
        </w:rPr>
        <w:t>PGA Tour, Inc. v. Martin</w:t>
      </w:r>
      <w:r>
        <w:rPr>
          <w:rFonts w:ascii="Arial" w:eastAsia="Arial" w:hAnsi="Arial" w:cs="Arial"/>
          <w:color w:val="000000"/>
          <w:sz w:val="20"/>
        </w:rPr>
        <w:t>, 532 U.S. 661, 675, 121 S. Ct. 1879, 149 L. Ed. 2d 904 (2001)).</w:t>
      </w:r>
    </w:p>
    <w:p w:rsidR="00E456CD" w:rsidRDefault="00000000">
      <w:pPr>
        <w:pStyle w:val="Normal2"/>
        <w:widowControl w:val="0"/>
        <w:spacing w:before="200" w:line="260" w:lineRule="atLeast"/>
        <w:jc w:val="both"/>
      </w:pPr>
      <w:bookmarkStart w:id="233" w:name="Bookmark_para_17_0"/>
      <w:bookmarkEnd w:id="233"/>
      <w:r>
        <w:rPr>
          <w:rFonts w:ascii="Arial" w:eastAsia="Arial" w:hAnsi="Arial" w:cs="Arial"/>
          <w:color w:val="000000"/>
          <w:sz w:val="20"/>
        </w:rPr>
        <w:t xml:space="preserve">We note, too, that the Fox implemented Childress's request for a second captioned performance of </w:t>
      </w:r>
      <w:r>
        <w:rPr>
          <w:rFonts w:ascii="Arial" w:eastAsia="Arial" w:hAnsi="Arial" w:cs="Arial"/>
          <w:i/>
          <w:color w:val="000000"/>
          <w:sz w:val="20"/>
        </w:rPr>
        <w:t>School of Rock</w:t>
      </w:r>
      <w:r>
        <w:rPr>
          <w:rFonts w:ascii="Arial" w:eastAsia="Arial" w:hAnsi="Arial" w:cs="Arial"/>
          <w:color w:val="000000"/>
          <w:sz w:val="20"/>
        </w:rPr>
        <w:t xml:space="preserve"> only after explicitly stating that it did so as an exception to its policy and that it would not always grant similar requests in the future. [**10] </w:t>
      </w:r>
      <w:r>
        <w:rPr>
          <w:rFonts w:ascii="Arial" w:eastAsia="Arial" w:hAnsi="Arial" w:cs="Arial"/>
          <w:vertAlign w:val="superscript"/>
        </w:rPr>
        <w:footnoteReference w:customMarkFollows="1" w:id="37"/>
        <w:t>6</w:t>
      </w:r>
      <w:r>
        <w:rPr>
          <w:rFonts w:ascii="Arial" w:eastAsia="Arial" w:hAnsi="Arial" w:cs="Arial"/>
          <w:color w:val="000000"/>
          <w:sz w:val="20"/>
        </w:rPr>
        <w:t xml:space="preserve"> We therefore find that the Fox's one-captioned-performance policy denies persons with hearing impairments an equal opportunity to gain the same benefit as persons without hearing impairments, and that deaf and hard-of-hearing individuals therefore do not have meaningful access to the benefits the Fox provides.</w:t>
      </w:r>
    </w:p>
    <w:p w:rsidR="00E456CD" w:rsidRDefault="00000000">
      <w:pPr>
        <w:pStyle w:val="Normal2"/>
        <w:widowControl w:val="0"/>
        <w:spacing w:before="200" w:line="260" w:lineRule="atLeast"/>
        <w:jc w:val="both"/>
      </w:pPr>
      <w:bookmarkStart w:id="235" w:name="Bookmark_para_18_0"/>
      <w:bookmarkStart w:id="236" w:name="Bookmark_I5WSB5Y02HM6WG0030000400"/>
      <w:bookmarkEnd w:id="235"/>
      <w:bookmarkEnd w:id="236"/>
      <w:r>
        <w:rPr>
          <w:rFonts w:ascii="Arial" w:eastAsia="Arial" w:hAnsi="Arial" w:cs="Arial"/>
          <w:color w:val="000000"/>
          <w:sz w:val="20"/>
        </w:rPr>
        <w:t>Despite its failure to provide meaningful access to individuals with hearing impairments, Fox Associates could still prevail if it could show that providing captioning at all requested performances would be an undue burden.</w:t>
      </w:r>
      <w:r>
        <w:rPr>
          <w:rFonts w:ascii="Arial" w:eastAsia="Arial" w:hAnsi="Arial" w:cs="Arial"/>
          <w:vertAlign w:val="superscript"/>
        </w:rPr>
        <w:footnoteReference w:customMarkFollows="1" w:id="38"/>
        <w:t>7</w:t>
      </w:r>
      <w:r>
        <w:rPr>
          <w:rFonts w:ascii="Arial" w:eastAsia="Arial" w:hAnsi="Arial" w:cs="Arial"/>
          <w:color w:val="000000"/>
          <w:sz w:val="20"/>
        </w:rPr>
        <w:t xml:space="preserve"> However, in  [*1172]  response to Appellees' motion for summary judgment, Fox Associates explicitly stated that it was "not asserting the affirmative defense[] of 'undue burden' . . . ." Def.'s Mem. Opp'n Pls.' Mot. Summ. J. 7, Dist. Ct. Dkt. 50. Having failed to do so in the district court, it cannot do so now. </w:t>
      </w:r>
      <w:r>
        <w:rPr>
          <w:rFonts w:ascii="Arial" w:eastAsia="Arial" w:hAnsi="Arial" w:cs="Arial"/>
          <w:color w:val="000000"/>
          <w:sz w:val="20"/>
          <w:u w:val="single"/>
        </w:rPr>
        <w:t xml:space="preserve">See </w:t>
      </w:r>
      <w:bookmarkStart w:id="238" w:name="Bookmark_I5WSB5Y02HM6WG0020000400"/>
      <w:bookmarkEnd w:id="238"/>
      <w:r>
        <w:rPr>
          <w:rFonts w:ascii="Arial" w:eastAsia="Arial" w:hAnsi="Arial" w:cs="Arial"/>
          <w:color w:val="000000"/>
          <w:sz w:val="20"/>
          <w:u w:val="single"/>
        </w:rPr>
        <w:t>Warner Bros.</w:t>
      </w:r>
      <w:r>
        <w:rPr>
          <w:rFonts w:ascii="Arial" w:eastAsia="Arial" w:hAnsi="Arial" w:cs="Arial"/>
          <w:color w:val="000000"/>
          <w:sz w:val="20"/>
        </w:rPr>
        <w:t xml:space="preserve">, 840 F.3d at 980; </w:t>
      </w:r>
      <w:bookmarkStart w:id="239" w:name="Bookmark_I5WSB5Y02HM6WG0040000400"/>
      <w:bookmarkEnd w:id="239"/>
      <w:r>
        <w:rPr>
          <w:rFonts w:ascii="Arial" w:eastAsia="Arial" w:hAnsi="Arial" w:cs="Arial"/>
          <w:color w:val="000000"/>
          <w:sz w:val="20"/>
          <w:u w:val="single"/>
        </w:rPr>
        <w:t>Modern Leasing, Inc. of Iowa v. Falcon Mfg. of Cal., Inc.</w:t>
      </w:r>
      <w:r>
        <w:rPr>
          <w:rFonts w:ascii="Arial" w:eastAsia="Arial" w:hAnsi="Arial" w:cs="Arial"/>
          <w:color w:val="000000"/>
          <w:sz w:val="20"/>
        </w:rPr>
        <w:t>, 888 F.2d 59, 62-63 (8th Cir. 1989).</w:t>
      </w:r>
    </w:p>
    <w:p w:rsidR="00E456CD" w:rsidRDefault="00000000">
      <w:pPr>
        <w:pStyle w:val="Normal2"/>
        <w:widowControl w:val="0"/>
        <w:spacing w:before="200" w:line="260" w:lineRule="atLeast"/>
        <w:jc w:val="both"/>
      </w:pPr>
      <w:bookmarkStart w:id="240" w:name="Bookmark_para_19_0"/>
      <w:bookmarkEnd w:id="240"/>
      <w:r>
        <w:rPr>
          <w:rFonts w:ascii="Arial" w:eastAsia="Arial" w:hAnsi="Arial" w:cs="Arial"/>
          <w:color w:val="000000"/>
          <w:sz w:val="20"/>
        </w:rPr>
        <w:t xml:space="preserve">Fox Associates' conclusion that Appellees were "not entitled to summary judgment on any non-asserted affirmative defenses[,]" " Def.'s Mem. Opp'n Pls.' Mot. Summ. J. 7, and its argument on appeal that the district court erred in failing to account for a potential undue burden ignore the fact that it was Fox Associates' responsibility to assert the undue [**11]  burden defense. </w:t>
      </w:r>
      <w:bookmarkStart w:id="241" w:name="Bookmark_LNHNREFclscc5_0"/>
      <w:bookmarkEnd w:id="241"/>
      <w:r>
        <w:rPr>
          <w:rFonts w:ascii="Arial" w:eastAsia="Arial" w:hAnsi="Arial" w:cs="Arial"/>
          <w:color w:val="000000"/>
          <w:sz w:val="20"/>
        </w:rPr>
        <w:t>A party who does not assert a defense in the district court cannot assert that defense on appeal, and Fox Associates has therefore waived that defense.</w:t>
      </w:r>
    </w:p>
    <w:p w:rsidR="00E456CD" w:rsidRDefault="00000000">
      <w:pPr>
        <w:pStyle w:val="Normal2"/>
        <w:widowControl w:val="0"/>
        <w:spacing w:before="200" w:line="260" w:lineRule="atLeast"/>
        <w:jc w:val="both"/>
      </w:pPr>
      <w:bookmarkStart w:id="242" w:name="Bookmark_para_20_0"/>
      <w:bookmarkEnd w:id="242"/>
      <w:r>
        <w:rPr>
          <w:rFonts w:ascii="Arial" w:eastAsia="Arial" w:hAnsi="Arial" w:cs="Arial"/>
          <w:color w:val="000000"/>
          <w:sz w:val="20"/>
        </w:rPr>
        <w:t>Finding that the Fox does not provide meaningful access to individuals with hearing impairments and that Appellees' claim is not subject to the undue burden defense, we conclude that the district court properly granted summary judgment in favor of Appellees on their ADA claim. We note, however, that if the volume of captioning requests in the future rises to the level of an undue burden on the Fox, nothing precludes Fox Associates from bringing its own lawsuit and seeking to modify the district court's order in this case.</w:t>
      </w:r>
    </w:p>
    <w:p w:rsidR="00E456CD" w:rsidRDefault="00000000">
      <w:pPr>
        <w:pStyle w:val="Normal2"/>
        <w:widowControl w:val="0"/>
        <w:spacing w:before="120" w:line="260" w:lineRule="atLeast"/>
      </w:pPr>
      <w:r>
        <w:rPr>
          <w:rFonts w:ascii="Arial" w:eastAsia="Arial" w:hAnsi="Arial" w:cs="Arial"/>
          <w:color w:val="000000"/>
          <w:sz w:val="20"/>
        </w:rPr>
        <w:t>III.</w:t>
      </w:r>
    </w:p>
    <w:p w:rsidR="00E456CD" w:rsidRDefault="00000000">
      <w:pPr>
        <w:pStyle w:val="Normal2"/>
        <w:widowControl w:val="0"/>
        <w:spacing w:before="200" w:line="260" w:lineRule="atLeast"/>
        <w:jc w:val="both"/>
      </w:pPr>
      <w:bookmarkStart w:id="243" w:name="Bookmark_para_21_0"/>
      <w:bookmarkStart w:id="244" w:name="Bookmark_I5WSB5Y02N1PRM0020000400"/>
      <w:bookmarkEnd w:id="243"/>
      <w:bookmarkEnd w:id="244"/>
      <w:r>
        <w:rPr>
          <w:rFonts w:ascii="Arial" w:eastAsia="Arial" w:hAnsi="Arial" w:cs="Arial"/>
          <w:color w:val="000000"/>
          <w:sz w:val="20"/>
        </w:rPr>
        <w:t xml:space="preserve">Having determined that the district court properly granted summary judgment in favor of Appellees, we must now determine whether the district court properly awarded Appellees over $97,000 in attorney's fees. </w:t>
      </w:r>
      <w:bookmarkStart w:id="245" w:name="Bookmark_LNHNREFclscc6_0"/>
      <w:bookmarkEnd w:id="245"/>
      <w:r>
        <w:rPr>
          <w:rFonts w:ascii="Arial" w:eastAsia="Arial" w:hAnsi="Arial" w:cs="Arial"/>
          <w:color w:val="000000"/>
          <w:sz w:val="20"/>
        </w:rPr>
        <w:t xml:space="preserve">"Attorney's fees are within the broad discretion of the district court and will not be reversed absent an abuse of discretion." </w:t>
      </w:r>
      <w:bookmarkStart w:id="246" w:name="Bookmark_I5WSB5Y02N1PRM0010000400"/>
      <w:bookmarkEnd w:id="246"/>
      <w:r>
        <w:rPr>
          <w:rFonts w:ascii="Arial" w:eastAsia="Arial" w:hAnsi="Arial" w:cs="Arial"/>
          <w:color w:val="000000"/>
          <w:sz w:val="20"/>
          <w:u w:val="single"/>
        </w:rPr>
        <w:t>Hanig v. Lee</w:t>
      </w:r>
      <w:r>
        <w:rPr>
          <w:rFonts w:ascii="Arial" w:eastAsia="Arial" w:hAnsi="Arial" w:cs="Arial"/>
          <w:color w:val="000000"/>
          <w:sz w:val="20"/>
        </w:rPr>
        <w:t>, 415 F.3d 822, 825 (8th Cir. 2005).</w:t>
      </w:r>
    </w:p>
    <w:p w:rsidR="00E456CD" w:rsidRDefault="00000000">
      <w:pPr>
        <w:pStyle w:val="Normal2"/>
        <w:widowControl w:val="0"/>
        <w:spacing w:before="200" w:line="260" w:lineRule="atLeast"/>
        <w:jc w:val="both"/>
      </w:pPr>
      <w:bookmarkStart w:id="247" w:name="Bookmark_para_22_0"/>
      <w:bookmarkStart w:id="248" w:name="Bookmark_I5WSB5Y02N1PRM0040000400"/>
      <w:bookmarkStart w:id="249" w:name="Bookmark_I5WSB5Y12SF7P40010000400"/>
      <w:bookmarkStart w:id="250" w:name="Bookmark_I5WSB5Y12SF7P40050000400"/>
      <w:bookmarkStart w:id="251" w:name="Bookmark_LNHNREFclscc7_0"/>
      <w:bookmarkEnd w:id="247"/>
      <w:bookmarkEnd w:id="248"/>
      <w:bookmarkEnd w:id="249"/>
      <w:bookmarkEnd w:id="250"/>
      <w:bookmarkEnd w:id="251"/>
      <w:r>
        <w:rPr>
          <w:rFonts w:ascii="Arial" w:eastAsia="Arial" w:hAnsi="Arial" w:cs="Arial"/>
          <w:color w:val="000000"/>
          <w:sz w:val="20"/>
        </w:rPr>
        <w:t xml:space="preserve">Federal courts employ the lodestar method, which multiplies the number of hours worked by the prevailing hourly rate, when calculating reasonable attorney's fees. </w:t>
      </w:r>
      <w:bookmarkStart w:id="252" w:name="Bookmark_I5WSB5Y02N1PRM0030000400"/>
      <w:bookmarkEnd w:id="252"/>
      <w:r>
        <w:rPr>
          <w:rFonts w:ascii="Arial" w:eastAsia="Arial" w:hAnsi="Arial" w:cs="Arial"/>
          <w:color w:val="000000"/>
          <w:sz w:val="20"/>
          <w:u w:val="single"/>
        </w:rPr>
        <w:t>Perdue v. Kenny A. ex rel Winn</w:t>
      </w:r>
      <w:r>
        <w:rPr>
          <w:rFonts w:ascii="Arial" w:eastAsia="Arial" w:hAnsi="Arial" w:cs="Arial"/>
          <w:color w:val="000000"/>
          <w:sz w:val="20"/>
        </w:rPr>
        <w:t xml:space="preserve">, 559 U.S. 542, 546, 130 S. Ct. 1662, 176 L. Ed. 2d 494 (2010). [**12]  </w:t>
      </w:r>
      <w:bookmarkStart w:id="253" w:name="Bookmark_I5WSB5Y12D6NV80020000400"/>
      <w:bookmarkEnd w:id="253"/>
      <w:r>
        <w:rPr>
          <w:rFonts w:ascii="Arial" w:eastAsia="Arial" w:hAnsi="Arial" w:cs="Arial"/>
          <w:color w:val="000000"/>
          <w:sz w:val="20"/>
        </w:rPr>
        <w:t xml:space="preserve">A district court has "great latitude to determine a reasonable hourly rate because it is intimately familiar with its local bar[,]" </w:t>
      </w:r>
      <w:bookmarkStart w:id="254" w:name="Bookmark_I5WSB5Y02N1PRM0050000400"/>
      <w:bookmarkEnd w:id="254"/>
      <w:r>
        <w:rPr>
          <w:rFonts w:ascii="Arial" w:eastAsia="Arial" w:hAnsi="Arial" w:cs="Arial"/>
          <w:color w:val="000000"/>
          <w:sz w:val="20"/>
          <w:u w:val="single"/>
        </w:rPr>
        <w:t>Banks v. Slay</w:t>
      </w:r>
      <w:r>
        <w:rPr>
          <w:rFonts w:ascii="Arial" w:eastAsia="Arial" w:hAnsi="Arial" w:cs="Arial"/>
          <w:color w:val="000000"/>
          <w:sz w:val="20"/>
        </w:rPr>
        <w:t xml:space="preserve">, 875 F.3d 876, 882 (8th Cir. 2017) (internal quotation marks omitted), and it may rely on reconstructed time entries to calculate the hours worked if those entries "satisfactorily document [the] time[.]" </w:t>
      </w:r>
      <w:bookmarkStart w:id="255" w:name="Bookmark_I5WSB5Y12SF7P40020000400"/>
      <w:bookmarkEnd w:id="255"/>
      <w:r>
        <w:rPr>
          <w:rFonts w:ascii="Arial" w:eastAsia="Arial" w:hAnsi="Arial" w:cs="Arial"/>
          <w:color w:val="000000"/>
          <w:sz w:val="20"/>
          <w:u w:val="single"/>
        </w:rPr>
        <w:t>MacDissi v. Valmont Indus., Inc.</w:t>
      </w:r>
      <w:r>
        <w:rPr>
          <w:rFonts w:ascii="Arial" w:eastAsia="Arial" w:hAnsi="Arial" w:cs="Arial"/>
          <w:color w:val="000000"/>
          <w:sz w:val="20"/>
        </w:rPr>
        <w:t xml:space="preserve">, 856 F.2d 1054, 1061 (8th Cir. 1988). A district court should exclude "hours that were not 'reasonably expended'" from its calculations, </w:t>
      </w:r>
      <w:bookmarkStart w:id="256" w:name="Bookmark_I5WSB5Y12SF7P40040000400"/>
      <w:bookmarkEnd w:id="256"/>
      <w:r>
        <w:rPr>
          <w:rFonts w:ascii="Arial" w:eastAsia="Arial" w:hAnsi="Arial" w:cs="Arial"/>
          <w:color w:val="000000"/>
          <w:sz w:val="20"/>
          <w:u w:val="single"/>
        </w:rPr>
        <w:t>Hensley</w:t>
      </w:r>
      <w:r>
        <w:rPr>
          <w:rFonts w:ascii="Arial" w:eastAsia="Arial" w:hAnsi="Arial" w:cs="Arial"/>
          <w:color w:val="000000"/>
          <w:sz w:val="20"/>
        </w:rPr>
        <w:t xml:space="preserve">, 461 U.S. at 434 (quoting S. Rep. No. 94-1011, at 6 (1976)), and may reduce a fee award if a plaintiff does not obtain all the relief she sought. </w:t>
      </w:r>
      <w:bookmarkStart w:id="257" w:name="Bookmark_I5WSB5Y12D6NV80020000400_2"/>
      <w:bookmarkEnd w:id="257"/>
      <w:r>
        <w:rPr>
          <w:rFonts w:ascii="Arial" w:eastAsia="Arial" w:hAnsi="Arial" w:cs="Arial"/>
          <w:color w:val="000000"/>
          <w:sz w:val="20"/>
          <w:u w:val="single"/>
        </w:rPr>
        <w:t xml:space="preserve">See </w:t>
      </w:r>
      <w:bookmarkStart w:id="258" w:name="Bookmark_I5WSB5Y12D6NV80010000400"/>
      <w:bookmarkEnd w:id="258"/>
      <w:r>
        <w:rPr>
          <w:rFonts w:ascii="Arial" w:eastAsia="Arial" w:hAnsi="Arial" w:cs="Arial"/>
          <w:color w:val="000000"/>
          <w:sz w:val="20"/>
          <w:u w:val="single"/>
        </w:rPr>
        <w:t>id.</w:t>
      </w:r>
      <w:r>
        <w:rPr>
          <w:rFonts w:ascii="Arial" w:eastAsia="Arial" w:hAnsi="Arial" w:cs="Arial"/>
          <w:color w:val="000000"/>
          <w:sz w:val="20"/>
        </w:rPr>
        <w:t xml:space="preserve"> at 435-36 (finding that courts can reduce a fee award to account for unsuccessful claims).</w:t>
      </w:r>
    </w:p>
    <w:p w:rsidR="00E456CD" w:rsidRDefault="00000000">
      <w:pPr>
        <w:pStyle w:val="Normal2"/>
        <w:widowControl w:val="0"/>
        <w:spacing w:before="200" w:line="260" w:lineRule="atLeast"/>
        <w:jc w:val="both"/>
      </w:pPr>
      <w:bookmarkStart w:id="259" w:name="Bookmark_para_23_0"/>
      <w:bookmarkStart w:id="260" w:name="Bookmark_I5WSB5Y12D6NV80040000400"/>
      <w:bookmarkEnd w:id="259"/>
      <w:bookmarkEnd w:id="260"/>
      <w:r>
        <w:rPr>
          <w:rFonts w:ascii="Arial" w:eastAsia="Arial" w:hAnsi="Arial" w:cs="Arial"/>
          <w:color w:val="000000"/>
          <w:sz w:val="20"/>
        </w:rPr>
        <w:t>Fox Associates argues on appeal that the district court committed three errors in calculating its award of attorney's fees. First, Fox Associates argues that it implemented all the remedies Appellees sought before the district court ruled in their favor, including offering captioned performances, publicizing those performances and providing a way to request  [*1173]  captioning, providing handheld captioning devices, and allowing deaf and hard-of-hearing individuals to obtain tickets through non-telephonic means. Fox Associates contends, therefore, that Appellees' counsel should only be [**13]  compensated up until the date the Fox implemented those remedies. However, as Appellees correctly point out in their brief, the parties continued to fight over how many captioned performances the Fox needed to provide, nothing prevented the Fox from reverting to its previous policies, and ultimately the district court awarded nearly all the relief Appellees requested in their Amended Complaint.</w:t>
      </w:r>
      <w:r>
        <w:rPr>
          <w:rFonts w:ascii="Arial" w:eastAsia="Arial" w:hAnsi="Arial" w:cs="Arial"/>
          <w:vertAlign w:val="superscript"/>
        </w:rPr>
        <w:footnoteReference w:customMarkFollows="1" w:id="39"/>
        <w:t>8</w:t>
      </w:r>
      <w:r>
        <w:rPr>
          <w:rFonts w:ascii="Arial" w:eastAsia="Arial" w:hAnsi="Arial" w:cs="Arial"/>
          <w:color w:val="000000"/>
          <w:sz w:val="20"/>
        </w:rPr>
        <w:t xml:space="preserve"> "[I]n light of the substantial relief [Appellees] obtained," </w:t>
      </w:r>
      <w:r>
        <w:rPr>
          <w:rFonts w:ascii="Arial" w:eastAsia="Arial" w:hAnsi="Arial" w:cs="Arial"/>
          <w:color w:val="000000"/>
          <w:sz w:val="20"/>
          <w:u w:val="single"/>
        </w:rPr>
        <w:t xml:space="preserve">see </w:t>
      </w:r>
      <w:bookmarkStart w:id="262" w:name="Bookmark_I5WSB5Y12D6NV80030000400"/>
      <w:bookmarkEnd w:id="262"/>
      <w:r>
        <w:rPr>
          <w:rFonts w:ascii="Arial" w:eastAsia="Arial" w:hAnsi="Arial" w:cs="Arial"/>
          <w:color w:val="000000"/>
          <w:sz w:val="20"/>
          <w:u w:val="single"/>
        </w:rPr>
        <w:t>id.</w:t>
      </w:r>
      <w:r>
        <w:rPr>
          <w:rFonts w:ascii="Arial" w:eastAsia="Arial" w:hAnsi="Arial" w:cs="Arial"/>
          <w:color w:val="000000"/>
          <w:sz w:val="20"/>
        </w:rPr>
        <w:t xml:space="preserve"> at 436, we conclude that the district court did not abuse its discretion in failing to reduce its award of attorney's fees based on partial litigation success.</w:t>
      </w:r>
    </w:p>
    <w:p w:rsidR="00E456CD" w:rsidRDefault="00000000">
      <w:pPr>
        <w:pStyle w:val="Normal2"/>
        <w:widowControl w:val="0"/>
        <w:spacing w:before="200" w:line="260" w:lineRule="atLeast"/>
        <w:jc w:val="both"/>
      </w:pPr>
      <w:bookmarkStart w:id="263" w:name="Bookmark_para_24"/>
      <w:bookmarkStart w:id="264" w:name="Bookmark_I5WSB5Y128T4BG0010000400"/>
      <w:bookmarkEnd w:id="263"/>
      <w:bookmarkEnd w:id="264"/>
      <w:r>
        <w:rPr>
          <w:rFonts w:ascii="Arial" w:eastAsia="Arial" w:hAnsi="Arial" w:cs="Arial"/>
          <w:color w:val="000000"/>
          <w:sz w:val="20"/>
        </w:rPr>
        <w:t xml:space="preserve">Second, Fox Associates argues that Appellees' requested hourly rate—$450—is unreasonable because it exceeds prevailing market rates and because Appellees' counsel does not charge his clients that much. We note first that Appellees' counsel does not charge his clients $450 an hour because he does not charge a set fee at all. Rather, he relies on the jurisdictions in which he practices to determine a fair market rate. Fox Associates does not address the fact that Appellees' counsel has over 30 years of practice experience, including 10 years of experience solely in ADA litigation [**14]  involving individuals with hearing impairments. Nor does Fox Associates present any evidence that $450 is above the prevailing market rate for such an attorney in the St. Louis area. In fact, Fox Associates presents no evidence as to prevailing market rates in the St. Louis area other than the rates for its own attorneys. Because a district court is presumed to be familiar with the market rates in its jurisdiction, </w:t>
      </w:r>
      <w:r>
        <w:rPr>
          <w:rFonts w:ascii="Arial" w:eastAsia="Arial" w:hAnsi="Arial" w:cs="Arial"/>
          <w:color w:val="000000"/>
          <w:sz w:val="20"/>
          <w:u w:val="single"/>
        </w:rPr>
        <w:t xml:space="preserve">see </w:t>
      </w:r>
      <w:bookmarkStart w:id="265" w:name="Bookmark_I5WSB5Y12D6NV80050000400"/>
      <w:bookmarkEnd w:id="265"/>
      <w:r>
        <w:rPr>
          <w:rFonts w:ascii="Arial" w:eastAsia="Arial" w:hAnsi="Arial" w:cs="Arial"/>
          <w:color w:val="000000"/>
          <w:sz w:val="20"/>
          <w:u w:val="single"/>
        </w:rPr>
        <w:t>Banks</w:t>
      </w:r>
      <w:r>
        <w:rPr>
          <w:rFonts w:ascii="Arial" w:eastAsia="Arial" w:hAnsi="Arial" w:cs="Arial"/>
          <w:color w:val="000000"/>
          <w:sz w:val="20"/>
        </w:rPr>
        <w:t>, 875 F.3d at 882, and because Fox Associates has failed to present evidence that the market rate the district court chose is unreasonable, we find that the district court did not abuse its discretion in setting an hourly rate of $450.</w:t>
      </w:r>
    </w:p>
    <w:p w:rsidR="00E456CD" w:rsidRDefault="00000000">
      <w:pPr>
        <w:pStyle w:val="Normal2"/>
        <w:widowControl w:val="0"/>
        <w:spacing w:before="200" w:line="260" w:lineRule="atLeast"/>
        <w:jc w:val="both"/>
      </w:pPr>
      <w:bookmarkStart w:id="266" w:name="Bookmark_para_25"/>
      <w:bookmarkStart w:id="267" w:name="Bookmark_I5WSB5Y128T4BG0030000400"/>
      <w:bookmarkEnd w:id="266"/>
      <w:bookmarkEnd w:id="267"/>
      <w:r>
        <w:rPr>
          <w:rFonts w:ascii="Arial" w:eastAsia="Arial" w:hAnsi="Arial" w:cs="Arial"/>
          <w:color w:val="000000"/>
          <w:sz w:val="20"/>
        </w:rPr>
        <w:t xml:space="preserve">Third and finally, Fox Associates argues that the district court should have reduced its fee award because Appellees' counsel impermissibly reconstructed time entries after the fact, billed an excessive number of hours, and impermissibly billed non-attorney work at the attorney rate. However, </w:t>
      </w:r>
      <w:bookmarkStart w:id="268" w:name="Bookmark_LNHNREFclscc8_0"/>
      <w:bookmarkEnd w:id="268"/>
      <w:r>
        <w:rPr>
          <w:rFonts w:ascii="Arial" w:eastAsia="Arial" w:hAnsi="Arial" w:cs="Arial"/>
          <w:color w:val="000000"/>
          <w:sz w:val="20"/>
        </w:rPr>
        <w:t xml:space="preserve">reconstructed time entries do not necessarily require a fee reduction, </w:t>
      </w:r>
      <w:r>
        <w:rPr>
          <w:rFonts w:ascii="Arial" w:eastAsia="Arial" w:hAnsi="Arial" w:cs="Arial"/>
          <w:color w:val="000000"/>
          <w:sz w:val="20"/>
          <w:u w:val="single"/>
        </w:rPr>
        <w:t xml:space="preserve">see </w:t>
      </w:r>
      <w:bookmarkStart w:id="269" w:name="Bookmark_I5WSB5Y128T4BG0020000400"/>
      <w:bookmarkEnd w:id="269"/>
      <w:r>
        <w:rPr>
          <w:rFonts w:ascii="Arial" w:eastAsia="Arial" w:hAnsi="Arial" w:cs="Arial"/>
          <w:color w:val="000000"/>
          <w:sz w:val="20"/>
          <w:u w:val="single"/>
        </w:rPr>
        <w:t>MacDissi</w:t>
      </w:r>
      <w:r>
        <w:rPr>
          <w:rFonts w:ascii="Arial" w:eastAsia="Arial" w:hAnsi="Arial" w:cs="Arial"/>
          <w:color w:val="000000"/>
          <w:sz w:val="20"/>
        </w:rPr>
        <w:t>, 856 F.2d at 1061, and the district court determined that the reconstructed entries, which dealt only with brief communications, satisfactorily documented the time. We agree. The district court conducted a thorough [**15]  review of the time entries in this case and concluded that 5.7 hours of work were not compensable as either non-attorney work or unreasonably-expended hours. Fox Associates provides no evidence that the district court abused its discretion in failing to exclude more hours; indeed, Fox Associates does not even indicate how many hours it believes were excessive. Without more, we cannot say the district court abused its discretion in failing to reduce its fee award further for inefficiency, and we uphold the district court's award of attorney's fees.</w:t>
      </w:r>
    </w:p>
    <w:p w:rsidR="00E456CD" w:rsidRDefault="00000000">
      <w:pPr>
        <w:pStyle w:val="Normal2"/>
        <w:widowControl w:val="0"/>
        <w:spacing w:before="120" w:line="260" w:lineRule="atLeast"/>
      </w:pPr>
      <w:r>
        <w:rPr>
          <w:rFonts w:ascii="Arial" w:eastAsia="Arial" w:hAnsi="Arial" w:cs="Arial"/>
          <w:color w:val="000000"/>
          <w:sz w:val="20"/>
        </w:rPr>
        <w:t>IV.</w:t>
      </w:r>
    </w:p>
    <w:p w:rsidR="00E456CD" w:rsidRDefault="00000000">
      <w:pPr>
        <w:pStyle w:val="Normal2"/>
        <w:widowControl w:val="0"/>
        <w:spacing w:before="200" w:line="260" w:lineRule="atLeast"/>
        <w:jc w:val="both"/>
      </w:pPr>
      <w:bookmarkStart w:id="270" w:name="Bookmark_para_26"/>
      <w:bookmarkEnd w:id="270"/>
      <w:r>
        <w:rPr>
          <w:rFonts w:ascii="Arial" w:eastAsia="Arial" w:hAnsi="Arial" w:cs="Arial"/>
          <w:color w:val="000000"/>
          <w:sz w:val="20"/>
        </w:rPr>
        <w:t>We affirm the district court's judgment in full.</w:t>
      </w:r>
    </w:p>
    <w:p w:rsidR="00E456CD" w:rsidRDefault="00000000">
      <w:pPr>
        <w:pStyle w:val="Normal2"/>
        <w:widowControl w:val="0"/>
        <w:spacing w:before="240" w:line="260" w:lineRule="atLeast"/>
      </w:pPr>
      <w:bookmarkStart w:id="271" w:name="Dissent_by"/>
      <w:bookmarkEnd w:id="271"/>
      <w:r>
        <w:rPr>
          <w:rFonts w:ascii="Arial" w:eastAsia="Arial" w:hAnsi="Arial" w:cs="Arial"/>
          <w:b/>
          <w:color w:val="000000"/>
          <w:sz w:val="20"/>
        </w:rPr>
        <w:t>Dissent by:</w:t>
      </w:r>
      <w:r>
        <w:rPr>
          <w:rFonts w:ascii="Arial" w:eastAsia="Arial" w:hAnsi="Arial" w:cs="Arial"/>
          <w:color w:val="000000"/>
          <w:sz w:val="20"/>
        </w:rPr>
        <w:t> GRASZ</w:t>
      </w:r>
    </w:p>
    <w:p w:rsidR="00E456CD" w:rsidRDefault="00000000">
      <w:pPr>
        <w:pStyle w:val="Normal2"/>
        <w:keepNext/>
        <w:widowControl w:val="0"/>
        <w:spacing w:before="240" w:line="340" w:lineRule="atLeast"/>
      </w:pPr>
      <w:bookmarkStart w:id="272" w:name="Dissent"/>
      <w:bookmarkEnd w:id="272"/>
      <w:r>
        <w:rPr>
          <w:rFonts w:ascii="Arial" w:eastAsia="Arial" w:hAnsi="Arial" w:cs="Arial"/>
          <w:b/>
          <w:color w:val="000000"/>
          <w:sz w:val="28"/>
        </w:rPr>
        <w:t>Dissent</w:t>
      </w:r>
    </w:p>
    <w:p w:rsidR="00E456CD" w:rsidRDefault="00E22289">
      <w:pPr>
        <w:pStyle w:val="Normal2"/>
        <w:spacing w:line="60" w:lineRule="exact"/>
      </w:pPr>
      <w:r>
        <w:rPr>
          <w:noProof/>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80620406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23B0A" id="Line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
      </w:pPr>
    </w:p>
    <w:p w:rsidR="00E456CD" w:rsidRDefault="00000000">
      <w:pPr>
        <w:pStyle w:val="Normal2"/>
        <w:widowControl w:val="0"/>
        <w:spacing w:before="200" w:line="260" w:lineRule="atLeast"/>
        <w:jc w:val="both"/>
      </w:pPr>
      <w:bookmarkStart w:id="273" w:name="Bookmark_para_27"/>
      <w:bookmarkEnd w:id="273"/>
      <w:r>
        <w:rPr>
          <w:rFonts w:ascii="Arial" w:eastAsia="Arial" w:hAnsi="Arial" w:cs="Arial"/>
          <w:color w:val="000000"/>
          <w:sz w:val="20"/>
        </w:rPr>
        <w:t> [*1174]  GRASZ, Circuit Judge, dissenting.</w:t>
      </w:r>
    </w:p>
    <w:p w:rsidR="00E456CD" w:rsidRDefault="00000000">
      <w:pPr>
        <w:pStyle w:val="Normal2"/>
        <w:widowControl w:val="0"/>
        <w:spacing w:before="200" w:line="260" w:lineRule="atLeast"/>
        <w:jc w:val="both"/>
      </w:pPr>
      <w:bookmarkStart w:id="274" w:name="Bookmark_para_28"/>
      <w:bookmarkStart w:id="275" w:name="Bookmark_I553P04HHBY00004N7T0002K"/>
      <w:bookmarkStart w:id="276" w:name="Bookmark_I5WSB5Y128T4BG0050000400"/>
      <w:bookmarkEnd w:id="274"/>
      <w:bookmarkEnd w:id="275"/>
      <w:bookmarkEnd w:id="276"/>
      <w:r>
        <w:rPr>
          <w:rFonts w:ascii="Arial" w:eastAsia="Arial" w:hAnsi="Arial" w:cs="Arial"/>
          <w:color w:val="000000"/>
          <w:sz w:val="20"/>
        </w:rPr>
        <w:t xml:space="preserve">There is an old adage that "bad facts make bad law." </w:t>
      </w:r>
      <w:bookmarkStart w:id="277" w:name="Bookmark_I5WSB5Y128T4BG0040000400"/>
      <w:bookmarkEnd w:id="277"/>
      <w:r>
        <w:rPr>
          <w:rFonts w:ascii="Arial" w:eastAsia="Arial" w:hAnsi="Arial" w:cs="Arial"/>
          <w:i/>
          <w:color w:val="000000"/>
          <w:sz w:val="20"/>
        </w:rPr>
        <w:t>Colbruno v. Kessler</w:t>
      </w:r>
      <w:r>
        <w:rPr>
          <w:rFonts w:ascii="Arial" w:eastAsia="Arial" w:hAnsi="Arial" w:cs="Arial"/>
          <w:color w:val="000000"/>
          <w:sz w:val="20"/>
        </w:rPr>
        <w:t xml:space="preserve">, 928 F.3d 1156, 2019 U.S. App. LEXIS 19768, 2019 WL 2751434, at *7 (10th Cir. July 2, 2019) (Tymkovich, C.J., dissenting). Likewise, a litigation strategy can result in bad law leading to unforeseen consequences. </w:t>
      </w:r>
      <w:bookmarkStart w:id="278" w:name="Bookmark_I553P04HN6R00004N7T0002M"/>
      <w:bookmarkStart w:id="279" w:name="Bookmark_I5WSB5Y228T4BS0020000400"/>
      <w:bookmarkEnd w:id="278"/>
      <w:bookmarkEnd w:id="279"/>
      <w:r>
        <w:rPr>
          <w:rFonts w:ascii="Arial" w:eastAsia="Arial" w:hAnsi="Arial" w:cs="Arial"/>
          <w:color w:val="000000"/>
          <w:sz w:val="20"/>
        </w:rPr>
        <w:t xml:space="preserve">I fear that may be the case here. For whatever reason, the Fox addressed only the question of meaningful access and failed to assert an undue burden defense at the summary judgment stage, even though the Fox says the cost of providing an in-person captioner at each performance is substantial. </w:t>
      </w:r>
      <w:bookmarkStart w:id="280" w:name="Bookmark_I5WSB5Y228T4BS0020000400_2"/>
      <w:bookmarkEnd w:id="280"/>
      <w:r>
        <w:rPr>
          <w:rFonts w:ascii="Arial" w:eastAsia="Arial" w:hAnsi="Arial" w:cs="Arial"/>
          <w:color w:val="000000"/>
          <w:sz w:val="20"/>
        </w:rPr>
        <w:t xml:space="preserve">This has resulted in a decision that could undercut the meaningful access precedent of this [**16]  circuit. </w:t>
      </w:r>
      <w:r>
        <w:rPr>
          <w:rFonts w:ascii="Arial" w:eastAsia="Arial" w:hAnsi="Arial" w:cs="Arial"/>
          <w:i/>
          <w:color w:val="000000"/>
          <w:sz w:val="20"/>
        </w:rPr>
        <w:t xml:space="preserve">See, e.g., </w:t>
      </w:r>
      <w:bookmarkStart w:id="281" w:name="Bookmark_I5WSB5Y228T4BS0010000400"/>
      <w:bookmarkEnd w:id="281"/>
      <w:r>
        <w:rPr>
          <w:rFonts w:ascii="Arial" w:eastAsia="Arial" w:hAnsi="Arial" w:cs="Arial"/>
          <w:i/>
          <w:color w:val="000000"/>
          <w:sz w:val="20"/>
        </w:rPr>
        <w:t>Argenyi v. Creighton Univ.</w:t>
      </w:r>
      <w:r>
        <w:rPr>
          <w:rFonts w:ascii="Arial" w:eastAsia="Arial" w:hAnsi="Arial" w:cs="Arial"/>
          <w:color w:val="000000"/>
          <w:sz w:val="20"/>
        </w:rPr>
        <w:t>, 703 F.3d 441, 449 (8th Cir. 2013).</w:t>
      </w:r>
    </w:p>
    <w:p w:rsidR="00E456CD" w:rsidRDefault="00000000">
      <w:pPr>
        <w:pStyle w:val="Normal2"/>
        <w:widowControl w:val="0"/>
        <w:spacing w:before="200" w:line="260" w:lineRule="atLeast"/>
        <w:jc w:val="both"/>
      </w:pPr>
      <w:bookmarkStart w:id="282" w:name="Bookmark_para_29"/>
      <w:bookmarkStart w:id="283" w:name="Bookmark_I553P04HXN900004N7T0002P"/>
      <w:bookmarkStart w:id="284" w:name="Bookmark_I553P04J2B600004N7T0002R"/>
      <w:bookmarkStart w:id="285" w:name="Bookmark_I5WSB5Y228T4BS0040000400"/>
      <w:bookmarkStart w:id="286" w:name="Bookmark_I553P04J61800004N7T0002S"/>
      <w:bookmarkStart w:id="287" w:name="Bookmark_I5WSB5Y22HM6X90030000400"/>
      <w:bookmarkEnd w:id="282"/>
      <w:bookmarkEnd w:id="283"/>
      <w:bookmarkEnd w:id="284"/>
      <w:bookmarkEnd w:id="285"/>
      <w:bookmarkEnd w:id="286"/>
      <w:bookmarkEnd w:id="287"/>
      <w:r>
        <w:rPr>
          <w:rFonts w:ascii="Arial" w:eastAsia="Arial" w:hAnsi="Arial" w:cs="Arial"/>
          <w:color w:val="000000"/>
          <w:sz w:val="20"/>
        </w:rPr>
        <w:t xml:space="preserve">Under the meaningful access standard, "aids and services 'are not required to produce the identical result or level of achievement for handicapped and nonhandicapped persons,' but they nevertheless 'must afford handicapped persons equal opportunity to . . . gain the same benefit.'" </w:t>
      </w:r>
      <w:bookmarkStart w:id="288" w:name="Bookmark_I5WSB5Y228T4BS0030000400"/>
      <w:bookmarkEnd w:id="288"/>
      <w:r>
        <w:rPr>
          <w:rFonts w:ascii="Arial" w:eastAsia="Arial" w:hAnsi="Arial" w:cs="Arial"/>
          <w:i/>
          <w:color w:val="000000"/>
          <w:sz w:val="20"/>
        </w:rPr>
        <w:t>Id.</w:t>
      </w:r>
      <w:r>
        <w:rPr>
          <w:rFonts w:ascii="Arial" w:eastAsia="Arial" w:hAnsi="Arial" w:cs="Arial"/>
          <w:color w:val="000000"/>
          <w:sz w:val="20"/>
        </w:rPr>
        <w:t xml:space="preserve"> at 449 (alteration in original) (quoting </w:t>
      </w:r>
      <w:bookmarkStart w:id="289" w:name="Bookmark_I5WSB5Y228T4BS0050000400"/>
      <w:bookmarkEnd w:id="289"/>
      <w:r>
        <w:rPr>
          <w:rFonts w:ascii="Arial" w:eastAsia="Arial" w:hAnsi="Arial" w:cs="Arial"/>
          <w:i/>
          <w:color w:val="000000"/>
          <w:sz w:val="20"/>
        </w:rPr>
        <w:t>Loye v. Cty. of Dakota</w:t>
      </w:r>
      <w:r>
        <w:rPr>
          <w:rFonts w:ascii="Arial" w:eastAsia="Arial" w:hAnsi="Arial" w:cs="Arial"/>
          <w:color w:val="000000"/>
          <w:sz w:val="20"/>
        </w:rPr>
        <w:t xml:space="preserve">, 625 F.3d 494, 499 (8th Cir. 2010)). </w:t>
      </w:r>
      <w:bookmarkStart w:id="290" w:name="Bookmark_I553P04JGR600004N7T0002T"/>
      <w:bookmarkStart w:id="291" w:name="Bookmark_I553P04JSB000004N7T0002W"/>
      <w:bookmarkStart w:id="292" w:name="Bookmark_I5WSB5Y22HM6X90050000400"/>
      <w:bookmarkEnd w:id="290"/>
      <w:bookmarkEnd w:id="291"/>
      <w:bookmarkEnd w:id="292"/>
      <w:r>
        <w:rPr>
          <w:rFonts w:ascii="Arial" w:eastAsia="Arial" w:hAnsi="Arial" w:cs="Arial"/>
          <w:color w:val="000000"/>
          <w:sz w:val="20"/>
        </w:rPr>
        <w:t xml:space="preserve">While the ADA is broad in scope, the law does not require institutions to provide all requested auxiliary aids and services but instead only "necessary" ones. </w:t>
      </w:r>
      <w:r>
        <w:rPr>
          <w:rFonts w:ascii="Arial" w:eastAsia="Arial" w:hAnsi="Arial" w:cs="Arial"/>
          <w:i/>
          <w:color w:val="000000"/>
          <w:sz w:val="20"/>
        </w:rPr>
        <w:t>Id.</w:t>
      </w:r>
      <w:r>
        <w:rPr>
          <w:rFonts w:ascii="Arial" w:eastAsia="Arial" w:hAnsi="Arial" w:cs="Arial"/>
          <w:color w:val="000000"/>
          <w:sz w:val="20"/>
        </w:rPr>
        <w:t xml:space="preserve"> The law tests what level of provision of necessary aids and services is required for meaningful access without reaching the affirmative defenses. </w:t>
      </w:r>
      <w:r>
        <w:rPr>
          <w:rFonts w:ascii="Arial" w:eastAsia="Arial" w:hAnsi="Arial" w:cs="Arial"/>
          <w:i/>
          <w:color w:val="000000"/>
          <w:sz w:val="20"/>
        </w:rPr>
        <w:t xml:space="preserve">See </w:t>
      </w:r>
      <w:bookmarkStart w:id="293" w:name="Bookmark_I5WSB5Y22HM6X90020000400"/>
      <w:bookmarkEnd w:id="293"/>
      <w:r>
        <w:rPr>
          <w:rFonts w:ascii="Arial" w:eastAsia="Arial" w:hAnsi="Arial" w:cs="Arial"/>
          <w:i/>
          <w:color w:val="000000"/>
          <w:sz w:val="20"/>
        </w:rPr>
        <w:t>Loye</w:t>
      </w:r>
      <w:r>
        <w:rPr>
          <w:rFonts w:ascii="Arial" w:eastAsia="Arial" w:hAnsi="Arial" w:cs="Arial"/>
          <w:color w:val="000000"/>
          <w:sz w:val="20"/>
        </w:rPr>
        <w:t xml:space="preserve">, 625 F.3d at 499. </w:t>
      </w:r>
      <w:bookmarkStart w:id="294" w:name="Bookmark_I5WSB5Y22HM6X90050000400_2"/>
      <w:bookmarkEnd w:id="294"/>
      <w:r>
        <w:rPr>
          <w:rFonts w:ascii="Arial" w:eastAsia="Arial" w:hAnsi="Arial" w:cs="Arial"/>
          <w:color w:val="000000"/>
          <w:sz w:val="20"/>
        </w:rPr>
        <w:t xml:space="preserve">This is an "inherently fact-intensive" inquiry that "largely depends on context." </w:t>
      </w:r>
      <w:r>
        <w:rPr>
          <w:rFonts w:ascii="Arial" w:eastAsia="Arial" w:hAnsi="Arial" w:cs="Arial"/>
          <w:i/>
          <w:color w:val="000000"/>
          <w:sz w:val="20"/>
        </w:rPr>
        <w:t xml:space="preserve">See </w:t>
      </w:r>
      <w:bookmarkStart w:id="295" w:name="Bookmark_I5WSB5Y22HM6X90040000400"/>
      <w:bookmarkEnd w:id="295"/>
      <w:r>
        <w:rPr>
          <w:rFonts w:ascii="Arial" w:eastAsia="Arial" w:hAnsi="Arial" w:cs="Arial"/>
          <w:i/>
          <w:color w:val="000000"/>
          <w:sz w:val="20"/>
        </w:rPr>
        <w:t>Argenyi</w:t>
      </w:r>
      <w:r>
        <w:rPr>
          <w:rFonts w:ascii="Arial" w:eastAsia="Arial" w:hAnsi="Arial" w:cs="Arial"/>
          <w:color w:val="000000"/>
          <w:sz w:val="20"/>
        </w:rPr>
        <w:t xml:space="preserve">, 703 F.3d at 449 (quoting </w:t>
      </w:r>
      <w:bookmarkStart w:id="296" w:name="Bookmark_I5WSB5Y228T4BX0010000400"/>
      <w:bookmarkEnd w:id="296"/>
      <w:r>
        <w:rPr>
          <w:rFonts w:ascii="Arial" w:eastAsia="Arial" w:hAnsi="Arial" w:cs="Arial"/>
          <w:i/>
          <w:color w:val="000000"/>
          <w:sz w:val="20"/>
        </w:rPr>
        <w:t>Liese v. Indian River Cty. Hosp. Dist.</w:t>
      </w:r>
      <w:r>
        <w:rPr>
          <w:rFonts w:ascii="Arial" w:eastAsia="Arial" w:hAnsi="Arial" w:cs="Arial"/>
          <w:color w:val="000000"/>
          <w:sz w:val="20"/>
        </w:rPr>
        <w:t>, 701 F.3d 334, 343 (11th Cir. 2012)).</w:t>
      </w:r>
    </w:p>
    <w:p w:rsidR="00E456CD" w:rsidRDefault="00000000">
      <w:pPr>
        <w:pStyle w:val="Normal2"/>
        <w:widowControl w:val="0"/>
        <w:spacing w:before="200" w:line="260" w:lineRule="atLeast"/>
        <w:jc w:val="both"/>
      </w:pPr>
      <w:bookmarkStart w:id="297" w:name="Bookmark_para_30"/>
      <w:bookmarkEnd w:id="297"/>
      <w:r>
        <w:rPr>
          <w:rFonts w:ascii="Arial" w:eastAsia="Arial" w:hAnsi="Arial" w:cs="Arial"/>
          <w:color w:val="000000"/>
          <w:sz w:val="20"/>
        </w:rPr>
        <w:t>Here, the Fox originally provided its hearing-impaired patrons with an American Sign Language interpreter. And then, after litigation ensued, the Fox provided Childress with the specific accommodation she asked for, live captioning at one showing of each requested production. When Childress requested live captioning at a different showing, the Fox provided captioning at her requested showing. In fact, since their original compromise was reached, [**17]  there is no evidence that any of the plaintiffs have been denied captioning at a requested showing.</w:t>
      </w:r>
    </w:p>
    <w:p w:rsidR="00E456CD" w:rsidRDefault="00000000">
      <w:pPr>
        <w:pStyle w:val="Normal2"/>
        <w:widowControl w:val="0"/>
        <w:spacing w:before="200" w:line="260" w:lineRule="atLeast"/>
        <w:jc w:val="both"/>
      </w:pPr>
      <w:bookmarkStart w:id="298" w:name="Bookmark_para_31"/>
      <w:bookmarkEnd w:id="298"/>
      <w:r>
        <w:rPr>
          <w:rFonts w:ascii="Arial" w:eastAsia="Arial" w:hAnsi="Arial" w:cs="Arial"/>
          <w:color w:val="000000"/>
          <w:sz w:val="20"/>
        </w:rPr>
        <w:t xml:space="preserve">Yet the court concludes that, although the Fox provides real time captioning from a live, in-person court reporter for at least one performance of every production at its theater and has demonstrated a willingness to work with patrons to accommodate requests for alternative dates, it must instead provide this service at </w:t>
      </w:r>
      <w:r>
        <w:rPr>
          <w:rFonts w:ascii="Arial" w:eastAsia="Arial" w:hAnsi="Arial" w:cs="Arial"/>
          <w:i/>
          <w:color w:val="000000"/>
          <w:sz w:val="20"/>
        </w:rPr>
        <w:t>every</w:t>
      </w:r>
      <w:r>
        <w:rPr>
          <w:rFonts w:ascii="Arial" w:eastAsia="Arial" w:hAnsi="Arial" w:cs="Arial"/>
          <w:color w:val="000000"/>
          <w:sz w:val="20"/>
        </w:rPr>
        <w:t xml:space="preserve"> performance of every production in order to provide meaningful access. Childress expressly argued, and the court seemingly agrees, the Fox has no ability to limit the frequency of the live captioning services it provides. </w:t>
      </w:r>
      <w:bookmarkStart w:id="299" w:name="Bookmark_I553P04K1R000004N7T0002Y"/>
      <w:bookmarkStart w:id="300" w:name="Bookmark_I5WSB5Y228T4BX0040000400"/>
      <w:bookmarkEnd w:id="299"/>
      <w:bookmarkEnd w:id="300"/>
      <w:r>
        <w:rPr>
          <w:rFonts w:ascii="Arial" w:eastAsia="Arial" w:hAnsi="Arial" w:cs="Arial"/>
          <w:color w:val="000000"/>
          <w:sz w:val="20"/>
        </w:rPr>
        <w:t xml:space="preserve">In my view, this conclusion effectively replaces the meaningful access test with an identical access standard. I also believe this conclusion improperly cabins arguments about what access qualifies as meaningful to the context of affirmative defenses even though the defenses test whether the auxiliary aid or service must be provided at all, not what level of access is meaningful. </w:t>
      </w:r>
      <w:r>
        <w:rPr>
          <w:rFonts w:ascii="Arial" w:eastAsia="Arial" w:hAnsi="Arial" w:cs="Arial"/>
          <w:i/>
          <w:color w:val="000000"/>
          <w:sz w:val="20"/>
        </w:rPr>
        <w:t xml:space="preserve">See, e.g., </w:t>
      </w:r>
      <w:bookmarkStart w:id="301" w:name="Bookmark_I5WSB5Y228T4BX0030000400"/>
      <w:bookmarkEnd w:id="301"/>
      <w:r>
        <w:rPr>
          <w:rFonts w:ascii="Arial" w:eastAsia="Arial" w:hAnsi="Arial" w:cs="Arial"/>
          <w:i/>
          <w:color w:val="000000"/>
          <w:sz w:val="20"/>
        </w:rPr>
        <w:t>id.</w:t>
      </w:r>
      <w:r>
        <w:rPr>
          <w:rFonts w:ascii="Arial" w:eastAsia="Arial" w:hAnsi="Arial" w:cs="Arial"/>
          <w:color w:val="000000"/>
          <w:sz w:val="20"/>
        </w:rPr>
        <w:t xml:space="preserve"> at 451 n.3. It is the meaningful access analysis, not the undue burden standard, that determines whether it is necessary to provide a court reporter at every performance. [**18] </w:t>
      </w:r>
    </w:p>
    <w:p w:rsidR="00E456CD" w:rsidRDefault="00000000">
      <w:pPr>
        <w:pStyle w:val="Normal2"/>
        <w:widowControl w:val="0"/>
        <w:spacing w:before="200" w:line="260" w:lineRule="atLeast"/>
        <w:jc w:val="both"/>
      </w:pPr>
      <w:bookmarkStart w:id="302" w:name="Bookmark_para_32"/>
      <w:bookmarkEnd w:id="302"/>
      <w:r>
        <w:rPr>
          <w:rFonts w:ascii="Arial" w:eastAsia="Arial" w:hAnsi="Arial" w:cs="Arial"/>
          <w:color w:val="000000"/>
          <w:sz w:val="20"/>
        </w:rPr>
        <w:t xml:space="preserve">Fortunately for all concerned, advanced technology appears poised to moot this issue as a practical matter by making real time captioning of live performances inexpensive and routine. This does not, however, negate the legal problem. A legal standard requiring identical access in the context of auxiliary aids and services may have far-reaching unforeseen consequences in other contexts. </w:t>
      </w:r>
      <w:bookmarkStart w:id="303" w:name="Bookmark_I553P04K5D800004N7T00030"/>
      <w:bookmarkStart w:id="304" w:name="Bookmark_I5WSB5Y22SF7PS0010000400"/>
      <w:bookmarkEnd w:id="303"/>
      <w:bookmarkEnd w:id="304"/>
      <w:r>
        <w:rPr>
          <w:rFonts w:ascii="Arial" w:eastAsia="Arial" w:hAnsi="Arial" w:cs="Arial"/>
          <w:color w:val="000000"/>
          <w:sz w:val="20"/>
        </w:rPr>
        <w:t xml:space="preserve">Identical access would possibly require, for example, 24/7  [*1175]  sign language translation in hospitals as well as a myriad of other requirements. Such a result is not consistent with our meaningful access precedent. </w:t>
      </w:r>
      <w:r>
        <w:rPr>
          <w:rFonts w:ascii="Arial" w:eastAsia="Arial" w:hAnsi="Arial" w:cs="Arial"/>
          <w:i/>
          <w:color w:val="000000"/>
          <w:sz w:val="20"/>
        </w:rPr>
        <w:t xml:space="preserve">See </w:t>
      </w:r>
      <w:bookmarkStart w:id="305" w:name="Bookmark_I5WSB5Y228T4BX0050000400"/>
      <w:bookmarkEnd w:id="305"/>
      <w:r>
        <w:rPr>
          <w:rFonts w:ascii="Arial" w:eastAsia="Arial" w:hAnsi="Arial" w:cs="Arial"/>
          <w:i/>
          <w:color w:val="000000"/>
          <w:sz w:val="20"/>
        </w:rPr>
        <w:t>Loye</w:t>
      </w:r>
      <w:r>
        <w:rPr>
          <w:rFonts w:ascii="Arial" w:eastAsia="Arial" w:hAnsi="Arial" w:cs="Arial"/>
          <w:color w:val="000000"/>
          <w:sz w:val="20"/>
        </w:rPr>
        <w:t>, 625 F.3d at 499 (affirming district court's opinion rejecting the contention that "an interpreter is mandated for every meeting"). The benefit the Fox offers is the opportunity to attend traveling Broadway productions. Access to this benefit does not require live court reporters at each and every performance of every production in order to be meaningful.</w:t>
      </w:r>
    </w:p>
    <w:p w:rsidR="00E456CD" w:rsidRDefault="00000000">
      <w:pPr>
        <w:pStyle w:val="Normal2"/>
        <w:widowControl w:val="0"/>
        <w:spacing w:before="200" w:line="260" w:lineRule="atLeast"/>
        <w:jc w:val="both"/>
      </w:pPr>
      <w:bookmarkStart w:id="306" w:name="Bookmark_para_33"/>
      <w:bookmarkEnd w:id="306"/>
      <w:r>
        <w:rPr>
          <w:rFonts w:ascii="Arial" w:eastAsia="Arial" w:hAnsi="Arial" w:cs="Arial"/>
          <w:color w:val="000000"/>
          <w:sz w:val="20"/>
        </w:rPr>
        <w:t>I respectfully dissent.</w:t>
      </w:r>
    </w:p>
    <w:p w:rsidR="00E456CD" w:rsidRDefault="00E456CD">
      <w:pPr>
        <w:pStyle w:val="Normal2"/>
      </w:pPr>
    </w:p>
    <w:p w:rsidR="00E456CD" w:rsidRDefault="00000000">
      <w:pPr>
        <w:pStyle w:val="Normal2"/>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80961756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7C9BD" id="Line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
        <w:sectPr w:rsidR="00E456CD">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gutter="0"/>
          <w:cols w:space="720"/>
          <w:titlePg/>
        </w:sectPr>
      </w:pPr>
    </w:p>
    <w:p w:rsidR="00E456CD" w:rsidRDefault="00E456CD">
      <w:pPr>
        <w:pStyle w:val="Normal3"/>
      </w:pPr>
    </w:p>
    <w:p w:rsidR="00E456CD" w:rsidRDefault="00000000">
      <w:pPr>
        <w:pStyle w:val="Heading12"/>
        <w:keepNext w:val="0"/>
        <w:widowControl w:val="0"/>
        <w:spacing w:after="200" w:line="340" w:lineRule="atLeast"/>
        <w:jc w:val="center"/>
      </w:pPr>
      <w:r>
        <w:rPr>
          <w:rFonts w:eastAsia="Arial"/>
          <w:color w:val="000000"/>
          <w:sz w:val="28"/>
        </w:rPr>
        <w:t>Brown v. District of Columbia</w:t>
      </w:r>
    </w:p>
    <w:p w:rsidR="00E456CD" w:rsidRDefault="00000000">
      <w:pPr>
        <w:pStyle w:val="Normal3"/>
        <w:widowControl w:val="0"/>
        <w:spacing w:before="120" w:line="260" w:lineRule="atLeast"/>
        <w:jc w:val="center"/>
      </w:pPr>
      <w:r>
        <w:rPr>
          <w:rFonts w:ascii="Arial" w:eastAsia="Arial" w:hAnsi="Arial" w:cs="Arial"/>
          <w:color w:val="000000"/>
          <w:sz w:val="20"/>
        </w:rPr>
        <w:t>United States Court of Appeals for the District of Columbia Circuit</w:t>
      </w:r>
    </w:p>
    <w:p w:rsidR="00E456CD" w:rsidRDefault="00000000">
      <w:pPr>
        <w:pStyle w:val="Normal3"/>
        <w:widowControl w:val="0"/>
        <w:spacing w:before="120" w:line="260" w:lineRule="atLeast"/>
        <w:jc w:val="center"/>
      </w:pPr>
      <w:r>
        <w:rPr>
          <w:rFonts w:ascii="Arial" w:eastAsia="Arial" w:hAnsi="Arial" w:cs="Arial"/>
          <w:color w:val="000000"/>
          <w:sz w:val="20"/>
        </w:rPr>
        <w:t>January 14, 2019, Argued; July 5, 2019, Decided</w:t>
      </w:r>
    </w:p>
    <w:p w:rsidR="00E456CD" w:rsidRDefault="00000000">
      <w:pPr>
        <w:pStyle w:val="Normal3"/>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17-7152</w:t>
      </w:r>
    </w:p>
    <w:p w:rsidR="00E456CD" w:rsidRDefault="00E456CD">
      <w:pPr>
        <w:pStyle w:val="Normal3"/>
        <w:widowControl w:val="0"/>
        <w:spacing w:line="240" w:lineRule="atLeast"/>
        <w:jc w:val="both"/>
      </w:pPr>
      <w:bookmarkStart w:id="307" w:name="Bookmark_4"/>
      <w:bookmarkEnd w:id="307"/>
    </w:p>
    <w:p w:rsidR="00E456CD" w:rsidRDefault="00000000">
      <w:pPr>
        <w:pStyle w:val="Normal3"/>
        <w:widowControl w:val="0"/>
        <w:spacing w:before="200" w:line="240" w:lineRule="atLeast"/>
      </w:pPr>
      <w:bookmarkStart w:id="308" w:name="Reporter_2"/>
      <w:bookmarkEnd w:id="308"/>
      <w:r>
        <w:rPr>
          <w:rFonts w:ascii="Arial" w:eastAsia="Arial" w:hAnsi="Arial" w:cs="Arial"/>
          <w:b/>
          <w:color w:val="000000"/>
          <w:sz w:val="18"/>
        </w:rPr>
        <w:t>Reporter</w:t>
      </w:r>
    </w:p>
    <w:p w:rsidR="00E456CD" w:rsidRDefault="00000000">
      <w:pPr>
        <w:pStyle w:val="Normal3"/>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928 F.3d 1070 *; 442 U.S. App. D.C. 155 **; 2019 U.S. App. LEXIS 20058 ***; 104 Fed. R. Serv. 3d (Callaghan) 42; 2019 WL 2895992</w:t>
      </w:r>
    </w:p>
    <w:p w:rsidR="00E456CD" w:rsidRDefault="00000000">
      <w:pPr>
        <w:pStyle w:val="Normal3"/>
        <w:widowControl w:val="0"/>
        <w:spacing w:before="120" w:line="260" w:lineRule="atLeast"/>
      </w:pPr>
      <w:r>
        <w:rPr>
          <w:rFonts w:ascii="Arial" w:eastAsia="Arial" w:hAnsi="Arial" w:cs="Arial"/>
          <w:color w:val="000000"/>
          <w:sz w:val="20"/>
        </w:rPr>
        <w:t>IVY BROWN, IN HER INDIVIDUAL CAPACITY AND AS REPRESENTATIVE OF THE CERTIFIED CLASS, APPELLANT v. DISTRICT OF COLUMBIA, A MUNICIPAL CORPORATION, APPELLEE</w:t>
      </w:r>
    </w:p>
    <w:p w:rsidR="00E456CD" w:rsidRDefault="00000000">
      <w:pPr>
        <w:pStyle w:val="Normal3"/>
        <w:widowControl w:val="0"/>
        <w:spacing w:before="240" w:line="260" w:lineRule="atLeast"/>
        <w:jc w:val="both"/>
      </w:pPr>
      <w:bookmarkStart w:id="309" w:name="Prior_History_2"/>
      <w:bookmarkEnd w:id="309"/>
      <w:r>
        <w:rPr>
          <w:rFonts w:ascii="Arial" w:eastAsia="Arial" w:hAnsi="Arial" w:cs="Arial"/>
          <w:b/>
          <w:color w:val="000000"/>
          <w:sz w:val="20"/>
        </w:rPr>
        <w:t>Prior History:</w:t>
      </w:r>
      <w:r>
        <w:rPr>
          <w:rFonts w:ascii="Arial" w:eastAsia="Arial" w:hAnsi="Arial" w:cs="Arial"/>
          <w:color w:val="000000"/>
          <w:sz w:val="20"/>
        </w:rPr>
        <w:t> </w:t>
      </w:r>
      <w:bookmarkStart w:id="310" w:name="Bookmark_para_1_2"/>
      <w:bookmarkEnd w:id="310"/>
      <w:r>
        <w:rPr>
          <w:rFonts w:ascii="Arial" w:eastAsia="Arial" w:hAnsi="Arial" w:cs="Arial"/>
          <w:color w:val="000000"/>
          <w:sz w:val="20"/>
        </w:rPr>
        <w:t> [***1] Appeal from the United States District Court for the District of Columbia. (No. 1:10-cv-02250).</w:t>
      </w:r>
    </w:p>
    <w:p w:rsidR="00E456CD" w:rsidRDefault="00000000">
      <w:pPr>
        <w:pStyle w:val="Normal3"/>
        <w:widowControl w:val="0"/>
        <w:spacing w:before="120" w:line="260" w:lineRule="atLeast"/>
      </w:pPr>
      <w:r>
        <w:rPr>
          <w:rFonts w:ascii="Arial" w:eastAsia="Arial" w:hAnsi="Arial" w:cs="Arial"/>
          <w:color w:val="000000"/>
          <w:sz w:val="20"/>
        </w:rPr>
        <w:t>Brown v. District of Columbia, 322 F.R.D. 51, 2017 U.S. Dist. LEXIS 147939 (D.D.C., Sept. 13, 2017)</w:t>
      </w:r>
    </w:p>
    <w:p w:rsidR="00E456CD" w:rsidRDefault="00000000">
      <w:pPr>
        <w:pStyle w:val="Normal3"/>
        <w:widowControl w:val="0"/>
        <w:spacing w:before="240" w:line="260" w:lineRule="atLeast"/>
      </w:pPr>
      <w:bookmarkStart w:id="311" w:name="Counsel_2"/>
      <w:bookmarkEnd w:id="311"/>
      <w:r>
        <w:rPr>
          <w:rFonts w:ascii="Arial" w:eastAsia="Arial" w:hAnsi="Arial" w:cs="Arial"/>
          <w:b/>
          <w:color w:val="000000"/>
          <w:sz w:val="20"/>
        </w:rPr>
        <w:t>Counsel:</w:t>
      </w:r>
      <w:r>
        <w:rPr>
          <w:rFonts w:ascii="Arial" w:eastAsia="Arial" w:hAnsi="Arial" w:cs="Arial"/>
          <w:color w:val="000000"/>
          <w:sz w:val="20"/>
        </w:rPr>
        <w:t> Kelly Bagby argued the cause for the appellant. Maame Gyamfi, Iris Y. González, Sasha M. Samberg-Champion and Ryan Downer were with her on brief.</w:t>
      </w:r>
    </w:p>
    <w:p w:rsidR="00E456CD" w:rsidRDefault="00000000">
      <w:pPr>
        <w:pStyle w:val="Normal3"/>
        <w:widowControl w:val="0"/>
        <w:spacing w:before="120" w:line="260" w:lineRule="atLeast"/>
      </w:pPr>
      <w:r>
        <w:rPr>
          <w:rFonts w:ascii="Arial" w:eastAsia="Arial" w:hAnsi="Arial" w:cs="Arial"/>
          <w:color w:val="000000"/>
          <w:sz w:val="20"/>
        </w:rPr>
        <w:t>David A. Reiser and Jonathan H. Levy were on brief for the amici curiae The Legal Aid Society for the District of Columbia, et al. in support of the appellants.</w:t>
      </w:r>
    </w:p>
    <w:p w:rsidR="00E456CD" w:rsidRDefault="00000000">
      <w:pPr>
        <w:pStyle w:val="Normal3"/>
        <w:widowControl w:val="0"/>
        <w:spacing w:before="120" w:line="260" w:lineRule="atLeast"/>
      </w:pPr>
      <w:r>
        <w:rPr>
          <w:rFonts w:ascii="Arial" w:eastAsia="Arial" w:hAnsi="Arial" w:cs="Arial"/>
          <w:color w:val="000000"/>
          <w:sz w:val="20"/>
        </w:rPr>
        <w:t>Jonathan L. Marcus was on brief for the amici curiae American Association of People with Disabilities, et al. in support of the plaintiffs-appellants.</w:t>
      </w:r>
    </w:p>
    <w:p w:rsidR="00E456CD" w:rsidRDefault="00000000">
      <w:pPr>
        <w:pStyle w:val="Normal3"/>
        <w:widowControl w:val="0"/>
        <w:spacing w:before="120" w:line="260" w:lineRule="atLeast"/>
      </w:pPr>
      <w:r>
        <w:rPr>
          <w:rFonts w:ascii="Arial" w:eastAsia="Arial" w:hAnsi="Arial" w:cs="Arial"/>
          <w:color w:val="000000"/>
          <w:sz w:val="20"/>
        </w:rPr>
        <w:t>Sonya L. Lebsack, Assistant Attorney General, Office of the Attorney General for the District of Columbia, argued the cause for the appellee District of Columbia. Karl A. Racine, Attorney General, Loren L. AliKhan, Solicitor General, and Caroline S. Van Zile, Deputy Solicitor General were with her on brief. Stacy Anderson, Assistant Attorney General, entered an appearance.</w:t>
      </w:r>
    </w:p>
    <w:p w:rsidR="00E456CD" w:rsidRDefault="00000000">
      <w:pPr>
        <w:pStyle w:val="Normal3"/>
        <w:widowControl w:val="0"/>
        <w:spacing w:before="240" w:line="260" w:lineRule="atLeast"/>
      </w:pPr>
      <w:bookmarkStart w:id="312" w:name="Judges_2"/>
      <w:bookmarkEnd w:id="312"/>
      <w:r>
        <w:rPr>
          <w:rFonts w:ascii="Arial" w:eastAsia="Arial" w:hAnsi="Arial" w:cs="Arial"/>
          <w:b/>
          <w:color w:val="000000"/>
          <w:sz w:val="20"/>
        </w:rPr>
        <w:t>Judges:</w:t>
      </w:r>
      <w:r>
        <w:rPr>
          <w:rFonts w:ascii="Arial" w:eastAsia="Arial" w:hAnsi="Arial" w:cs="Arial"/>
          <w:color w:val="000000"/>
          <w:sz w:val="20"/>
        </w:rPr>
        <w:t> Before: HENDERSON and WILKINS, Circuit Judges, and EDWARDS, Senior Circuit Judge. Opinion for the Court filed by Circuit Judge HENDERSON. Opinion concurring in the judgment filed by Circuit Judge WILKINS.</w:t>
      </w:r>
    </w:p>
    <w:p w:rsidR="00E456CD" w:rsidRDefault="00000000">
      <w:pPr>
        <w:pStyle w:val="Normal3"/>
        <w:widowControl w:val="0"/>
        <w:spacing w:before="240" w:line="260" w:lineRule="atLeast"/>
      </w:pPr>
      <w:bookmarkStart w:id="313" w:name="Opinion_by_1"/>
      <w:bookmarkEnd w:id="313"/>
      <w:r>
        <w:rPr>
          <w:rFonts w:ascii="Arial" w:eastAsia="Arial" w:hAnsi="Arial" w:cs="Arial"/>
          <w:b/>
          <w:color w:val="000000"/>
          <w:sz w:val="20"/>
        </w:rPr>
        <w:t>Opinion by:</w:t>
      </w:r>
      <w:r>
        <w:rPr>
          <w:rFonts w:ascii="Arial" w:eastAsia="Arial" w:hAnsi="Arial" w:cs="Arial"/>
          <w:color w:val="000000"/>
          <w:sz w:val="20"/>
        </w:rPr>
        <w:t> KAREN LECRAFT HENDERSON</w:t>
      </w:r>
    </w:p>
    <w:p w:rsidR="00E456CD" w:rsidRDefault="00000000">
      <w:pPr>
        <w:pStyle w:val="Normal3"/>
        <w:keepNext/>
        <w:widowControl w:val="0"/>
        <w:spacing w:before="240" w:line="340" w:lineRule="atLeast"/>
      </w:pPr>
      <w:bookmarkStart w:id="314" w:name="Opinion_2"/>
      <w:bookmarkEnd w:id="314"/>
      <w:r>
        <w:rPr>
          <w:rFonts w:ascii="Arial" w:eastAsia="Arial" w:hAnsi="Arial" w:cs="Arial"/>
          <w:b/>
          <w:color w:val="000000"/>
          <w:sz w:val="28"/>
        </w:rPr>
        <w:t>Opinion</w:t>
      </w:r>
    </w:p>
    <w:p w:rsidR="00E456CD" w:rsidRDefault="00E22289">
      <w:pPr>
        <w:pStyle w:val="Normal3"/>
        <w:spacing w:line="60" w:lineRule="exact"/>
      </w:pPr>
      <w:r>
        <w:rPr>
          <w:noProof/>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68560759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419BB"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
      </w:pPr>
    </w:p>
    <w:p w:rsidR="00E456CD" w:rsidRDefault="00000000">
      <w:pPr>
        <w:pStyle w:val="Normal3"/>
        <w:widowControl w:val="0"/>
        <w:spacing w:before="200" w:line="260" w:lineRule="atLeast"/>
        <w:jc w:val="both"/>
      </w:pPr>
      <w:bookmarkStart w:id="315" w:name="Bookmark_para_2_2"/>
      <w:bookmarkEnd w:id="315"/>
      <w:r>
        <w:rPr>
          <w:rFonts w:ascii="Arial" w:eastAsia="Arial" w:hAnsi="Arial" w:cs="Arial"/>
          <w:color w:val="000000"/>
          <w:sz w:val="20"/>
        </w:rPr>
        <w:t xml:space="preserve"> [*1072]  [**157]  </w:t>
      </w:r>
      <w:bookmarkStart w:id="316" w:name="Bookmark_I5WHY2K52HM6T60020000400"/>
      <w:bookmarkEnd w:id="316"/>
      <w:r>
        <w:rPr>
          <w:rFonts w:ascii="Arial" w:eastAsia="Arial" w:hAnsi="Arial" w:cs="Arial"/>
          <w:smallCaps/>
          <w:color w:val="000000"/>
          <w:sz w:val="20"/>
        </w:rPr>
        <w:t>Karen Lecraft Henderson</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xml:space="preserve">: In </w:t>
      </w:r>
      <w:r>
        <w:rPr>
          <w:rFonts w:ascii="Arial" w:eastAsia="Arial" w:hAnsi="Arial" w:cs="Arial"/>
          <w:i/>
          <w:color w:val="000000"/>
          <w:sz w:val="20"/>
        </w:rPr>
        <w:t>Olmstead [***2]  v. L.C. ex rel. Zimring</w:t>
      </w:r>
      <w:r>
        <w:rPr>
          <w:rFonts w:ascii="Arial" w:eastAsia="Arial" w:hAnsi="Arial" w:cs="Arial"/>
          <w:color w:val="000000"/>
          <w:sz w:val="20"/>
        </w:rPr>
        <w:t>,</w:t>
      </w:r>
      <w:bookmarkStart w:id="317" w:name="Bookmark_LNHNREFclscc1_1"/>
      <w:bookmarkEnd w:id="317"/>
      <w:r>
        <w:rPr>
          <w:rFonts w:ascii="Arial" w:eastAsia="Arial" w:hAnsi="Arial" w:cs="Arial"/>
          <w:color w:val="000000"/>
          <w:sz w:val="20"/>
        </w:rPr>
        <w:t xml:space="preserve"> the United States Supreme Court held that  [*1073]   [**158]  the unjustified segregation of disabled individuals in institutions is a form of disability discrimination barred by federal law. </w:t>
      </w:r>
      <w:bookmarkStart w:id="318" w:name="Bookmark_I5WHY2K52HM6T60010000400"/>
      <w:bookmarkEnd w:id="318"/>
      <w:r>
        <w:rPr>
          <w:rFonts w:ascii="Arial" w:eastAsia="Arial" w:hAnsi="Arial" w:cs="Arial"/>
          <w:color w:val="000000"/>
          <w:sz w:val="20"/>
        </w:rPr>
        <w:t xml:space="preserve">527 U.S. 581, 119 S. Ct. 2176, 144 L. Ed. 2d 540 (1999). Consequently, the District of Columbia ("District") violates the Americans with Disabilities Act of 1990 (ADA), Pub. L. No. 101-336, 104 Stat. 327 (codified at 42 U.S.C. §§ 12101 </w:t>
      </w:r>
      <w:r>
        <w:rPr>
          <w:rFonts w:ascii="Arial" w:eastAsia="Arial" w:hAnsi="Arial" w:cs="Arial"/>
          <w:i/>
          <w:color w:val="000000"/>
          <w:sz w:val="20"/>
        </w:rPr>
        <w:t>et seq.</w:t>
      </w:r>
      <w:r>
        <w:rPr>
          <w:rFonts w:ascii="Arial" w:eastAsia="Arial" w:hAnsi="Arial" w:cs="Arial"/>
          <w:color w:val="000000"/>
          <w:sz w:val="20"/>
        </w:rPr>
        <w:t xml:space="preserve">), and the Rehabilitation Act of 1973, Pub. L. No. 93-112, 87 Stat. 355 (codified at 29 U.S.C. §§ 701 </w:t>
      </w:r>
      <w:r>
        <w:rPr>
          <w:rFonts w:ascii="Arial" w:eastAsia="Arial" w:hAnsi="Arial" w:cs="Arial"/>
          <w:i/>
          <w:color w:val="000000"/>
          <w:sz w:val="20"/>
        </w:rPr>
        <w:t>et seq.</w:t>
      </w:r>
      <w:r>
        <w:rPr>
          <w:rFonts w:ascii="Arial" w:eastAsia="Arial" w:hAnsi="Arial" w:cs="Arial"/>
          <w:color w:val="000000"/>
          <w:sz w:val="20"/>
        </w:rPr>
        <w:t xml:space="preserve">), if it cares for a mentally or physically disabled individual in a nursing home notwithstanding, with reasonable modifications to its policies and procedures, it could care for that individual in the community. Plaintiffs are a class of physically disabled individuals who have been receiving care in District nursing homes for more than ninety days but wish to transition—and are capable of transitioning—to community-based care. </w:t>
      </w:r>
      <w:bookmarkStart w:id="319" w:name="Bookmark_I5YFSH0J2SF7YH0010000400"/>
      <w:bookmarkEnd w:id="319"/>
      <w:r>
        <w:rPr>
          <w:rFonts w:ascii="Arial" w:eastAsia="Arial" w:hAnsi="Arial" w:cs="Arial"/>
          <w:color w:val="000000"/>
          <w:sz w:val="20"/>
        </w:rPr>
        <w:t>They seek an injunction requiring the District to alter its policies and procedures in order to help them transition to the community. After a nine-day bench trial, the district court entered judgment in favor of the District. We now reverse and remand.</w:t>
      </w:r>
    </w:p>
    <w:p w:rsidR="00E456CD" w:rsidRDefault="00000000">
      <w:pPr>
        <w:pStyle w:val="Normal3"/>
        <w:widowControl w:val="0"/>
        <w:spacing w:before="240" w:line="260" w:lineRule="atLeast"/>
      </w:pPr>
      <w:r>
        <w:br/>
      </w:r>
      <w:r>
        <w:rPr>
          <w:rFonts w:ascii="Arial" w:eastAsia="Arial" w:hAnsi="Arial" w:cs="Arial"/>
          <w:b/>
          <w:color w:val="000000"/>
          <w:sz w:val="20"/>
        </w:rPr>
        <w:t xml:space="preserve">I. </w:t>
      </w:r>
      <w:r>
        <w:rPr>
          <w:rFonts w:ascii="Arial" w:eastAsia="Arial" w:hAnsi="Arial" w:cs="Arial"/>
          <w:b/>
          <w:smallCaps/>
          <w:color w:val="000000"/>
          <w:sz w:val="20"/>
        </w:rPr>
        <w:t>Background</w:t>
      </w:r>
    </w:p>
    <w:p w:rsidR="00E456CD" w:rsidRDefault="00000000">
      <w:pPr>
        <w:pStyle w:val="Normal3"/>
        <w:widowControl w:val="0"/>
        <w:spacing w:before="200" w:line="260" w:lineRule="atLeast"/>
        <w:jc w:val="both"/>
      </w:pPr>
      <w:bookmarkStart w:id="320" w:name="Bookmark_para_3_2"/>
      <w:bookmarkEnd w:id="320"/>
      <w:r>
        <w:rPr>
          <w:rFonts w:ascii="Arial" w:eastAsia="Arial" w:hAnsi="Arial" w:cs="Arial"/>
          <w:color w:val="000000"/>
          <w:sz w:val="20"/>
        </w:rPr>
        <w:t>The District funds both nursing-facility-based and community-based care for individuals with physical disabilities. In both [***3]  settings, individuals are provided with assistance in eating, bathing, toileting and dressing, as well as with their mobility, medication management, meal preparation, money management and telephone use. The District does not operate nursing facilities itself; it funds care in nursing facilities certified for Medicaid reimbursement through its Medicaid State Plan.</w:t>
      </w:r>
      <w:r>
        <w:rPr>
          <w:rFonts w:ascii="Arial" w:eastAsia="Arial" w:hAnsi="Arial" w:cs="Arial"/>
          <w:vertAlign w:val="superscript"/>
        </w:rPr>
        <w:footnoteReference w:customMarkFollows="1" w:id="40"/>
        <w:t>1</w:t>
      </w:r>
      <w:r>
        <w:rPr>
          <w:rFonts w:ascii="Arial" w:eastAsia="Arial" w:hAnsi="Arial" w:cs="Arial"/>
          <w:color w:val="000000"/>
          <w:sz w:val="20"/>
        </w:rPr>
        <w:t xml:space="preserve"> There are nineteen Medicaid-certified nursing facilities in the District, which house a total of approximately 2,770 beds. Plaintiffs are physically disabled individuals in these facilities who have been receiving nursing-facility-based care for more than ninety days but wish to transition—and are capable of transitioning—to community-based care.</w:t>
      </w:r>
    </w:p>
    <w:p w:rsidR="00E456CD" w:rsidRDefault="00000000">
      <w:pPr>
        <w:pStyle w:val="Normal3"/>
        <w:widowControl w:val="0"/>
        <w:spacing w:before="200" w:line="260" w:lineRule="atLeast"/>
        <w:jc w:val="both"/>
      </w:pPr>
      <w:bookmarkStart w:id="322" w:name="Bookmark_para_4_2"/>
      <w:bookmarkStart w:id="323" w:name="Bookmark_I5WHY2K52HM6T60040000400"/>
      <w:bookmarkStart w:id="324" w:name="Bookmark_I5WHY2K628T47V0010000400"/>
      <w:bookmarkStart w:id="325" w:name="Bookmark_I5WHY2K628T47V0030000400"/>
      <w:bookmarkEnd w:id="322"/>
      <w:bookmarkEnd w:id="323"/>
      <w:bookmarkEnd w:id="324"/>
      <w:bookmarkEnd w:id="325"/>
      <w:r>
        <w:rPr>
          <w:rFonts w:ascii="Arial" w:eastAsia="Arial" w:hAnsi="Arial" w:cs="Arial"/>
          <w:color w:val="000000"/>
          <w:sz w:val="20"/>
        </w:rPr>
        <w:t>This litigation began in late 2010, when four disabled individuals filed a class action against the District, alleging that the District's failure to transition them to community-based care violated Title II of the ADA and section 504 of the Rehabilitation Act. The district court rejected the District's initial argument that it was entitled to summary judgment because it had in place an effective "</w:t>
      </w:r>
      <w:r>
        <w:rPr>
          <w:rFonts w:ascii="Arial" w:eastAsia="Arial" w:hAnsi="Arial" w:cs="Arial"/>
          <w:i/>
          <w:color w:val="000000"/>
          <w:sz w:val="20"/>
        </w:rPr>
        <w:t>Olmstead</w:t>
      </w:r>
      <w:r>
        <w:rPr>
          <w:rFonts w:ascii="Arial" w:eastAsia="Arial" w:hAnsi="Arial" w:cs="Arial"/>
          <w:color w:val="000000"/>
          <w:sz w:val="20"/>
        </w:rPr>
        <w:t xml:space="preserve"> Plan"—that is, a "comprehensive, effectively working plan for placing qualified persons with [physical] disabilities [***4]  in less restrictive settings," with "a waiting list that move[s] at a reasonable pace not controlled by the [District's] endeavors to keep its institutions fully populated," </w:t>
      </w:r>
      <w:bookmarkStart w:id="326" w:name="Bookmark_I5WHY2K52HM6T60030000400"/>
      <w:bookmarkEnd w:id="326"/>
      <w:r>
        <w:rPr>
          <w:rFonts w:ascii="Arial" w:eastAsia="Arial" w:hAnsi="Arial" w:cs="Arial"/>
          <w:i/>
          <w:color w:val="000000"/>
          <w:sz w:val="20"/>
        </w:rPr>
        <w:t>Olmstead</w:t>
      </w:r>
      <w:r>
        <w:rPr>
          <w:rFonts w:ascii="Arial" w:eastAsia="Arial" w:hAnsi="Arial" w:cs="Arial"/>
          <w:color w:val="000000"/>
          <w:sz w:val="20"/>
        </w:rPr>
        <w:t xml:space="preserve">, 527 U.S. at 605-06. </w:t>
      </w:r>
      <w:bookmarkStart w:id="327" w:name="Bookmark_I5WHY2K52HM6T60050000400"/>
      <w:bookmarkEnd w:id="327"/>
      <w:r>
        <w:rPr>
          <w:rFonts w:ascii="Arial" w:eastAsia="Arial" w:hAnsi="Arial" w:cs="Arial"/>
          <w:i/>
          <w:color w:val="000000"/>
          <w:sz w:val="20"/>
        </w:rPr>
        <w:t>Day v. District of Columbia</w:t>
      </w:r>
      <w:r>
        <w:rPr>
          <w:rFonts w:ascii="Arial" w:eastAsia="Arial" w:hAnsi="Arial" w:cs="Arial"/>
          <w:color w:val="000000"/>
          <w:sz w:val="20"/>
        </w:rPr>
        <w:t xml:space="preserve">, 894 F. Supp. 2d 1, 26-32 (D.D.C. 2012). It was "undisputed" that the District had not adopted a "formal </w:t>
      </w:r>
      <w:r>
        <w:rPr>
          <w:rFonts w:ascii="Arial" w:eastAsia="Arial" w:hAnsi="Arial" w:cs="Arial"/>
          <w:i/>
          <w:color w:val="000000"/>
          <w:sz w:val="20"/>
        </w:rPr>
        <w:t>Olmstead</w:t>
      </w:r>
      <w:r>
        <w:rPr>
          <w:rFonts w:ascii="Arial" w:eastAsia="Arial" w:hAnsi="Arial" w:cs="Arial"/>
          <w:color w:val="000000"/>
          <w:sz w:val="20"/>
        </w:rPr>
        <w:t xml:space="preserve"> Plan," </w:t>
      </w:r>
      <w:bookmarkStart w:id="328" w:name="Bookmark_I5WHY2K628T47V0020000400"/>
      <w:bookmarkEnd w:id="328"/>
      <w:r>
        <w:rPr>
          <w:rFonts w:ascii="Arial" w:eastAsia="Arial" w:hAnsi="Arial" w:cs="Arial"/>
          <w:i/>
          <w:color w:val="000000"/>
          <w:sz w:val="20"/>
        </w:rPr>
        <w:t>id.</w:t>
      </w:r>
      <w:r>
        <w:rPr>
          <w:rFonts w:ascii="Arial" w:eastAsia="Arial" w:hAnsi="Arial" w:cs="Arial"/>
          <w:color w:val="000000"/>
          <w:sz w:val="20"/>
        </w:rPr>
        <w:t xml:space="preserve"> at 7, and the district court rejected the District's argument "that its existing programs and services for individuals with disabilities me[]t the requirements of an </w:t>
      </w:r>
      <w:r>
        <w:rPr>
          <w:rFonts w:ascii="Arial" w:eastAsia="Arial" w:hAnsi="Arial" w:cs="Arial"/>
          <w:i/>
          <w:color w:val="000000"/>
          <w:sz w:val="20"/>
        </w:rPr>
        <w:t>Olmstead</w:t>
      </w:r>
      <w:r>
        <w:rPr>
          <w:rFonts w:ascii="Arial" w:eastAsia="Arial" w:hAnsi="Arial" w:cs="Arial"/>
          <w:color w:val="000000"/>
          <w:sz w:val="20"/>
        </w:rPr>
        <w:t xml:space="preserve"> Integration Plan," </w:t>
      </w:r>
      <w:r>
        <w:rPr>
          <w:rFonts w:ascii="Arial" w:eastAsia="Arial" w:hAnsi="Arial" w:cs="Arial"/>
          <w:i/>
          <w:color w:val="000000"/>
          <w:sz w:val="20"/>
        </w:rPr>
        <w:t>id.</w:t>
      </w:r>
      <w:r>
        <w:rPr>
          <w:rFonts w:ascii="Arial" w:eastAsia="Arial" w:hAnsi="Arial" w:cs="Arial"/>
          <w:color w:val="000000"/>
          <w:sz w:val="20"/>
        </w:rPr>
        <w:t xml:space="preserve">, pointing to undisputed figures that showed the District lacked a "measurable commitment" to the transitioning of disabled individuals to the community, </w:t>
      </w:r>
      <w:bookmarkStart w:id="329" w:name="Bookmark_I5WHY2K628T47V0040000400"/>
      <w:bookmarkEnd w:id="329"/>
      <w:r>
        <w:rPr>
          <w:rFonts w:ascii="Arial" w:eastAsia="Arial" w:hAnsi="Arial" w:cs="Arial"/>
          <w:i/>
          <w:color w:val="000000"/>
          <w:sz w:val="20"/>
        </w:rPr>
        <w:t>id.</w:t>
      </w:r>
      <w:r>
        <w:rPr>
          <w:rFonts w:ascii="Arial" w:eastAsia="Arial" w:hAnsi="Arial" w:cs="Arial"/>
          <w:color w:val="000000"/>
          <w:sz w:val="20"/>
        </w:rPr>
        <w:t xml:space="preserve"> at 28-29.</w:t>
      </w:r>
    </w:p>
    <w:p w:rsidR="00E456CD" w:rsidRDefault="00000000">
      <w:pPr>
        <w:pStyle w:val="Normal3"/>
        <w:widowControl w:val="0"/>
        <w:spacing w:before="200" w:line="260" w:lineRule="atLeast"/>
        <w:jc w:val="both"/>
      </w:pPr>
      <w:bookmarkStart w:id="330" w:name="Bookmark_para_5_2"/>
      <w:bookmarkEnd w:id="330"/>
      <w:r>
        <w:rPr>
          <w:rFonts w:ascii="Arial" w:eastAsia="Arial" w:hAnsi="Arial" w:cs="Arial"/>
          <w:color w:val="000000"/>
          <w:sz w:val="20"/>
        </w:rPr>
        <w:t xml:space="preserve"> [*1074]  [**159]   In May 2012, Plaintiffs moved for class certification. The district court identified certain deficiencies in the proposed class and denied the motion without prejudice. </w:t>
      </w:r>
      <w:bookmarkStart w:id="331" w:name="Bookmark_I5WHY2K628T47X0020000400"/>
      <w:bookmarkEnd w:id="331"/>
      <w:r>
        <w:rPr>
          <w:rFonts w:ascii="Arial" w:eastAsia="Arial" w:hAnsi="Arial" w:cs="Arial"/>
          <w:color w:val="000000"/>
          <w:sz w:val="20"/>
        </w:rPr>
        <w:t xml:space="preserve">In March 2013, Plaintiffs filed an amended complaint that revised the proposed class definition and alleged multiple deficiencies in the services the District provides to transition disabled individuals from nursing homes to the community. In March 2014, the district court granted Plaintiffs' motion for class certification. </w:t>
      </w:r>
      <w:bookmarkStart w:id="332" w:name="Bookmark_I5WHY2K628T47X0010000400"/>
      <w:bookmarkEnd w:id="332"/>
      <w:r>
        <w:rPr>
          <w:rFonts w:ascii="Arial" w:eastAsia="Arial" w:hAnsi="Arial" w:cs="Arial"/>
          <w:i/>
          <w:color w:val="000000"/>
          <w:sz w:val="20"/>
        </w:rPr>
        <w:t>Thorpe v. District of Columbia</w:t>
      </w:r>
      <w:r>
        <w:rPr>
          <w:rFonts w:ascii="Arial" w:eastAsia="Arial" w:hAnsi="Arial" w:cs="Arial"/>
          <w:color w:val="000000"/>
          <w:sz w:val="20"/>
        </w:rPr>
        <w:t>, 303 F.R.D. 120 (D.D.C. 2014). The certified class consisted of:</w:t>
      </w:r>
    </w:p>
    <w:p w:rsidR="00E456CD" w:rsidRDefault="00000000">
      <w:pPr>
        <w:pStyle w:val="Normal3"/>
        <w:widowControl w:val="0"/>
        <w:spacing w:before="200" w:line="260" w:lineRule="atLeast"/>
        <w:ind w:left="400"/>
        <w:jc w:val="both"/>
      </w:pPr>
      <w:bookmarkStart w:id="333" w:name="Bookmark_para_6_2"/>
      <w:bookmarkStart w:id="334" w:name="Bookmark_I5WHY2K628T47X0040000400"/>
      <w:bookmarkEnd w:id="333"/>
      <w:bookmarkEnd w:id="334"/>
      <w:r>
        <w:rPr>
          <w:rFonts w:ascii="Arial" w:eastAsia="Arial" w:hAnsi="Arial" w:cs="Arial"/>
          <w:color w:val="000000"/>
          <w:sz w:val="20"/>
        </w:rPr>
        <w:t>All persons with physical disabilities who, now or during the pendency [***5]  of this lawsuit: (1) receive DC Medicaid-funded long-term care services in a nursing facility for 90 or more consecutive days; (2) are eligible for Medicaid-covered home and community-based long-term care services that would enable them to live in the community; and (3) would prefer to live in the community instead of a nursing facility but need the District of Columbia to provide transition assistance to facilitate their access to long-term care services in the community.</w:t>
      </w:r>
    </w:p>
    <w:p w:rsidR="00E456CD" w:rsidRDefault="00000000">
      <w:pPr>
        <w:pStyle w:val="Normal3"/>
        <w:widowControl w:val="0"/>
        <w:spacing w:before="200" w:line="260" w:lineRule="atLeast"/>
        <w:jc w:val="both"/>
      </w:pPr>
      <w:bookmarkStart w:id="335" w:name="Bookmark_I5WHY2K628T47X0040000400_2"/>
      <w:bookmarkEnd w:id="335"/>
      <w:r>
        <w:rPr>
          <w:rFonts w:ascii="Arial" w:eastAsia="Arial" w:hAnsi="Arial" w:cs="Arial"/>
          <w:i/>
          <w:color w:val="000000"/>
          <w:sz w:val="20"/>
        </w:rPr>
        <w:t>Order</w:t>
      </w:r>
      <w:r>
        <w:rPr>
          <w:rFonts w:ascii="Arial" w:eastAsia="Arial" w:hAnsi="Arial" w:cs="Arial"/>
          <w:color w:val="000000"/>
          <w:sz w:val="20"/>
        </w:rPr>
        <w:t xml:space="preserve">, No. 1:10-cv-2250 (D.D.C. Mar. 29, 2014), ECF 129 at 1. Although the district court found class certification appropriate, it expressed doubt—in light of the lack of "readily affordable housing in the community"—that Plaintiffs would ultimately be able to establish "a causal link between any proven deficiencies in the District's system of transition assistance and the injury associated with being 'stuck' in a nursing facility." </w:t>
      </w:r>
      <w:bookmarkStart w:id="336" w:name="Bookmark_I5WHY2K628T47X0030000400"/>
      <w:bookmarkEnd w:id="336"/>
      <w:r>
        <w:rPr>
          <w:rFonts w:ascii="Arial" w:eastAsia="Arial" w:hAnsi="Arial" w:cs="Arial"/>
          <w:i/>
          <w:color w:val="000000"/>
          <w:sz w:val="20"/>
        </w:rPr>
        <w:t>Thorpe</w:t>
      </w:r>
      <w:r>
        <w:rPr>
          <w:rFonts w:ascii="Arial" w:eastAsia="Arial" w:hAnsi="Arial" w:cs="Arial"/>
          <w:color w:val="000000"/>
          <w:sz w:val="20"/>
        </w:rPr>
        <w:t>, 303 F.R.D. at 137.</w:t>
      </w:r>
    </w:p>
    <w:p w:rsidR="00E456CD" w:rsidRDefault="00000000">
      <w:pPr>
        <w:pStyle w:val="Normal3"/>
        <w:widowControl w:val="0"/>
        <w:spacing w:before="200" w:line="260" w:lineRule="atLeast"/>
        <w:jc w:val="both"/>
      </w:pPr>
      <w:bookmarkStart w:id="337" w:name="Bookmark_para_7_2"/>
      <w:bookmarkStart w:id="338" w:name="Bookmark_I5WHY2K62D6NRT0010000400"/>
      <w:bookmarkStart w:id="339" w:name="Bookmark_I5WHY2K62D6NRT0030000400"/>
      <w:bookmarkStart w:id="340" w:name="Bookmark_I5WHY2K62D6NRT0050000400"/>
      <w:bookmarkEnd w:id="337"/>
      <w:bookmarkEnd w:id="338"/>
      <w:bookmarkEnd w:id="339"/>
      <w:bookmarkEnd w:id="340"/>
      <w:r>
        <w:rPr>
          <w:rFonts w:ascii="Arial" w:eastAsia="Arial" w:hAnsi="Arial" w:cs="Arial"/>
          <w:color w:val="000000"/>
          <w:sz w:val="20"/>
        </w:rPr>
        <w:t>At the same time, the district court denied the District's renewed motion to dismiss based on its then-recent implementation of a formal "</w:t>
      </w:r>
      <w:r>
        <w:rPr>
          <w:rFonts w:ascii="Arial" w:eastAsia="Arial" w:hAnsi="Arial" w:cs="Arial"/>
          <w:i/>
          <w:color w:val="000000"/>
          <w:sz w:val="20"/>
        </w:rPr>
        <w:t>Olmstead</w:t>
      </w:r>
      <w:r>
        <w:rPr>
          <w:rFonts w:ascii="Arial" w:eastAsia="Arial" w:hAnsi="Arial" w:cs="Arial"/>
          <w:color w:val="000000"/>
          <w:sz w:val="20"/>
        </w:rPr>
        <w:t xml:space="preserve"> Plan." </w:t>
      </w:r>
      <w:bookmarkStart w:id="341" w:name="Bookmark_I5WHY2K628T47X0050000400"/>
      <w:bookmarkEnd w:id="341"/>
      <w:r>
        <w:rPr>
          <w:rFonts w:ascii="Arial" w:eastAsia="Arial" w:hAnsi="Arial" w:cs="Arial"/>
          <w:i/>
          <w:color w:val="000000"/>
          <w:sz w:val="20"/>
        </w:rPr>
        <w:t>Id.</w:t>
      </w:r>
      <w:r>
        <w:rPr>
          <w:rFonts w:ascii="Arial" w:eastAsia="Arial" w:hAnsi="Arial" w:cs="Arial"/>
          <w:color w:val="000000"/>
          <w:sz w:val="20"/>
        </w:rPr>
        <w:t xml:space="preserve"> at 131-32. The district court acknowledged that "the District has made some progress in the recent past" and that "this progress appears to [***6]  be continuing." </w:t>
      </w:r>
      <w:bookmarkStart w:id="342" w:name="Bookmark_I5WHY2K62D6NRT0020000400"/>
      <w:bookmarkEnd w:id="342"/>
      <w:r>
        <w:rPr>
          <w:rFonts w:ascii="Arial" w:eastAsia="Arial" w:hAnsi="Arial" w:cs="Arial"/>
          <w:i/>
          <w:color w:val="000000"/>
          <w:sz w:val="20"/>
        </w:rPr>
        <w:t>Id.</w:t>
      </w:r>
      <w:r>
        <w:rPr>
          <w:rFonts w:ascii="Arial" w:eastAsia="Arial" w:hAnsi="Arial" w:cs="Arial"/>
          <w:color w:val="000000"/>
          <w:sz w:val="20"/>
        </w:rPr>
        <w:t xml:space="preserve"> at 138. Nevertheless, it was "undisputed that many Medicaid residents in nursing homes have expressed a desire to receive services in a less restrictive setting in the community, but have not been able to do so." </w:t>
      </w:r>
      <w:r>
        <w:rPr>
          <w:rFonts w:ascii="Arial" w:eastAsia="Arial" w:hAnsi="Arial" w:cs="Arial"/>
          <w:i/>
          <w:color w:val="000000"/>
          <w:sz w:val="20"/>
        </w:rPr>
        <w:t>Id.</w:t>
      </w:r>
      <w:r>
        <w:rPr>
          <w:rFonts w:ascii="Arial" w:eastAsia="Arial" w:hAnsi="Arial" w:cs="Arial"/>
          <w:color w:val="000000"/>
          <w:sz w:val="20"/>
        </w:rPr>
        <w:t xml:space="preserve"> Thus, the district court held that the District had "yet to demonstrate that its Olmstead Plan is an 'effectively working plan for placing qualified persons with . . . disabilities in less restrictive settings, [with] a waiting list that move[s] at a reasonable pace not controlled by the State's endeavors to keep its institutions fully populated.'" </w:t>
      </w:r>
      <w:r>
        <w:rPr>
          <w:rFonts w:ascii="Arial" w:eastAsia="Arial" w:hAnsi="Arial" w:cs="Arial"/>
          <w:i/>
          <w:color w:val="000000"/>
          <w:sz w:val="20"/>
        </w:rPr>
        <w:t>Id.</w:t>
      </w:r>
      <w:r>
        <w:rPr>
          <w:rFonts w:ascii="Arial" w:eastAsia="Arial" w:hAnsi="Arial" w:cs="Arial"/>
          <w:color w:val="000000"/>
          <w:sz w:val="20"/>
        </w:rPr>
        <w:t xml:space="preserve"> (first and third alterations in original) (quoting </w:t>
      </w:r>
      <w:bookmarkStart w:id="343" w:name="Bookmark_I5WHY2K62D6NRT0040000400"/>
      <w:bookmarkEnd w:id="343"/>
      <w:r>
        <w:rPr>
          <w:rFonts w:ascii="Arial" w:eastAsia="Arial" w:hAnsi="Arial" w:cs="Arial"/>
          <w:i/>
          <w:color w:val="000000"/>
          <w:sz w:val="20"/>
        </w:rPr>
        <w:t>Olmstead</w:t>
      </w:r>
      <w:r>
        <w:rPr>
          <w:rFonts w:ascii="Arial" w:eastAsia="Arial" w:hAnsi="Arial" w:cs="Arial"/>
          <w:color w:val="000000"/>
          <w:sz w:val="20"/>
        </w:rPr>
        <w:t>, 527 U.S. at 606-07).</w:t>
      </w:r>
    </w:p>
    <w:p w:rsidR="00E456CD" w:rsidRDefault="00000000">
      <w:pPr>
        <w:pStyle w:val="Normal3"/>
        <w:widowControl w:val="0"/>
        <w:spacing w:before="200" w:line="260" w:lineRule="atLeast"/>
        <w:jc w:val="both"/>
      </w:pPr>
      <w:bookmarkStart w:id="344" w:name="Bookmark_para_8_2"/>
      <w:bookmarkStart w:id="345" w:name="Bookmark_I5WHY2K628T47Y0020000400"/>
      <w:bookmarkEnd w:id="344"/>
      <w:bookmarkEnd w:id="345"/>
      <w:r>
        <w:rPr>
          <w:rFonts w:ascii="Arial" w:eastAsia="Arial" w:hAnsi="Arial" w:cs="Arial"/>
          <w:color w:val="000000"/>
          <w:sz w:val="20"/>
        </w:rPr>
        <w:t xml:space="preserve">In April 2014, the District petitioned this Court for leave to file an interlocutory appeal of the district court's class certification. We denied the petition in June 2015. </w:t>
      </w:r>
      <w:bookmarkStart w:id="346" w:name="Bookmark_I5WHY2K628T47Y0040000400"/>
      <w:bookmarkStart w:id="347" w:name="Bookmark_I5WHY2K628T47Y0010000400"/>
      <w:bookmarkEnd w:id="346"/>
      <w:bookmarkEnd w:id="347"/>
      <w:r>
        <w:rPr>
          <w:rFonts w:ascii="Arial" w:eastAsia="Arial" w:hAnsi="Arial" w:cs="Arial"/>
          <w:i/>
          <w:color w:val="000000"/>
          <w:sz w:val="20"/>
        </w:rPr>
        <w:t>In re District of Columbia</w:t>
      </w:r>
      <w:r>
        <w:rPr>
          <w:rFonts w:ascii="Arial" w:eastAsia="Arial" w:hAnsi="Arial" w:cs="Arial"/>
          <w:color w:val="000000"/>
          <w:sz w:val="20"/>
        </w:rPr>
        <w:t xml:space="preserve">, 792 F.3d 96, 416 U.S. App. D.C. 435 (D.C. Cir. 2015). </w:t>
      </w:r>
      <w:bookmarkStart w:id="348" w:name="Bookmark_I5WHY2K628T47Y0040000400_2"/>
      <w:bookmarkEnd w:id="348"/>
      <w:r>
        <w:rPr>
          <w:rFonts w:ascii="Arial" w:eastAsia="Arial" w:hAnsi="Arial" w:cs="Arial"/>
          <w:color w:val="000000"/>
          <w:sz w:val="20"/>
        </w:rPr>
        <w:t xml:space="preserve">We held that, although "[t]he District Court's decision to certify may or may not have been an error," "we cannot say that it was a 'manifest error,' which is the standard for us in this interlocutory appellate posture under Rule 23(f)" of the Federal Rules of Civil Procedure. </w:t>
      </w:r>
      <w:bookmarkStart w:id="349" w:name="Bookmark_I5WHY2K628T47Y0030000400"/>
      <w:bookmarkEnd w:id="349"/>
      <w:r>
        <w:rPr>
          <w:rFonts w:ascii="Arial" w:eastAsia="Arial" w:hAnsi="Arial" w:cs="Arial"/>
          <w:i/>
          <w:color w:val="000000"/>
          <w:sz w:val="20"/>
        </w:rPr>
        <w:t>Id.</w:t>
      </w:r>
      <w:r>
        <w:rPr>
          <w:rFonts w:ascii="Arial" w:eastAsia="Arial" w:hAnsi="Arial" w:cs="Arial"/>
          <w:color w:val="000000"/>
          <w:sz w:val="20"/>
        </w:rPr>
        <w:t xml:space="preserve"> at 98.</w:t>
      </w:r>
    </w:p>
    <w:p w:rsidR="00E456CD" w:rsidRDefault="00000000">
      <w:pPr>
        <w:pStyle w:val="Normal3"/>
        <w:widowControl w:val="0"/>
        <w:spacing w:before="200" w:line="260" w:lineRule="atLeast"/>
        <w:jc w:val="both"/>
      </w:pPr>
      <w:bookmarkStart w:id="350" w:name="Bookmark_para_9_2"/>
      <w:bookmarkEnd w:id="350"/>
      <w:r>
        <w:rPr>
          <w:rFonts w:ascii="Arial" w:eastAsia="Arial" w:hAnsi="Arial" w:cs="Arial"/>
          <w:color w:val="000000"/>
          <w:sz w:val="20"/>
        </w:rPr>
        <w:t>After our decision, the district court ordered discovery and Plaintiffs filed another amended complaint, which contained [***7]  their proposed injunction. The proposed injunction would require the District to:</w:t>
      </w:r>
    </w:p>
    <w:p w:rsidR="00E456CD" w:rsidRDefault="00000000">
      <w:pPr>
        <w:pStyle w:val="Normal3"/>
        <w:widowControl w:val="0"/>
        <w:spacing w:before="200" w:line="260" w:lineRule="atLeast"/>
        <w:ind w:left="400"/>
        <w:jc w:val="both"/>
      </w:pPr>
      <w:bookmarkStart w:id="351" w:name="Bookmark_para_10_2"/>
      <w:bookmarkEnd w:id="351"/>
      <w:r>
        <w:rPr>
          <w:rFonts w:ascii="Arial" w:eastAsia="Arial" w:hAnsi="Arial" w:cs="Arial"/>
          <w:color w:val="000000"/>
          <w:sz w:val="20"/>
        </w:rPr>
        <w:t>1. Develop and implement a working system of transition assistance for Plaintiffs whereby Defendant, at a minimum, (a) informs DC Medicaid-funded nursing facility residents, upon admission and at least every three months thereafter, about community-based long-term care alternatives to nursing facilities; (b) elicits DC Medicaid-funded nursing facility residents' preferences for community or  [*1075]   [**160]  nursing facility placement upon admission and at least every three months thereafter; (c) begins DC Medicaid-funded nursing facility residents' discharge planning upon admission and reviews at least every month the progress made on that plan; and (d) provides DC Medicaid-funded nursing facility residents who do not oppose living in the community with assistance accessing all appropriate resources available in the community.</w:t>
      </w:r>
    </w:p>
    <w:p w:rsidR="00E456CD" w:rsidRDefault="00000000">
      <w:pPr>
        <w:pStyle w:val="Normal3"/>
        <w:widowControl w:val="0"/>
        <w:spacing w:before="200" w:line="260" w:lineRule="atLeast"/>
        <w:ind w:left="400"/>
        <w:jc w:val="both"/>
      </w:pPr>
      <w:bookmarkStart w:id="352" w:name="Bookmark_para_11_2"/>
      <w:bookmarkEnd w:id="352"/>
      <w:r>
        <w:rPr>
          <w:rFonts w:ascii="Arial" w:eastAsia="Arial" w:hAnsi="Arial" w:cs="Arial"/>
          <w:color w:val="000000"/>
          <w:sz w:val="20"/>
        </w:rPr>
        <w:t>2. Ensure sufficient capacity of community-based long-term care services for Plaintiffs under the EPD,</w:t>
      </w:r>
      <w:r>
        <w:rPr>
          <w:rFonts w:ascii="Arial" w:eastAsia="Arial" w:hAnsi="Arial" w:cs="Arial"/>
          <w:vertAlign w:val="superscript"/>
        </w:rPr>
        <w:footnoteReference w:customMarkFollows="1" w:id="41"/>
        <w:t>2</w:t>
      </w:r>
      <w:r>
        <w:rPr>
          <w:rFonts w:ascii="Arial" w:eastAsia="Arial" w:hAnsi="Arial" w:cs="Arial"/>
          <w:color w:val="000000"/>
          <w:sz w:val="20"/>
        </w:rPr>
        <w:t xml:space="preserve"> MFP,</w:t>
      </w:r>
      <w:r>
        <w:rPr>
          <w:rFonts w:ascii="Arial" w:eastAsia="Arial" w:hAnsi="Arial" w:cs="Arial"/>
          <w:vertAlign w:val="superscript"/>
        </w:rPr>
        <w:footnoteReference w:customMarkFollows="1" w:id="42"/>
        <w:t>3</w:t>
      </w:r>
      <w:r>
        <w:rPr>
          <w:rFonts w:ascii="Arial" w:eastAsia="Arial" w:hAnsi="Arial" w:cs="Arial"/>
          <w:color w:val="000000"/>
          <w:sz w:val="20"/>
        </w:rPr>
        <w:t xml:space="preserve"> and PCA programs,</w:t>
      </w:r>
      <w:r>
        <w:rPr>
          <w:rFonts w:ascii="Arial" w:eastAsia="Arial" w:hAnsi="Arial" w:cs="Arial"/>
          <w:vertAlign w:val="superscript"/>
        </w:rPr>
        <w:footnoteReference w:customMarkFollows="1" w:id="43"/>
        <w:t>4</w:t>
      </w:r>
      <w:r>
        <w:rPr>
          <w:rFonts w:ascii="Arial" w:eastAsia="Arial" w:hAnsi="Arial" w:cs="Arial"/>
          <w:color w:val="000000"/>
          <w:sz w:val="20"/>
        </w:rPr>
        <w:t xml:space="preserve"> and other long-term care service programs, to serve Plaintiffs in the most integrated setting appropriate to their needs, as measured by enrollment in these long-term care [***8]  programs.</w:t>
      </w:r>
    </w:p>
    <w:p w:rsidR="00E456CD" w:rsidRDefault="00000000">
      <w:pPr>
        <w:pStyle w:val="Normal3"/>
        <w:widowControl w:val="0"/>
        <w:spacing w:line="260" w:lineRule="atLeast"/>
        <w:ind w:left="400"/>
        <w:jc w:val="both"/>
      </w:pPr>
      <w:bookmarkStart w:id="356" w:name="Bookmark_para_12_1"/>
      <w:bookmarkEnd w:id="356"/>
      <w:r>
        <w:rPr>
          <w:rFonts w:ascii="Arial" w:eastAsia="Arial" w:hAnsi="Arial" w:cs="Arial"/>
          <w:color w:val="000000"/>
          <w:sz w:val="20"/>
        </w:rPr>
        <w:t>3. Successfully transition Plaintiffs from nursing facilities to the community with the appropriate long-term care community-based services under the EPD, MFP, and PCA programs, and any other long-term care programs, with the following minimum numbers of transitions in each of the next four years:</w:t>
      </w:r>
    </w:p>
    <w:p w:rsidR="00E456CD" w:rsidRDefault="00000000">
      <w:pPr>
        <w:pStyle w:val="Normal3"/>
        <w:widowControl w:val="0"/>
        <w:spacing w:line="260" w:lineRule="atLeast"/>
        <w:ind w:left="800"/>
        <w:jc w:val="both"/>
      </w:pPr>
      <w:bookmarkStart w:id="357" w:name="Bookmark_para_13_1"/>
      <w:bookmarkEnd w:id="357"/>
      <w:r>
        <w:rPr>
          <w:rFonts w:ascii="Arial" w:eastAsia="Arial" w:hAnsi="Arial" w:cs="Arial"/>
          <w:color w:val="000000"/>
          <w:sz w:val="20"/>
        </w:rPr>
        <w:t>a. 80 class members in Year 1;</w:t>
      </w:r>
    </w:p>
    <w:p w:rsidR="00E456CD" w:rsidRDefault="00000000">
      <w:pPr>
        <w:pStyle w:val="Normal3"/>
        <w:widowControl w:val="0"/>
        <w:spacing w:line="260" w:lineRule="atLeast"/>
        <w:ind w:left="800"/>
        <w:jc w:val="both"/>
      </w:pPr>
      <w:bookmarkStart w:id="358" w:name="Bookmark_para_14_1"/>
      <w:bookmarkEnd w:id="358"/>
      <w:r>
        <w:rPr>
          <w:rFonts w:ascii="Arial" w:eastAsia="Arial" w:hAnsi="Arial" w:cs="Arial"/>
          <w:color w:val="000000"/>
          <w:sz w:val="20"/>
        </w:rPr>
        <w:t>b. 120 class members in Year 2;</w:t>
      </w:r>
    </w:p>
    <w:p w:rsidR="00E456CD" w:rsidRDefault="00000000">
      <w:pPr>
        <w:pStyle w:val="Normal3"/>
        <w:widowControl w:val="0"/>
        <w:spacing w:line="260" w:lineRule="atLeast"/>
        <w:ind w:left="800"/>
        <w:jc w:val="both"/>
      </w:pPr>
      <w:bookmarkStart w:id="359" w:name="Bookmark_para_15_1"/>
      <w:bookmarkEnd w:id="359"/>
      <w:r>
        <w:rPr>
          <w:rFonts w:ascii="Arial" w:eastAsia="Arial" w:hAnsi="Arial" w:cs="Arial"/>
          <w:color w:val="000000"/>
          <w:sz w:val="20"/>
        </w:rPr>
        <w:t>c. 200 class members in Year 3; and</w:t>
      </w:r>
    </w:p>
    <w:p w:rsidR="00E456CD" w:rsidRDefault="00000000">
      <w:pPr>
        <w:pStyle w:val="Normal3"/>
        <w:widowControl w:val="0"/>
        <w:spacing w:line="260" w:lineRule="atLeast"/>
        <w:ind w:left="800"/>
        <w:jc w:val="both"/>
      </w:pPr>
      <w:bookmarkStart w:id="360" w:name="Bookmark_para_16_1"/>
      <w:bookmarkEnd w:id="360"/>
      <w:r>
        <w:rPr>
          <w:rFonts w:ascii="Arial" w:eastAsia="Arial" w:hAnsi="Arial" w:cs="Arial"/>
          <w:color w:val="000000"/>
          <w:sz w:val="20"/>
        </w:rPr>
        <w:t>d. 200 class members in Year 4.</w:t>
      </w:r>
    </w:p>
    <w:p w:rsidR="00E456CD" w:rsidRDefault="00000000">
      <w:pPr>
        <w:pStyle w:val="Normal3"/>
        <w:widowControl w:val="0"/>
        <w:spacing w:line="260" w:lineRule="atLeast"/>
        <w:ind w:left="400"/>
        <w:jc w:val="both"/>
      </w:pPr>
      <w:bookmarkStart w:id="361" w:name="Bookmark_para_17_1"/>
      <w:bookmarkEnd w:id="361"/>
      <w:r>
        <w:rPr>
          <w:rFonts w:ascii="Arial" w:eastAsia="Arial" w:hAnsi="Arial" w:cs="Arial"/>
          <w:color w:val="000000"/>
          <w:sz w:val="20"/>
        </w:rPr>
        <w:t>4. Sustain the transition process and community-based long-term care service infrastructure to demonstrate the District's ongoing commitment to deinstitutionalization by, at a minimum, publicly reporting on at least a semi-annual basis the total number of DC Medicaid-funded nursing facility residents who do not oppose living in the community; the number of those individuals assisted by Defendant to transition to the community with long-term care services through each of the MFP, EPD, and PCA, and other long-term care programs; and the aggregate dollars Defendant saves (or fails to save) by serving individuals in the community rather than in nursing facilities.</w:t>
      </w:r>
    </w:p>
    <w:p w:rsidR="00E456CD" w:rsidRDefault="00000000">
      <w:pPr>
        <w:pStyle w:val="Normal3"/>
        <w:widowControl w:val="0"/>
        <w:spacing w:before="200" w:line="260" w:lineRule="atLeast"/>
        <w:jc w:val="both"/>
      </w:pPr>
      <w:r>
        <w:rPr>
          <w:rFonts w:ascii="Arial" w:eastAsia="Arial" w:hAnsi="Arial" w:cs="Arial"/>
          <w:i/>
          <w:color w:val="000000"/>
          <w:sz w:val="20"/>
        </w:rPr>
        <w:t>Fourth Am. Compl.</w:t>
      </w:r>
      <w:r>
        <w:rPr>
          <w:rFonts w:ascii="Arial" w:eastAsia="Arial" w:hAnsi="Arial" w:cs="Arial"/>
          <w:color w:val="000000"/>
          <w:sz w:val="20"/>
        </w:rPr>
        <w:t>, No. 1:10-cv-2250 (D.D.C. Sept. 10, 2015), ECF 162 at 31-32.</w:t>
      </w:r>
    </w:p>
    <w:p w:rsidR="00E456CD" w:rsidRDefault="00000000">
      <w:pPr>
        <w:pStyle w:val="Normal3"/>
        <w:widowControl w:val="0"/>
        <w:spacing w:before="200" w:line="260" w:lineRule="atLeast"/>
        <w:jc w:val="both"/>
      </w:pPr>
      <w:bookmarkStart w:id="362" w:name="Bookmark_para_18_1"/>
      <w:bookmarkEnd w:id="362"/>
      <w:r>
        <w:rPr>
          <w:rFonts w:ascii="Arial" w:eastAsia="Arial" w:hAnsi="Arial" w:cs="Arial"/>
          <w:color w:val="000000"/>
          <w:sz w:val="20"/>
        </w:rPr>
        <w:t xml:space="preserve">The litigation then [***9]  proceeded to a bench trial. </w:t>
      </w:r>
      <w:bookmarkStart w:id="363" w:name="Bookmark_I5WHY2K62D6NRV0010000400"/>
      <w:bookmarkEnd w:id="363"/>
      <w:r>
        <w:rPr>
          <w:rFonts w:ascii="Arial" w:eastAsia="Arial" w:hAnsi="Arial" w:cs="Arial"/>
          <w:color w:val="000000"/>
          <w:sz w:val="20"/>
        </w:rPr>
        <w:t xml:space="preserve">The district court bifurcated the trial  [*1076]   [**161]  into a "liability" phase and a "remedy" phase. </w:t>
      </w:r>
      <w:r>
        <w:rPr>
          <w:rFonts w:ascii="Arial" w:eastAsia="Arial" w:hAnsi="Arial" w:cs="Arial"/>
          <w:i/>
          <w:color w:val="000000"/>
          <w:sz w:val="20"/>
        </w:rPr>
        <w:t>Order</w:t>
      </w:r>
      <w:r>
        <w:rPr>
          <w:rFonts w:ascii="Arial" w:eastAsia="Arial" w:hAnsi="Arial" w:cs="Arial"/>
          <w:color w:val="000000"/>
          <w:sz w:val="20"/>
        </w:rPr>
        <w:t xml:space="preserve">, No. 1:10-cv-2250 (D.D.C. May 9, 2016), ECF 178 at 2. It held the "liability" phase trial over nine days between September 2016 and November 2016, and, at the conclusion of that phase, ordered the parties to submit proposed findings of fact and conclusions of law. </w:t>
      </w:r>
      <w:bookmarkStart w:id="364" w:name="Bookmark_I5WHY2K628T47Y0050000400"/>
      <w:bookmarkEnd w:id="364"/>
      <w:r>
        <w:rPr>
          <w:rFonts w:ascii="Arial" w:eastAsia="Arial" w:hAnsi="Arial" w:cs="Arial"/>
          <w:i/>
          <w:color w:val="000000"/>
          <w:sz w:val="20"/>
        </w:rPr>
        <w:t>Brown v. District of Columbia</w:t>
      </w:r>
      <w:r>
        <w:rPr>
          <w:rFonts w:ascii="Arial" w:eastAsia="Arial" w:hAnsi="Arial" w:cs="Arial"/>
          <w:color w:val="000000"/>
          <w:sz w:val="20"/>
        </w:rPr>
        <w:t>, 322 F.R.D. 51, 61-62 (D.D.C. 2017).</w:t>
      </w:r>
    </w:p>
    <w:p w:rsidR="00E456CD" w:rsidRDefault="00000000">
      <w:pPr>
        <w:pStyle w:val="Normal3"/>
        <w:widowControl w:val="0"/>
        <w:spacing w:before="200" w:line="260" w:lineRule="atLeast"/>
        <w:jc w:val="both"/>
      </w:pPr>
      <w:bookmarkStart w:id="365" w:name="Bookmark_para_19_1"/>
      <w:bookmarkStart w:id="366" w:name="Bookmark_I5WHY2K62D6NRV0030000400"/>
      <w:bookmarkStart w:id="367" w:name="Bookmark_I5WHY2K62D6NRV0050000400"/>
      <w:bookmarkEnd w:id="365"/>
      <w:bookmarkEnd w:id="366"/>
      <w:bookmarkEnd w:id="367"/>
      <w:r>
        <w:rPr>
          <w:rFonts w:ascii="Arial" w:eastAsia="Arial" w:hAnsi="Arial" w:cs="Arial"/>
          <w:color w:val="000000"/>
          <w:sz w:val="20"/>
        </w:rPr>
        <w:t xml:space="preserve">In September 2017, the district court concluded that Plaintiffs had failed to establish the District's liability under both the ADA and the Rehabilitation Act. </w:t>
      </w:r>
      <w:bookmarkStart w:id="368" w:name="Bookmark_I5WHY2K62D6NRV0020000400"/>
      <w:bookmarkEnd w:id="368"/>
      <w:r>
        <w:rPr>
          <w:rFonts w:ascii="Arial" w:eastAsia="Arial" w:hAnsi="Arial" w:cs="Arial"/>
          <w:i/>
          <w:color w:val="000000"/>
          <w:sz w:val="20"/>
        </w:rPr>
        <w:t>Brown</w:t>
      </w:r>
      <w:r>
        <w:rPr>
          <w:rFonts w:ascii="Arial" w:eastAsia="Arial" w:hAnsi="Arial" w:cs="Arial"/>
          <w:color w:val="000000"/>
          <w:sz w:val="20"/>
        </w:rPr>
        <w:t xml:space="preserve">, 322 F.R.D. 51. </w:t>
      </w:r>
      <w:bookmarkStart w:id="369" w:name="Bookmark_I5WHY2K72N1PNG0020000400"/>
      <w:bookmarkEnd w:id="369"/>
      <w:r>
        <w:rPr>
          <w:rFonts w:ascii="Arial" w:eastAsia="Arial" w:hAnsi="Arial" w:cs="Arial"/>
          <w:color w:val="000000"/>
          <w:sz w:val="20"/>
        </w:rPr>
        <w:t xml:space="preserve">Thus, without proceeding to the "remedy" phase of the trial, the district court entered judgment in favor of the District. </w:t>
      </w:r>
      <w:bookmarkStart w:id="370" w:name="Bookmark_I5WHY2K72N1PNG0040000400"/>
      <w:bookmarkStart w:id="371" w:name="Bookmark_I5WHY2K62D6NRV0040000400"/>
      <w:bookmarkEnd w:id="370"/>
      <w:bookmarkEnd w:id="371"/>
      <w:r>
        <w:rPr>
          <w:rFonts w:ascii="Arial" w:eastAsia="Arial" w:hAnsi="Arial" w:cs="Arial"/>
          <w:i/>
          <w:color w:val="000000"/>
          <w:sz w:val="20"/>
        </w:rPr>
        <w:t>Id.</w:t>
      </w:r>
      <w:r>
        <w:rPr>
          <w:rFonts w:ascii="Arial" w:eastAsia="Arial" w:hAnsi="Arial" w:cs="Arial"/>
          <w:color w:val="000000"/>
          <w:sz w:val="20"/>
        </w:rPr>
        <w:t xml:space="preserve"> at 96. </w:t>
      </w:r>
      <w:bookmarkStart w:id="372" w:name="Bookmark_I5WHY2K72N1PNG0040000400_2"/>
      <w:bookmarkStart w:id="373" w:name="Bookmark_I5WHY2K72N1PNG0020000400_2"/>
      <w:bookmarkStart w:id="374" w:name="Bookmark_I5WHY2K72D6NRX0010000400"/>
      <w:bookmarkEnd w:id="372"/>
      <w:bookmarkEnd w:id="373"/>
      <w:bookmarkEnd w:id="374"/>
      <w:r>
        <w:rPr>
          <w:rFonts w:ascii="Arial" w:eastAsia="Arial" w:hAnsi="Arial" w:cs="Arial"/>
          <w:color w:val="000000"/>
          <w:sz w:val="20"/>
        </w:rPr>
        <w:t xml:space="preserve">It issued a lengthy opinion, explaining that "[t]his case presents the difficult legal issue of what a class of plaintiffs proceeding under an </w:t>
      </w:r>
      <w:r>
        <w:rPr>
          <w:rFonts w:ascii="Arial" w:eastAsia="Arial" w:hAnsi="Arial" w:cs="Arial"/>
          <w:i/>
          <w:color w:val="000000"/>
          <w:sz w:val="20"/>
        </w:rPr>
        <w:t>Olmstead</w:t>
      </w:r>
      <w:r>
        <w:rPr>
          <w:rFonts w:ascii="Arial" w:eastAsia="Arial" w:hAnsi="Arial" w:cs="Arial"/>
          <w:color w:val="000000"/>
          <w:sz w:val="20"/>
        </w:rPr>
        <w:t xml:space="preserve"> theory of liability must prove in order to demonstrate their entitlement to relief under Rule 23." </w:t>
      </w:r>
      <w:bookmarkStart w:id="375" w:name="Bookmark_I5WHY2K72N1PNG0010000400"/>
      <w:bookmarkEnd w:id="375"/>
      <w:r>
        <w:rPr>
          <w:rFonts w:ascii="Arial" w:eastAsia="Arial" w:hAnsi="Arial" w:cs="Arial"/>
          <w:i/>
          <w:color w:val="000000"/>
          <w:sz w:val="20"/>
        </w:rPr>
        <w:t>Id.</w:t>
      </w:r>
      <w:r>
        <w:rPr>
          <w:rFonts w:ascii="Arial" w:eastAsia="Arial" w:hAnsi="Arial" w:cs="Arial"/>
          <w:color w:val="000000"/>
          <w:sz w:val="20"/>
        </w:rPr>
        <w:t xml:space="preserve"> at 86. </w:t>
      </w:r>
      <w:bookmarkStart w:id="376" w:name="Bookmark_I5WHY2K72D6NRX0010000400_2"/>
      <w:bookmarkEnd w:id="376"/>
      <w:r>
        <w:rPr>
          <w:rFonts w:ascii="Arial" w:eastAsia="Arial" w:hAnsi="Arial" w:cs="Arial"/>
          <w:color w:val="000000"/>
          <w:sz w:val="20"/>
        </w:rPr>
        <w:t>It concluded that, "under Rule 23," "plaintiffs must prove that the District maintains a policy or practice (</w:t>
      </w:r>
      <w:r>
        <w:rPr>
          <w:rFonts w:ascii="Arial" w:eastAsia="Arial" w:hAnsi="Arial" w:cs="Arial"/>
          <w:i/>
          <w:color w:val="000000"/>
          <w:sz w:val="20"/>
        </w:rPr>
        <w:t>i.e.</w:t>
      </w:r>
      <w:r>
        <w:rPr>
          <w:rFonts w:ascii="Arial" w:eastAsia="Arial" w:hAnsi="Arial" w:cs="Arial"/>
          <w:color w:val="000000"/>
          <w:sz w:val="20"/>
        </w:rPr>
        <w:t xml:space="preserve">, a concrete systemic deficiency) that has caused the class members to remain in nursing facilities despite their preference to receive long-term care in the community." </w:t>
      </w:r>
      <w:bookmarkStart w:id="377" w:name="Bookmark_I5WHY2K72N1PNG0030000400"/>
      <w:bookmarkEnd w:id="377"/>
      <w:r>
        <w:rPr>
          <w:rFonts w:ascii="Arial" w:eastAsia="Arial" w:hAnsi="Arial" w:cs="Arial"/>
          <w:i/>
          <w:color w:val="000000"/>
          <w:sz w:val="20"/>
        </w:rPr>
        <w:t>Id.</w:t>
      </w:r>
      <w:r>
        <w:rPr>
          <w:rFonts w:ascii="Arial" w:eastAsia="Arial" w:hAnsi="Arial" w:cs="Arial"/>
          <w:color w:val="000000"/>
          <w:sz w:val="20"/>
        </w:rPr>
        <w:t xml:space="preserve"> at 87. </w:t>
      </w:r>
      <w:bookmarkStart w:id="378" w:name="Bookmark_I5WHY2K72D6NRX0010000400_3"/>
      <w:bookmarkEnd w:id="378"/>
      <w:r>
        <w:rPr>
          <w:rFonts w:ascii="Arial" w:eastAsia="Arial" w:hAnsi="Arial" w:cs="Arial"/>
          <w:color w:val="000000"/>
          <w:sz w:val="20"/>
        </w:rPr>
        <w:t xml:space="preserve">It [***10]  held that Plaintiffs both (1) "failed to carry their burden of proving the existence of a concrete systemic deficiency in the District's transition services" and (2) "failed to prove that the class members' institutionalization is caused by systemic deficiencies in the District's transition services or that the harm can be redressed by a single injunction." </w:t>
      </w:r>
      <w:r>
        <w:rPr>
          <w:rFonts w:ascii="Arial" w:eastAsia="Arial" w:hAnsi="Arial" w:cs="Arial"/>
          <w:i/>
          <w:color w:val="000000"/>
          <w:sz w:val="20"/>
        </w:rPr>
        <w:t>Id.</w:t>
      </w:r>
      <w:r>
        <w:rPr>
          <w:rFonts w:ascii="Arial" w:eastAsia="Arial" w:hAnsi="Arial" w:cs="Arial"/>
          <w:color w:val="000000"/>
          <w:sz w:val="20"/>
        </w:rPr>
        <w:t xml:space="preserve"> As a result, it concluded that Plaintiffs "failed to carry their burden to prove that class-wide relief is appropriate under Rule 23(b)(2)" and "dismiss[ed] plaintiffs' class-wide claims." </w:t>
      </w:r>
      <w:bookmarkStart w:id="379" w:name="Bookmark_I5WHY2K72N1PNG0050000400"/>
      <w:bookmarkEnd w:id="379"/>
      <w:r>
        <w:rPr>
          <w:rFonts w:ascii="Arial" w:eastAsia="Arial" w:hAnsi="Arial" w:cs="Arial"/>
          <w:i/>
          <w:color w:val="000000"/>
          <w:sz w:val="20"/>
        </w:rPr>
        <w:t>Id.</w:t>
      </w:r>
      <w:r>
        <w:rPr>
          <w:rFonts w:ascii="Arial" w:eastAsia="Arial" w:hAnsi="Arial" w:cs="Arial"/>
          <w:color w:val="000000"/>
          <w:sz w:val="20"/>
        </w:rPr>
        <w:t xml:space="preserve"> at 96. </w:t>
      </w:r>
      <w:bookmarkStart w:id="380" w:name="Bookmark_I5WHY2K72D6NRX0030000400"/>
      <w:bookmarkEnd w:id="380"/>
      <w:r>
        <w:rPr>
          <w:rFonts w:ascii="Arial" w:eastAsia="Arial" w:hAnsi="Arial" w:cs="Arial"/>
          <w:color w:val="000000"/>
          <w:sz w:val="20"/>
        </w:rPr>
        <w:t xml:space="preserve">Finding that Plaintiffs sought no individual relief, the district court entered final judgment for the District. </w:t>
      </w:r>
      <w:r>
        <w:rPr>
          <w:rFonts w:ascii="Arial" w:eastAsia="Arial" w:hAnsi="Arial" w:cs="Arial"/>
          <w:i/>
          <w:color w:val="000000"/>
          <w:sz w:val="20"/>
        </w:rPr>
        <w:t>Id.</w:t>
      </w:r>
      <w:r>
        <w:rPr>
          <w:rFonts w:ascii="Arial" w:eastAsia="Arial" w:hAnsi="Arial" w:cs="Arial"/>
          <w:color w:val="000000"/>
          <w:sz w:val="20"/>
        </w:rPr>
        <w:t xml:space="preserve"> Plaintiffs timely appealed. </w:t>
      </w:r>
      <w:bookmarkStart w:id="381" w:name="Bookmark_LNHNREFclscc2_1"/>
      <w:bookmarkEnd w:id="381"/>
      <w:r>
        <w:rPr>
          <w:rFonts w:ascii="Arial" w:eastAsia="Arial" w:hAnsi="Arial" w:cs="Arial"/>
          <w:color w:val="000000"/>
          <w:sz w:val="20"/>
        </w:rPr>
        <w:t xml:space="preserve">We review the district court's factual findings for clear error and its legal conclusions de novo. </w:t>
      </w:r>
      <w:bookmarkStart w:id="382" w:name="Bookmark_I5WHY2K72D6NRX0020000400"/>
      <w:bookmarkEnd w:id="382"/>
      <w:r>
        <w:rPr>
          <w:rFonts w:ascii="Arial" w:eastAsia="Arial" w:hAnsi="Arial" w:cs="Arial"/>
          <w:i/>
          <w:color w:val="000000"/>
          <w:sz w:val="20"/>
        </w:rPr>
        <w:t>Armstrong v. Geithner</w:t>
      </w:r>
      <w:r>
        <w:rPr>
          <w:rFonts w:ascii="Arial" w:eastAsia="Arial" w:hAnsi="Arial" w:cs="Arial"/>
          <w:color w:val="000000"/>
          <w:sz w:val="20"/>
        </w:rPr>
        <w:t>, 608 F.3d 854, 857, 391 U.S. App. D.C. 148 (D.C. Cir. 2010).</w:t>
      </w:r>
    </w:p>
    <w:p w:rsidR="00E456CD" w:rsidRDefault="00000000">
      <w:pPr>
        <w:pStyle w:val="Normal3"/>
        <w:widowControl w:val="0"/>
        <w:spacing w:before="240" w:line="260" w:lineRule="atLeast"/>
      </w:pPr>
      <w:r>
        <w:br/>
      </w:r>
      <w:r>
        <w:rPr>
          <w:rFonts w:ascii="Arial" w:eastAsia="Arial" w:hAnsi="Arial" w:cs="Arial"/>
          <w:b/>
          <w:color w:val="000000"/>
          <w:sz w:val="20"/>
        </w:rPr>
        <w:t xml:space="preserve">II. </w:t>
      </w:r>
      <w:r>
        <w:rPr>
          <w:rFonts w:ascii="Arial" w:eastAsia="Arial" w:hAnsi="Arial" w:cs="Arial"/>
          <w:b/>
          <w:smallCaps/>
          <w:color w:val="000000"/>
          <w:sz w:val="20"/>
        </w:rPr>
        <w:t>Analysis</w:t>
      </w:r>
    </w:p>
    <w:p w:rsidR="00E456CD" w:rsidRDefault="00000000">
      <w:pPr>
        <w:pStyle w:val="Normal3"/>
        <w:widowControl w:val="0"/>
        <w:spacing w:before="240" w:line="260" w:lineRule="atLeast"/>
      </w:pPr>
      <w:r>
        <w:br/>
      </w:r>
      <w:r>
        <w:rPr>
          <w:rFonts w:ascii="Arial" w:eastAsia="Arial" w:hAnsi="Arial" w:cs="Arial"/>
          <w:b/>
          <w:color w:val="000000"/>
          <w:sz w:val="20"/>
        </w:rPr>
        <w:t xml:space="preserve">A. </w:t>
      </w:r>
      <w:r>
        <w:rPr>
          <w:rFonts w:ascii="Arial" w:eastAsia="Arial" w:hAnsi="Arial" w:cs="Arial"/>
          <w:b/>
          <w:smallCaps/>
          <w:color w:val="000000"/>
          <w:sz w:val="20"/>
        </w:rPr>
        <w:t>Plaintiffs Need Not Identify "Concrete, Systemic Deficiency"</w:t>
      </w:r>
    </w:p>
    <w:p w:rsidR="00E456CD" w:rsidRDefault="00000000">
      <w:pPr>
        <w:pStyle w:val="Normal3"/>
        <w:widowControl w:val="0"/>
        <w:spacing w:before="200" w:line="260" w:lineRule="atLeast"/>
        <w:jc w:val="both"/>
      </w:pPr>
      <w:bookmarkStart w:id="383" w:name="Bookmark_para_20_1"/>
      <w:bookmarkStart w:id="384" w:name="Bookmark_I5WHY2K72D6NRX0050000400"/>
      <w:bookmarkStart w:id="385" w:name="Bookmark_I5WHY2K72SF7KW0040000400"/>
      <w:bookmarkEnd w:id="383"/>
      <w:bookmarkEnd w:id="384"/>
      <w:bookmarkEnd w:id="385"/>
      <w:r>
        <w:rPr>
          <w:rFonts w:ascii="Arial" w:eastAsia="Arial" w:hAnsi="Arial" w:cs="Arial"/>
          <w:color w:val="000000"/>
          <w:sz w:val="20"/>
        </w:rPr>
        <w:t xml:space="preserve">The district court held that the District was entitled to summary judgment primarily because Plaintiffs failed to identify a "concrete, systemic deficiency" in the District's transition services. </w:t>
      </w:r>
      <w:r>
        <w:rPr>
          <w:rFonts w:ascii="Arial" w:eastAsia="Arial" w:hAnsi="Arial" w:cs="Arial"/>
          <w:i/>
          <w:color w:val="000000"/>
          <w:sz w:val="20"/>
        </w:rPr>
        <w:t xml:space="preserve">See, e.g., </w:t>
      </w:r>
      <w:bookmarkStart w:id="386" w:name="Bookmark_I5WHY2K72D6NRX0040000400"/>
      <w:bookmarkEnd w:id="386"/>
      <w:r>
        <w:rPr>
          <w:rFonts w:ascii="Arial" w:eastAsia="Arial" w:hAnsi="Arial" w:cs="Arial"/>
          <w:i/>
          <w:color w:val="000000"/>
          <w:sz w:val="20"/>
        </w:rPr>
        <w:t>Brown</w:t>
      </w:r>
      <w:r>
        <w:rPr>
          <w:rFonts w:ascii="Arial" w:eastAsia="Arial" w:hAnsi="Arial" w:cs="Arial"/>
          <w:color w:val="000000"/>
          <w:sz w:val="20"/>
        </w:rPr>
        <w:t xml:space="preserve">, 322 F.R.D. at 53 ("[T]he essential question before the Court is whether plaintiffs have shown concrete systemic deficiencies that harm the class and, [***11]  if these deficiencies exist, whether they are redressable by a single injunction."); </w:t>
      </w:r>
      <w:bookmarkStart w:id="387" w:name="Bookmark_I5WHY2K72SF7KW0010000400"/>
      <w:bookmarkEnd w:id="387"/>
      <w:r>
        <w:rPr>
          <w:rFonts w:ascii="Arial" w:eastAsia="Arial" w:hAnsi="Arial" w:cs="Arial"/>
          <w:i/>
          <w:color w:val="000000"/>
          <w:sz w:val="20"/>
        </w:rPr>
        <w:t>id.</w:t>
      </w:r>
      <w:r>
        <w:rPr>
          <w:rFonts w:ascii="Arial" w:eastAsia="Arial" w:hAnsi="Arial" w:cs="Arial"/>
          <w:color w:val="000000"/>
          <w:sz w:val="20"/>
        </w:rPr>
        <w:t xml:space="preserve"> at 87 ("[P]laintiffs must prove that the District maintains a policy or practice (</w:t>
      </w:r>
      <w:r>
        <w:rPr>
          <w:rFonts w:ascii="Arial" w:eastAsia="Arial" w:hAnsi="Arial" w:cs="Arial"/>
          <w:i/>
          <w:color w:val="000000"/>
          <w:sz w:val="20"/>
        </w:rPr>
        <w:t>i.e.</w:t>
      </w:r>
      <w:r>
        <w:rPr>
          <w:rFonts w:ascii="Arial" w:eastAsia="Arial" w:hAnsi="Arial" w:cs="Arial"/>
          <w:color w:val="000000"/>
          <w:sz w:val="20"/>
        </w:rPr>
        <w:t xml:space="preserve">, a concrete systemic deficiency) that has caused the class members to remain in nursing facilities despite their preference to receive long-term care in the community. The Court . . . concludes that plaintiffs have failed to carry their burden of proving the existence of a concrete systemic deficiency in the District's transition services."); </w:t>
      </w:r>
      <w:bookmarkStart w:id="388" w:name="Bookmark_I5WHY2K72SF7KW0030000400"/>
      <w:bookmarkEnd w:id="388"/>
      <w:r>
        <w:rPr>
          <w:rFonts w:ascii="Arial" w:eastAsia="Arial" w:hAnsi="Arial" w:cs="Arial"/>
          <w:i/>
          <w:color w:val="000000"/>
          <w:sz w:val="20"/>
        </w:rPr>
        <w:t>id.</w:t>
      </w:r>
      <w:r>
        <w:rPr>
          <w:rFonts w:ascii="Arial" w:eastAsia="Arial" w:hAnsi="Arial" w:cs="Arial"/>
          <w:color w:val="000000"/>
          <w:sz w:val="20"/>
        </w:rPr>
        <w:t xml:space="preserve"> at 96 ("[P]laintiffs have failed to demonstrate the existence of a concrete, systemic failure that entitles them to class-wide relief."). Nowhere does </w:t>
      </w:r>
      <w:r>
        <w:rPr>
          <w:rFonts w:ascii="Arial" w:eastAsia="Arial" w:hAnsi="Arial" w:cs="Arial"/>
          <w:i/>
          <w:color w:val="000000"/>
          <w:sz w:val="20"/>
        </w:rPr>
        <w:t>Olmstead</w:t>
      </w:r>
      <w:r>
        <w:rPr>
          <w:rFonts w:ascii="Arial" w:eastAsia="Arial" w:hAnsi="Arial" w:cs="Arial"/>
          <w:color w:val="000000"/>
          <w:sz w:val="20"/>
        </w:rPr>
        <w:t xml:space="preserve"> talk about "concrete, systemic deficiencies."</w:t>
      </w:r>
      <w:r>
        <w:rPr>
          <w:rFonts w:ascii="Arial" w:eastAsia="Arial" w:hAnsi="Arial" w:cs="Arial"/>
          <w:vertAlign w:val="superscript"/>
        </w:rPr>
        <w:footnoteReference w:customMarkFollows="1" w:id="44"/>
        <w:t>5</w:t>
      </w:r>
    </w:p>
    <w:p w:rsidR="00E456CD" w:rsidRDefault="00000000">
      <w:pPr>
        <w:pStyle w:val="Normal3"/>
        <w:widowControl w:val="0"/>
        <w:spacing w:before="200" w:line="260" w:lineRule="atLeast"/>
        <w:jc w:val="both"/>
      </w:pPr>
      <w:bookmarkStart w:id="402" w:name="Bookmark_para_21_1"/>
      <w:bookmarkEnd w:id="402"/>
      <w:r>
        <w:rPr>
          <w:rFonts w:ascii="Arial" w:eastAsia="Arial" w:hAnsi="Arial" w:cs="Arial"/>
          <w:color w:val="000000"/>
          <w:sz w:val="20"/>
        </w:rPr>
        <w:t xml:space="preserve"> [*1077]  [**162]   </w:t>
      </w:r>
      <w:r>
        <w:rPr>
          <w:rFonts w:ascii="Arial" w:eastAsia="Arial" w:hAnsi="Arial" w:cs="Arial"/>
          <w:i/>
          <w:color w:val="000000"/>
          <w:sz w:val="20"/>
        </w:rPr>
        <w:t>Olmstead</w:t>
      </w:r>
      <w:r>
        <w:rPr>
          <w:rFonts w:ascii="Arial" w:eastAsia="Arial" w:hAnsi="Arial" w:cs="Arial"/>
          <w:color w:val="000000"/>
          <w:sz w:val="20"/>
        </w:rPr>
        <w:t xml:space="preserve"> interprets the ADA, </w:t>
      </w:r>
      <w:bookmarkStart w:id="403" w:name="Bookmark_LNHNREFclscc3_1"/>
      <w:bookmarkEnd w:id="403"/>
      <w:r>
        <w:rPr>
          <w:rFonts w:ascii="Arial" w:eastAsia="Arial" w:hAnsi="Arial" w:cs="Arial"/>
          <w:color w:val="000000"/>
          <w:sz w:val="20"/>
        </w:rPr>
        <w:t xml:space="preserve">which provides that "no qualified individual with a disability shall, by reason of such disability, be excluded from participation in or be denied the benefits of the services, programs, or activities of a public entity, or be subjected to discrimination by any such entity." 42 U.S.C. § 12132; </w:t>
      </w:r>
      <w:r>
        <w:rPr>
          <w:rFonts w:ascii="Arial" w:eastAsia="Arial" w:hAnsi="Arial" w:cs="Arial"/>
          <w:i/>
          <w:color w:val="000000"/>
          <w:sz w:val="20"/>
        </w:rPr>
        <w:t>see also</w:t>
      </w:r>
      <w:r>
        <w:rPr>
          <w:rFonts w:ascii="Arial" w:eastAsia="Arial" w:hAnsi="Arial" w:cs="Arial"/>
          <w:color w:val="000000"/>
          <w:sz w:val="20"/>
        </w:rPr>
        <w:t xml:space="preserve"> 29 U.S.C. § 794(a) (parallel statutory language in Rehabilitation Act). One of the many regulations implementing the statutory mandate provides: "[a] public entity shall administer [***12]  services, programs, and activities in the most integrated setting appropriate to the needs of qualified individuals with disabilities." 28 C.F.R. § 35.130(d). At the same time, the regulation contains a caveat: "[a] public entity shall make reasonable modifications . . . necessary to avoid discrimination on the basis of disability, </w:t>
      </w:r>
      <w:r>
        <w:rPr>
          <w:rFonts w:ascii="Arial" w:eastAsia="Arial" w:hAnsi="Arial" w:cs="Arial"/>
          <w:i/>
          <w:color w:val="000000"/>
          <w:sz w:val="20"/>
        </w:rPr>
        <w:t>unless the public entity can demonstrate that making the modifications would fundamentally alter the nature of the service, program, or activity</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 35.130(b)(7)(i) (emphasis added).</w:t>
      </w:r>
    </w:p>
    <w:p w:rsidR="00E456CD" w:rsidRDefault="00000000">
      <w:pPr>
        <w:pStyle w:val="Normal3"/>
        <w:widowControl w:val="0"/>
        <w:spacing w:before="200" w:line="260" w:lineRule="atLeast"/>
        <w:jc w:val="both"/>
      </w:pPr>
      <w:bookmarkStart w:id="404" w:name="Bookmark_para_22_1"/>
      <w:bookmarkStart w:id="405" w:name="Bookmark_I5H1TNT3KPB000063S7000PH"/>
      <w:bookmarkStart w:id="406" w:name="Bookmark_I5WHY2K72HM6TK0010000400"/>
      <w:bookmarkEnd w:id="404"/>
      <w:bookmarkEnd w:id="405"/>
      <w:bookmarkEnd w:id="406"/>
      <w:r>
        <w:rPr>
          <w:rFonts w:ascii="Arial" w:eastAsia="Arial" w:hAnsi="Arial" w:cs="Arial"/>
          <w:color w:val="000000"/>
          <w:sz w:val="20"/>
        </w:rPr>
        <w:t xml:space="preserve">In </w:t>
      </w:r>
      <w:r>
        <w:rPr>
          <w:rFonts w:ascii="Arial" w:eastAsia="Arial" w:hAnsi="Arial" w:cs="Arial"/>
          <w:i/>
          <w:color w:val="000000"/>
          <w:sz w:val="20"/>
        </w:rPr>
        <w:t>Olmstead</w:t>
      </w:r>
      <w:r>
        <w:rPr>
          <w:rFonts w:ascii="Arial" w:eastAsia="Arial" w:hAnsi="Arial" w:cs="Arial"/>
          <w:color w:val="000000"/>
          <w:sz w:val="20"/>
        </w:rPr>
        <w:t xml:space="preserve">, </w:t>
      </w:r>
      <w:bookmarkStart w:id="407" w:name="Bookmark_LNHNREFclscc4_1"/>
      <w:bookmarkEnd w:id="407"/>
      <w:r>
        <w:rPr>
          <w:rFonts w:ascii="Arial" w:eastAsia="Arial" w:hAnsi="Arial" w:cs="Arial"/>
          <w:color w:val="000000"/>
          <w:sz w:val="20"/>
        </w:rPr>
        <w:t xml:space="preserve">the Supreme Court declared that, because "unjustified isolation of persons with disabilities is a form of discrimination," </w:t>
      </w:r>
      <w:bookmarkStart w:id="408" w:name="Bookmark_I5WHY2K72HM6TJ0050000400"/>
      <w:bookmarkEnd w:id="408"/>
      <w:r>
        <w:rPr>
          <w:rFonts w:ascii="Arial" w:eastAsia="Arial" w:hAnsi="Arial" w:cs="Arial"/>
          <w:color w:val="000000"/>
          <w:sz w:val="20"/>
        </w:rPr>
        <w:t xml:space="preserve">527 U.S. at 600, the ADA and its implementing regulations "require placement of persons with mental disabilities in community settings rather than in institutions" under certain circumstances, </w:t>
      </w:r>
      <w:bookmarkStart w:id="409" w:name="Bookmark_I5WHY2K72HM6TK0020000400"/>
      <w:bookmarkEnd w:id="409"/>
      <w:r>
        <w:rPr>
          <w:rFonts w:ascii="Arial" w:eastAsia="Arial" w:hAnsi="Arial" w:cs="Arial"/>
          <w:i/>
          <w:color w:val="000000"/>
          <w:sz w:val="20"/>
        </w:rPr>
        <w:t>id.</w:t>
      </w:r>
      <w:r>
        <w:rPr>
          <w:rFonts w:ascii="Arial" w:eastAsia="Arial" w:hAnsi="Arial" w:cs="Arial"/>
          <w:color w:val="000000"/>
          <w:sz w:val="20"/>
        </w:rPr>
        <w:t xml:space="preserve"> at 587.</w:t>
      </w:r>
      <w:r>
        <w:rPr>
          <w:rFonts w:ascii="Arial" w:eastAsia="Arial" w:hAnsi="Arial" w:cs="Arial"/>
          <w:vertAlign w:val="superscript"/>
        </w:rPr>
        <w:footnoteReference w:customMarkFollows="1" w:id="45"/>
        <w:t>6</w:t>
      </w:r>
      <w:r>
        <w:rPr>
          <w:rFonts w:ascii="Arial" w:eastAsia="Arial" w:hAnsi="Arial" w:cs="Arial"/>
          <w:color w:val="000000"/>
          <w:sz w:val="20"/>
        </w:rPr>
        <w:t xml:space="preserve"> "Such action is in order," the Court said, "when [(1)] the State's treatment professionals have determined that community placement is appropriate, [(2)] the transfer from institutional care to a less restrictive setting is not opposed by the affected individual, and [(3)] the placement can be reasonably accommodated, taking into account the resources available to the State and the needs of others with [***13]  mental disabilities." </w:t>
      </w:r>
      <w:bookmarkStart w:id="417" w:name="Bookmark_I5WHY2K72HM6TK0040000400"/>
      <w:bookmarkEnd w:id="417"/>
      <w:r>
        <w:rPr>
          <w:rFonts w:ascii="Arial" w:eastAsia="Arial" w:hAnsi="Arial" w:cs="Arial"/>
          <w:i/>
          <w:color w:val="000000"/>
          <w:sz w:val="20"/>
        </w:rPr>
        <w:t>Id.</w:t>
      </w:r>
    </w:p>
    <w:p w:rsidR="00E456CD" w:rsidRDefault="00000000">
      <w:pPr>
        <w:pStyle w:val="Normal3"/>
        <w:widowControl w:val="0"/>
        <w:spacing w:before="200" w:line="260" w:lineRule="atLeast"/>
        <w:jc w:val="both"/>
      </w:pPr>
      <w:bookmarkStart w:id="418" w:name="Bookmark_para_23_1"/>
      <w:bookmarkStart w:id="419" w:name="Bookmark_LNHNREFclscc5_1"/>
      <w:bookmarkStart w:id="420" w:name="Bookmark_I5WHY2K72SF7KY0030000400"/>
      <w:bookmarkEnd w:id="418"/>
      <w:bookmarkEnd w:id="419"/>
      <w:bookmarkEnd w:id="420"/>
      <w:r>
        <w:rPr>
          <w:rFonts w:ascii="Arial" w:eastAsia="Arial" w:hAnsi="Arial" w:cs="Arial"/>
          <w:color w:val="000000"/>
          <w:sz w:val="20"/>
        </w:rPr>
        <w:t xml:space="preserve">Although the Court did not expressly declare that the State bears the burden of proving the unreasonableness of a requested accommodation once the individual satisfies the first two requirements, we believe it does for three reasons. </w:t>
      </w:r>
      <w:r>
        <w:rPr>
          <w:rFonts w:ascii="Arial" w:eastAsia="Arial" w:hAnsi="Arial" w:cs="Arial"/>
          <w:i/>
          <w:color w:val="000000"/>
          <w:sz w:val="20"/>
        </w:rPr>
        <w:t>First</w:t>
      </w:r>
      <w:r>
        <w:rPr>
          <w:rFonts w:ascii="Arial" w:eastAsia="Arial" w:hAnsi="Arial" w:cs="Arial"/>
          <w:color w:val="000000"/>
          <w:sz w:val="20"/>
        </w:rPr>
        <w:t xml:space="preserve">, </w:t>
      </w:r>
      <w:r>
        <w:rPr>
          <w:rFonts w:ascii="Arial" w:eastAsia="Arial" w:hAnsi="Arial" w:cs="Arial"/>
          <w:i/>
          <w:color w:val="000000"/>
          <w:sz w:val="20"/>
        </w:rPr>
        <w:t>Olmstead</w:t>
      </w:r>
      <w:r>
        <w:rPr>
          <w:rFonts w:ascii="Arial" w:eastAsia="Arial" w:hAnsi="Arial" w:cs="Arial"/>
          <w:color w:val="000000"/>
          <w:sz w:val="20"/>
        </w:rPr>
        <w:t xml:space="preserve">'s third prong originates in the above-quoted regulation, which, again, provides: "[a] public entity shall make reasonable modifications . . . necessary to avoid discrimination on the basis of disability, unless </w:t>
      </w:r>
      <w:r>
        <w:rPr>
          <w:rFonts w:ascii="Arial" w:eastAsia="Arial" w:hAnsi="Arial" w:cs="Arial"/>
          <w:i/>
          <w:color w:val="000000"/>
          <w:sz w:val="20"/>
        </w:rPr>
        <w:t>the public entity can demonstrate</w:t>
      </w:r>
      <w:r>
        <w:rPr>
          <w:rFonts w:ascii="Arial" w:eastAsia="Arial" w:hAnsi="Arial" w:cs="Arial"/>
          <w:color w:val="000000"/>
          <w:sz w:val="20"/>
        </w:rPr>
        <w:t xml:space="preserve"> that making the modifications would fundamentally alter the nature of the service, program, or activity." 28 C.F.R. § 35.130(b)(7)(i) (emphasis added). </w:t>
      </w:r>
      <w:bookmarkStart w:id="421" w:name="Bookmark_I5WHY2K72SF7KY0050000400"/>
      <w:bookmarkEnd w:id="421"/>
      <w:r>
        <w:rPr>
          <w:rFonts w:ascii="Arial" w:eastAsia="Arial" w:hAnsi="Arial" w:cs="Arial"/>
          <w:i/>
          <w:color w:val="000000"/>
          <w:sz w:val="20"/>
        </w:rPr>
        <w:t>Second</w:t>
      </w:r>
      <w:r>
        <w:rPr>
          <w:rFonts w:ascii="Arial" w:eastAsia="Arial" w:hAnsi="Arial" w:cs="Arial"/>
          <w:color w:val="000000"/>
          <w:sz w:val="20"/>
        </w:rPr>
        <w:t xml:space="preserve">, interpreting this regulation, the </w:t>
      </w:r>
      <w:r>
        <w:rPr>
          <w:rFonts w:ascii="Arial" w:eastAsia="Arial" w:hAnsi="Arial" w:cs="Arial"/>
          <w:i/>
          <w:color w:val="000000"/>
          <w:sz w:val="20"/>
        </w:rPr>
        <w:t>Olmstead</w:t>
      </w:r>
      <w:r>
        <w:rPr>
          <w:rFonts w:ascii="Arial" w:eastAsia="Arial" w:hAnsi="Arial" w:cs="Arial"/>
          <w:color w:val="000000"/>
          <w:sz w:val="20"/>
        </w:rPr>
        <w:t xml:space="preserve"> Court confirmed that "States [can] resist modifications" requested by segregated  [*1078]   [**163]  disabled individuals only if they "would fundamentally alter the nature of the service, program, or activity." </w:t>
      </w:r>
      <w:bookmarkStart w:id="422" w:name="Bookmark_I5WHY2K72SF7KY0020000400"/>
      <w:bookmarkEnd w:id="422"/>
      <w:r>
        <w:rPr>
          <w:rFonts w:ascii="Arial" w:eastAsia="Arial" w:hAnsi="Arial" w:cs="Arial"/>
          <w:i/>
          <w:color w:val="000000"/>
          <w:sz w:val="20"/>
        </w:rPr>
        <w:t>Olmstead</w:t>
      </w:r>
      <w:r>
        <w:rPr>
          <w:rFonts w:ascii="Arial" w:eastAsia="Arial" w:hAnsi="Arial" w:cs="Arial"/>
          <w:color w:val="000000"/>
          <w:sz w:val="20"/>
        </w:rPr>
        <w:t xml:space="preserve">, 527 U.S. at 597 (quoting 28 C.F.R. § 35.130(b)(7) (1998)). </w:t>
      </w:r>
      <w:bookmarkStart w:id="423" w:name="Bookmark_I5WHY2K72SF7KY0050000400_2"/>
      <w:bookmarkEnd w:id="423"/>
      <w:r>
        <w:rPr>
          <w:rFonts w:ascii="Arial" w:eastAsia="Arial" w:hAnsi="Arial" w:cs="Arial"/>
          <w:i/>
          <w:color w:val="000000"/>
          <w:sz w:val="20"/>
        </w:rPr>
        <w:t>Third</w:t>
      </w:r>
      <w:r>
        <w:rPr>
          <w:rFonts w:ascii="Arial" w:eastAsia="Arial" w:hAnsi="Arial" w:cs="Arial"/>
          <w:color w:val="000000"/>
          <w:sz w:val="20"/>
        </w:rPr>
        <w:t xml:space="preserve">, interpreting both </w:t>
      </w:r>
      <w:r>
        <w:rPr>
          <w:rFonts w:ascii="Arial" w:eastAsia="Arial" w:hAnsi="Arial" w:cs="Arial"/>
          <w:i/>
          <w:color w:val="000000"/>
          <w:sz w:val="20"/>
        </w:rPr>
        <w:t>Olmstead</w:t>
      </w:r>
      <w:r>
        <w:rPr>
          <w:rFonts w:ascii="Arial" w:eastAsia="Arial" w:hAnsi="Arial" w:cs="Arial"/>
          <w:color w:val="000000"/>
          <w:sz w:val="20"/>
        </w:rPr>
        <w:t xml:space="preserve"> and this regulation, other circuits have put the burden of establishing the unreasonableness of a requested accommodation on the State. </w:t>
      </w:r>
      <w:bookmarkStart w:id="424" w:name="Bookmark_I5WHY2K82D6NS40010000400"/>
      <w:bookmarkStart w:id="425" w:name="Bookmark_I5WHY2K72SF7KY0040000400"/>
      <w:bookmarkEnd w:id="424"/>
      <w:bookmarkEnd w:id="425"/>
      <w:r>
        <w:rPr>
          <w:rFonts w:ascii="Arial" w:eastAsia="Arial" w:hAnsi="Arial" w:cs="Arial"/>
          <w:i/>
          <w:color w:val="000000"/>
          <w:sz w:val="20"/>
        </w:rPr>
        <w:t>Steimel v. Wernert</w:t>
      </w:r>
      <w:r>
        <w:rPr>
          <w:rFonts w:ascii="Arial" w:eastAsia="Arial" w:hAnsi="Arial" w:cs="Arial"/>
          <w:color w:val="000000"/>
          <w:sz w:val="20"/>
        </w:rPr>
        <w:t xml:space="preserve">, 823 F.3d 902, 914-16 (7th Cir. 2016) (if disabled individual desires community-based treatment and medical professional determines [***14]  that such placement is appropriate, "[i]t is the state's burden to prove that the proposed changes would fundamentally alter their programs"); </w:t>
      </w:r>
      <w:bookmarkStart w:id="426" w:name="Bookmark_I5WHY2K82SF7M10010000400"/>
      <w:bookmarkEnd w:id="426"/>
      <w:r>
        <w:rPr>
          <w:rFonts w:ascii="Arial" w:eastAsia="Arial" w:hAnsi="Arial" w:cs="Arial"/>
          <w:i/>
          <w:color w:val="000000"/>
          <w:sz w:val="20"/>
        </w:rPr>
        <w:t>Townsend v. Quasim</w:t>
      </w:r>
      <w:r>
        <w:rPr>
          <w:rFonts w:ascii="Arial" w:eastAsia="Arial" w:hAnsi="Arial" w:cs="Arial"/>
          <w:color w:val="000000"/>
          <w:sz w:val="20"/>
        </w:rPr>
        <w:t xml:space="preserve">, 328 F.3d 511, 517 (9th Cir. 2003) ("Because [the State] does not allow [the disabled individual] to receive the services for which he is qualified in a community-based, rather than nursing home, setting, [the disabled individual] can prove that the [State] has violated Title II of the ADA, unless [the State] can demonstrate that provision of community-based services to [him] and members of the class would fundamentally alter the nature of the services [it] provides."); </w:t>
      </w:r>
      <w:r>
        <w:rPr>
          <w:rFonts w:ascii="Arial" w:eastAsia="Arial" w:hAnsi="Arial" w:cs="Arial"/>
          <w:i/>
          <w:color w:val="000000"/>
          <w:sz w:val="20"/>
        </w:rPr>
        <w:t xml:space="preserve">see also </w:t>
      </w:r>
      <w:bookmarkStart w:id="427" w:name="Bookmark_I5WHY2K82SF7M10030000400"/>
      <w:bookmarkEnd w:id="427"/>
      <w:r>
        <w:rPr>
          <w:rFonts w:ascii="Arial" w:eastAsia="Arial" w:hAnsi="Arial" w:cs="Arial"/>
          <w:i/>
          <w:color w:val="000000"/>
          <w:sz w:val="20"/>
        </w:rPr>
        <w:t>Frederick L. v. Dep't of Public Welfare of Pa.</w:t>
      </w:r>
      <w:r>
        <w:rPr>
          <w:rFonts w:ascii="Arial" w:eastAsia="Arial" w:hAnsi="Arial" w:cs="Arial"/>
          <w:color w:val="000000"/>
          <w:sz w:val="20"/>
        </w:rPr>
        <w:t xml:space="preserve">, 422 F.3d 151, 156-57 (3d Cir. 2005) ("[The State] is obligated by . . . federal . . . law to integrate eligible patients into local community-based settings. </w:t>
      </w:r>
      <w:bookmarkStart w:id="428" w:name="Bookmark_I5WHY2K82D6NS40010000400_2"/>
      <w:bookmarkEnd w:id="428"/>
      <w:r>
        <w:rPr>
          <w:rFonts w:ascii="Arial" w:eastAsia="Arial" w:hAnsi="Arial" w:cs="Arial"/>
          <w:color w:val="000000"/>
          <w:sz w:val="20"/>
        </w:rPr>
        <w:t xml:space="preserve">However, the integration mandate 'is not boundless' . . . [because it is] qualified by the 'fundamental alteration' defense, under which integration may be excused if it would result in a 'fundamental alteration' of the state's mental health system . . . ." (quoting </w:t>
      </w:r>
      <w:bookmarkStart w:id="429" w:name="Bookmark_I5WHY2K82SF7M10050000400"/>
      <w:bookmarkEnd w:id="429"/>
      <w:r>
        <w:rPr>
          <w:rFonts w:ascii="Arial" w:eastAsia="Arial" w:hAnsi="Arial" w:cs="Arial"/>
          <w:i/>
          <w:color w:val="000000"/>
          <w:sz w:val="20"/>
        </w:rPr>
        <w:t>Olmstead</w:t>
      </w:r>
      <w:r>
        <w:rPr>
          <w:rFonts w:ascii="Arial" w:eastAsia="Arial" w:hAnsi="Arial" w:cs="Arial"/>
          <w:color w:val="000000"/>
          <w:sz w:val="20"/>
        </w:rPr>
        <w:t>, 527 U.S. at 603-04)).</w:t>
      </w:r>
    </w:p>
    <w:p w:rsidR="00E456CD" w:rsidRDefault="00000000">
      <w:pPr>
        <w:pStyle w:val="Normal3"/>
        <w:widowControl w:val="0"/>
        <w:spacing w:before="200" w:line="260" w:lineRule="atLeast"/>
        <w:jc w:val="both"/>
      </w:pPr>
      <w:bookmarkStart w:id="430" w:name="Bookmark_para_24_0"/>
      <w:bookmarkStart w:id="431" w:name="Bookmark_LNHNREFclscc6_1"/>
      <w:bookmarkStart w:id="432" w:name="Bookmark_I5WHY2K82D6NS40030000400"/>
      <w:bookmarkStart w:id="433" w:name="Bookmark_I5WHY2K82D6NS40050000400"/>
      <w:bookmarkEnd w:id="430"/>
      <w:bookmarkEnd w:id="431"/>
      <w:bookmarkEnd w:id="432"/>
      <w:bookmarkEnd w:id="433"/>
      <w:r>
        <w:rPr>
          <w:rFonts w:ascii="Arial" w:eastAsia="Arial" w:hAnsi="Arial" w:cs="Arial"/>
          <w:color w:val="000000"/>
          <w:sz w:val="20"/>
        </w:rPr>
        <w:t xml:space="preserve">A plurality of the </w:t>
      </w:r>
      <w:r>
        <w:rPr>
          <w:rFonts w:ascii="Arial" w:eastAsia="Arial" w:hAnsi="Arial" w:cs="Arial"/>
          <w:i/>
          <w:color w:val="000000"/>
          <w:sz w:val="20"/>
        </w:rPr>
        <w:t>Olmstead</w:t>
      </w:r>
      <w:r>
        <w:rPr>
          <w:rFonts w:ascii="Arial" w:eastAsia="Arial" w:hAnsi="Arial" w:cs="Arial"/>
          <w:color w:val="000000"/>
          <w:sz w:val="20"/>
        </w:rPr>
        <w:t xml:space="preserve"> Court outlined two ways in which a State can establish that the requested accommodations are unreasonable—in other words, two ways it can make out its "fundamental alteration" defense. </w:t>
      </w:r>
      <w:r>
        <w:rPr>
          <w:rFonts w:ascii="Arial" w:eastAsia="Arial" w:hAnsi="Arial" w:cs="Arial"/>
          <w:i/>
          <w:color w:val="000000"/>
          <w:sz w:val="20"/>
        </w:rPr>
        <w:t> [***15] First</w:t>
      </w:r>
      <w:r>
        <w:rPr>
          <w:rFonts w:ascii="Arial" w:eastAsia="Arial" w:hAnsi="Arial" w:cs="Arial"/>
          <w:color w:val="000000"/>
          <w:sz w:val="20"/>
        </w:rPr>
        <w:t xml:space="preserve">, the State can "show that, in the allocation of available resources, immediate relief for the plaintiffs would be inequitable, given the responsibility the State has undertaken for the care and treatment of a large and diverse population of persons with [physical] disabilities." </w:t>
      </w:r>
      <w:bookmarkStart w:id="434" w:name="Bookmark_I5WHY2K82D6NS40020000400"/>
      <w:bookmarkEnd w:id="434"/>
      <w:r>
        <w:rPr>
          <w:rFonts w:ascii="Arial" w:eastAsia="Arial" w:hAnsi="Arial" w:cs="Arial"/>
          <w:i/>
          <w:color w:val="000000"/>
          <w:sz w:val="20"/>
        </w:rPr>
        <w:t>Olmstead</w:t>
      </w:r>
      <w:r>
        <w:rPr>
          <w:rFonts w:ascii="Arial" w:eastAsia="Arial" w:hAnsi="Arial" w:cs="Arial"/>
          <w:color w:val="000000"/>
          <w:sz w:val="20"/>
        </w:rPr>
        <w:t xml:space="preserve">, 527 U.S. at 604. </w:t>
      </w:r>
      <w:bookmarkStart w:id="435" w:name="Bookmark_I5WHY2K82D6NS50020000400"/>
      <w:bookmarkEnd w:id="435"/>
      <w:r>
        <w:rPr>
          <w:rFonts w:ascii="Arial" w:eastAsia="Arial" w:hAnsi="Arial" w:cs="Arial"/>
          <w:i/>
          <w:color w:val="000000"/>
          <w:sz w:val="20"/>
        </w:rPr>
        <w:t>Second</w:t>
      </w:r>
      <w:r>
        <w:rPr>
          <w:rFonts w:ascii="Arial" w:eastAsia="Arial" w:hAnsi="Arial" w:cs="Arial"/>
          <w:color w:val="000000"/>
          <w:sz w:val="20"/>
        </w:rPr>
        <w:t xml:space="preserve">, the State can "demonstrate that it ha[s] a comprehensive, effectively working plan for placing qualified persons with [physical] disabilities in less restrictive settings, and a waiting list that move[s] at a reasonable pace not controlled by the State's endeavors to keep its institutions fully populated," </w:t>
      </w:r>
      <w:r>
        <w:rPr>
          <w:rFonts w:ascii="Arial" w:eastAsia="Arial" w:hAnsi="Arial" w:cs="Arial"/>
          <w:i/>
          <w:color w:val="000000"/>
          <w:sz w:val="20"/>
        </w:rPr>
        <w:t>i.e.</w:t>
      </w:r>
      <w:r>
        <w:rPr>
          <w:rFonts w:ascii="Arial" w:eastAsia="Arial" w:hAnsi="Arial" w:cs="Arial"/>
          <w:color w:val="000000"/>
          <w:sz w:val="20"/>
        </w:rPr>
        <w:t>, an "</w:t>
      </w:r>
      <w:r>
        <w:rPr>
          <w:rFonts w:ascii="Arial" w:eastAsia="Arial" w:hAnsi="Arial" w:cs="Arial"/>
          <w:i/>
          <w:color w:val="000000"/>
          <w:sz w:val="20"/>
        </w:rPr>
        <w:t>Olmstead</w:t>
      </w:r>
      <w:r>
        <w:rPr>
          <w:rFonts w:ascii="Arial" w:eastAsia="Arial" w:hAnsi="Arial" w:cs="Arial"/>
          <w:color w:val="000000"/>
          <w:sz w:val="20"/>
        </w:rPr>
        <w:t xml:space="preserve"> Plan." </w:t>
      </w:r>
      <w:bookmarkStart w:id="436" w:name="Bookmark_I5WHY2K82D6NS40040000400"/>
      <w:bookmarkEnd w:id="436"/>
      <w:r>
        <w:rPr>
          <w:rFonts w:ascii="Arial" w:eastAsia="Arial" w:hAnsi="Arial" w:cs="Arial"/>
          <w:i/>
          <w:color w:val="000000"/>
          <w:sz w:val="20"/>
        </w:rPr>
        <w:t>Id.</w:t>
      </w:r>
      <w:r>
        <w:rPr>
          <w:rFonts w:ascii="Arial" w:eastAsia="Arial" w:hAnsi="Arial" w:cs="Arial"/>
          <w:color w:val="000000"/>
          <w:sz w:val="20"/>
        </w:rPr>
        <w:t xml:space="preserve"> at 605-06. </w:t>
      </w:r>
      <w:bookmarkStart w:id="437" w:name="Bookmark_I5WHY2K82D6NS50020000400_2"/>
      <w:bookmarkEnd w:id="437"/>
      <w:r>
        <w:rPr>
          <w:rFonts w:ascii="Arial" w:eastAsia="Arial" w:hAnsi="Arial" w:cs="Arial"/>
          <w:color w:val="000000"/>
          <w:sz w:val="20"/>
        </w:rPr>
        <w:t xml:space="preserve">Other courts have treated the plurality's approach as the starting point for analyzing the "fundamental alteration" defense. </w:t>
      </w:r>
      <w:bookmarkStart w:id="438" w:name="Bookmark_I5WHY2K82D6NS50010000400"/>
      <w:bookmarkEnd w:id="438"/>
      <w:r>
        <w:rPr>
          <w:rFonts w:ascii="Arial" w:eastAsia="Arial" w:hAnsi="Arial" w:cs="Arial"/>
          <w:i/>
          <w:color w:val="000000"/>
          <w:sz w:val="20"/>
        </w:rPr>
        <w:t>Steimel</w:t>
      </w:r>
      <w:r>
        <w:rPr>
          <w:rFonts w:ascii="Arial" w:eastAsia="Arial" w:hAnsi="Arial" w:cs="Arial"/>
          <w:color w:val="000000"/>
          <w:sz w:val="20"/>
        </w:rPr>
        <w:t xml:space="preserve">, 823 F.3d at 915; </w:t>
      </w:r>
      <w:bookmarkStart w:id="439" w:name="Bookmark_I5WHY2K82D6NS50030000400"/>
      <w:bookmarkEnd w:id="439"/>
      <w:r>
        <w:rPr>
          <w:rFonts w:ascii="Arial" w:eastAsia="Arial" w:hAnsi="Arial" w:cs="Arial"/>
          <w:i/>
          <w:color w:val="000000"/>
          <w:sz w:val="20"/>
        </w:rPr>
        <w:t>Townsend</w:t>
      </w:r>
      <w:r>
        <w:rPr>
          <w:rFonts w:ascii="Arial" w:eastAsia="Arial" w:hAnsi="Arial" w:cs="Arial"/>
          <w:color w:val="000000"/>
          <w:sz w:val="20"/>
        </w:rPr>
        <w:t>, 328 F.3d at 519 n.3.</w:t>
      </w:r>
    </w:p>
    <w:p w:rsidR="00E456CD" w:rsidRDefault="00000000">
      <w:pPr>
        <w:pStyle w:val="Normal3"/>
        <w:widowControl w:val="0"/>
        <w:spacing w:before="200" w:line="260" w:lineRule="atLeast"/>
        <w:jc w:val="both"/>
      </w:pPr>
      <w:bookmarkStart w:id="440" w:name="Bookmark_para_25_0"/>
      <w:bookmarkStart w:id="441" w:name="Bookmark_I5WHY2K828T4890010000400"/>
      <w:bookmarkEnd w:id="440"/>
      <w:bookmarkEnd w:id="441"/>
      <w:r>
        <w:rPr>
          <w:rFonts w:ascii="Arial" w:eastAsia="Arial" w:hAnsi="Arial" w:cs="Arial"/>
          <w:color w:val="000000"/>
          <w:sz w:val="20"/>
        </w:rPr>
        <w:t>We adopt the plurality's approach because in our view it makes good sense.</w:t>
      </w:r>
      <w:bookmarkStart w:id="442" w:name="Bookmark_LNHNREFclscc7_1"/>
      <w:bookmarkEnd w:id="442"/>
      <w:r>
        <w:rPr>
          <w:rFonts w:ascii="Arial" w:eastAsia="Arial" w:hAnsi="Arial" w:cs="Arial"/>
          <w:color w:val="000000"/>
          <w:sz w:val="20"/>
        </w:rPr>
        <w:t xml:space="preserve"> It effectively requires every State that cares for disabled individuals in institutions, notwithstanding those individuals wish to, and could, be treated in the community, to have a "comprehensive, effectively working plan" for transitioning the individuals to the community and a "waiting list [for transition to the community] that move[s] at a reasonable pace," </w:t>
      </w:r>
      <w:r>
        <w:rPr>
          <w:rFonts w:ascii="Arial" w:eastAsia="Arial" w:hAnsi="Arial" w:cs="Arial"/>
          <w:i/>
          <w:color w:val="000000"/>
          <w:sz w:val="20"/>
        </w:rPr>
        <w:t> [***16] i.e.</w:t>
      </w:r>
      <w:r>
        <w:rPr>
          <w:rFonts w:ascii="Arial" w:eastAsia="Arial" w:hAnsi="Arial" w:cs="Arial"/>
          <w:color w:val="000000"/>
          <w:sz w:val="20"/>
        </w:rPr>
        <w:t>, an adequate "</w:t>
      </w:r>
      <w:r>
        <w:rPr>
          <w:rFonts w:ascii="Arial" w:eastAsia="Arial" w:hAnsi="Arial" w:cs="Arial"/>
          <w:i/>
          <w:color w:val="000000"/>
          <w:sz w:val="20"/>
        </w:rPr>
        <w:t>Olmstead</w:t>
      </w:r>
      <w:r>
        <w:rPr>
          <w:rFonts w:ascii="Arial" w:eastAsia="Arial" w:hAnsi="Arial" w:cs="Arial"/>
          <w:color w:val="000000"/>
          <w:sz w:val="20"/>
        </w:rPr>
        <w:t xml:space="preserve"> Plan." </w:t>
      </w:r>
      <w:bookmarkStart w:id="443" w:name="Bookmark_I5WHY2K82D6NS50050000400"/>
      <w:bookmarkEnd w:id="443"/>
      <w:r>
        <w:rPr>
          <w:rFonts w:ascii="Arial" w:eastAsia="Arial" w:hAnsi="Arial" w:cs="Arial"/>
          <w:i/>
          <w:color w:val="000000"/>
          <w:sz w:val="20"/>
        </w:rPr>
        <w:t>Olmstead</w:t>
      </w:r>
      <w:r>
        <w:rPr>
          <w:rFonts w:ascii="Arial" w:eastAsia="Arial" w:hAnsi="Arial" w:cs="Arial"/>
          <w:color w:val="000000"/>
          <w:sz w:val="20"/>
        </w:rPr>
        <w:t xml:space="preserve">, 527 U.S. at 605-06. </w:t>
      </w:r>
      <w:bookmarkStart w:id="444" w:name="Bookmark_I5WHY2K828T4890030000400"/>
      <w:bookmarkEnd w:id="444"/>
      <w:r>
        <w:rPr>
          <w:rFonts w:ascii="Arial" w:eastAsia="Arial" w:hAnsi="Arial" w:cs="Arial"/>
          <w:color w:val="000000"/>
          <w:sz w:val="20"/>
        </w:rPr>
        <w:t>Accordingly, a State that demonstrates it has an adequate "</w:t>
      </w:r>
      <w:r>
        <w:rPr>
          <w:rFonts w:ascii="Arial" w:eastAsia="Arial" w:hAnsi="Arial" w:cs="Arial"/>
          <w:i/>
          <w:color w:val="000000"/>
          <w:sz w:val="20"/>
        </w:rPr>
        <w:t>Olmstead</w:t>
      </w:r>
      <w:r>
        <w:rPr>
          <w:rFonts w:ascii="Arial" w:eastAsia="Arial" w:hAnsi="Arial" w:cs="Arial"/>
          <w:color w:val="000000"/>
          <w:sz w:val="20"/>
        </w:rPr>
        <w:t xml:space="preserve"> Plan" in place meets </w:t>
      </w:r>
      <w:r>
        <w:rPr>
          <w:rFonts w:ascii="Arial" w:eastAsia="Arial" w:hAnsi="Arial" w:cs="Arial"/>
          <w:i/>
          <w:color w:val="000000"/>
          <w:sz w:val="20"/>
        </w:rPr>
        <w:t>Olmstead</w:t>
      </w:r>
      <w:r>
        <w:rPr>
          <w:rFonts w:ascii="Arial" w:eastAsia="Arial" w:hAnsi="Arial" w:cs="Arial"/>
          <w:color w:val="000000"/>
          <w:sz w:val="20"/>
        </w:rPr>
        <w:t xml:space="preserve">'s integration mandate. </w:t>
      </w:r>
      <w:bookmarkStart w:id="445" w:name="Bookmark_I5WHY2K828T4890030000400_2"/>
      <w:bookmarkEnd w:id="445"/>
      <w:r>
        <w:rPr>
          <w:rFonts w:ascii="Arial" w:eastAsia="Arial" w:hAnsi="Arial" w:cs="Arial"/>
          <w:color w:val="000000"/>
          <w:sz w:val="20"/>
        </w:rPr>
        <w:t xml:space="preserve">A State that cannot demonstrate it has such a plan in place, however, </w:t>
      </w:r>
      <w:r>
        <w:rPr>
          <w:rFonts w:ascii="Arial" w:eastAsia="Arial" w:hAnsi="Arial" w:cs="Arial"/>
          <w:i/>
          <w:color w:val="000000"/>
          <w:sz w:val="20"/>
        </w:rPr>
        <w:t>must</w:t>
      </w:r>
      <w:r>
        <w:rPr>
          <w:rFonts w:ascii="Arial" w:eastAsia="Arial" w:hAnsi="Arial" w:cs="Arial"/>
          <w:color w:val="000000"/>
          <w:sz w:val="20"/>
        </w:rPr>
        <w:t xml:space="preserve"> make every modification to its policies and procedures requested by an institutionalized disabled individual who wishes to, and could, be cared for in the community, </w:t>
      </w:r>
      <w:r>
        <w:rPr>
          <w:rFonts w:ascii="Arial" w:eastAsia="Arial" w:hAnsi="Arial" w:cs="Arial"/>
          <w:i/>
          <w:color w:val="000000"/>
          <w:sz w:val="20"/>
        </w:rPr>
        <w:t>unless</w:t>
      </w:r>
      <w:r>
        <w:rPr>
          <w:rFonts w:ascii="Arial" w:eastAsia="Arial" w:hAnsi="Arial" w:cs="Arial"/>
          <w:color w:val="000000"/>
          <w:sz w:val="20"/>
        </w:rPr>
        <w:t xml:space="preserve"> the modification would be so costly as to require an unreasonable transfer of the State's limited resources away from other disabled individuals. </w:t>
      </w:r>
      <w:bookmarkStart w:id="446" w:name="Bookmark_I5WHY2K828T4890020000400"/>
      <w:bookmarkEnd w:id="446"/>
      <w:r>
        <w:rPr>
          <w:rFonts w:ascii="Arial" w:eastAsia="Arial" w:hAnsi="Arial" w:cs="Arial"/>
          <w:i/>
          <w:color w:val="000000"/>
          <w:sz w:val="20"/>
        </w:rPr>
        <w:t>Id.</w:t>
      </w:r>
      <w:r>
        <w:rPr>
          <w:rFonts w:ascii="Arial" w:eastAsia="Arial" w:hAnsi="Arial" w:cs="Arial"/>
          <w:color w:val="000000"/>
          <w:sz w:val="20"/>
        </w:rPr>
        <w:t xml:space="preserve"> at 604.</w:t>
      </w:r>
    </w:p>
    <w:p w:rsidR="00E456CD" w:rsidRDefault="00000000">
      <w:pPr>
        <w:pStyle w:val="Normal3"/>
        <w:widowControl w:val="0"/>
        <w:spacing w:before="200" w:line="260" w:lineRule="atLeast"/>
        <w:jc w:val="both"/>
      </w:pPr>
      <w:bookmarkStart w:id="447" w:name="Bookmark_para_26_0"/>
      <w:bookmarkEnd w:id="447"/>
      <w:r>
        <w:rPr>
          <w:rFonts w:ascii="Arial" w:eastAsia="Arial" w:hAnsi="Arial" w:cs="Arial"/>
          <w:color w:val="000000"/>
          <w:sz w:val="20"/>
        </w:rPr>
        <w:t xml:space="preserve"> [*1079]  </w:t>
      </w:r>
      <w:bookmarkStart w:id="448" w:name="Bookmark_I5WHY2K828T4890050000400"/>
      <w:bookmarkEnd w:id="448"/>
      <w:r>
        <w:rPr>
          <w:rFonts w:ascii="Arial" w:eastAsia="Arial" w:hAnsi="Arial" w:cs="Arial"/>
          <w:color w:val="000000"/>
          <w:sz w:val="20"/>
        </w:rPr>
        <w:t xml:space="preserve"> [**164]  The district court's fundamental error was looking for the existence </w:t>
      </w:r>
      <w:r>
        <w:rPr>
          <w:rFonts w:ascii="Arial" w:eastAsia="Arial" w:hAnsi="Arial" w:cs="Arial"/>
          <w:i/>
          <w:color w:val="000000"/>
          <w:sz w:val="20"/>
        </w:rPr>
        <w:t>vel non</w:t>
      </w:r>
      <w:r>
        <w:rPr>
          <w:rFonts w:ascii="Arial" w:eastAsia="Arial" w:hAnsi="Arial" w:cs="Arial"/>
          <w:color w:val="000000"/>
          <w:sz w:val="20"/>
        </w:rPr>
        <w:t xml:space="preserve"> of a "concrete, systemic deficiency" in the District's transition services. </w:t>
      </w:r>
      <w:bookmarkStart w:id="449" w:name="Bookmark_I5WHY2K828T48B0020000400"/>
      <w:bookmarkEnd w:id="449"/>
      <w:r>
        <w:rPr>
          <w:rFonts w:ascii="Arial" w:eastAsia="Arial" w:hAnsi="Arial" w:cs="Arial"/>
          <w:color w:val="000000"/>
          <w:sz w:val="20"/>
        </w:rPr>
        <w:t xml:space="preserve">Having determined that Plaintiffs bore the burden of demonstrating the existence of a concrete, systemic deficiency, the district court considered four potential systemic deficiencies at trial. </w:t>
      </w:r>
      <w:bookmarkStart w:id="450" w:name="Bookmark_I5WHY2K828T4890040000400"/>
      <w:bookmarkEnd w:id="450"/>
      <w:r>
        <w:rPr>
          <w:rFonts w:ascii="Arial" w:eastAsia="Arial" w:hAnsi="Arial" w:cs="Arial"/>
          <w:i/>
          <w:color w:val="000000"/>
          <w:sz w:val="20"/>
        </w:rPr>
        <w:t>Brown</w:t>
      </w:r>
      <w:r>
        <w:rPr>
          <w:rFonts w:ascii="Arial" w:eastAsia="Arial" w:hAnsi="Arial" w:cs="Arial"/>
          <w:color w:val="000000"/>
          <w:sz w:val="20"/>
        </w:rPr>
        <w:t xml:space="preserve">, 322 F.R.D. at 89-92. </w:t>
      </w:r>
      <w:bookmarkStart w:id="451" w:name="Bookmark_I5WHY2K828T48B0020000400_2"/>
      <w:bookmarkEnd w:id="451"/>
      <w:r>
        <w:rPr>
          <w:rFonts w:ascii="Arial" w:eastAsia="Arial" w:hAnsi="Arial" w:cs="Arial"/>
          <w:color w:val="000000"/>
          <w:sz w:val="20"/>
        </w:rPr>
        <w:t xml:space="preserve">At the end of the trial, the district court concluded that Plaintiffs had not proved any of the four and therefore entered judgment against them. </w:t>
      </w:r>
      <w:bookmarkStart w:id="452" w:name="Bookmark_I5WHY2K828T48B0010000400"/>
      <w:bookmarkEnd w:id="452"/>
      <w:r>
        <w:rPr>
          <w:rFonts w:ascii="Arial" w:eastAsia="Arial" w:hAnsi="Arial" w:cs="Arial"/>
          <w:i/>
          <w:color w:val="000000"/>
          <w:sz w:val="20"/>
        </w:rPr>
        <w:t>Id.</w:t>
      </w:r>
      <w:r>
        <w:rPr>
          <w:rFonts w:ascii="Arial" w:eastAsia="Arial" w:hAnsi="Arial" w:cs="Arial"/>
          <w:color w:val="000000"/>
          <w:sz w:val="20"/>
        </w:rPr>
        <w:t xml:space="preserve"> at 96.</w:t>
      </w:r>
      <w:r>
        <w:rPr>
          <w:rFonts w:ascii="Arial" w:eastAsia="Arial" w:hAnsi="Arial" w:cs="Arial"/>
          <w:vertAlign w:val="superscript"/>
        </w:rPr>
        <w:footnoteReference w:customMarkFollows="1" w:id="46"/>
        <w:t>7</w:t>
      </w:r>
      <w:r>
        <w:rPr>
          <w:rFonts w:ascii="Arial" w:eastAsia="Arial" w:hAnsi="Arial" w:cs="Arial"/>
          <w:color w:val="000000"/>
          <w:sz w:val="20"/>
        </w:rPr>
        <w:t xml:space="preserve"> The district court's formulation led it to require Plaintiffs to meet a burden they should not have been made to shoulder.</w:t>
      </w:r>
    </w:p>
    <w:p w:rsidR="00E456CD" w:rsidRDefault="00000000">
      <w:pPr>
        <w:pStyle w:val="Normal3"/>
        <w:widowControl w:val="0"/>
        <w:spacing w:before="240" w:line="260" w:lineRule="atLeast"/>
      </w:pPr>
      <w:r>
        <w:br/>
      </w:r>
      <w:r>
        <w:rPr>
          <w:rFonts w:ascii="Arial" w:eastAsia="Arial" w:hAnsi="Arial" w:cs="Arial"/>
          <w:b/>
          <w:color w:val="000000"/>
          <w:sz w:val="20"/>
        </w:rPr>
        <w:t xml:space="preserve">B. </w:t>
      </w:r>
      <w:r>
        <w:rPr>
          <w:rFonts w:ascii="Arial" w:eastAsia="Arial" w:hAnsi="Arial" w:cs="Arial"/>
          <w:b/>
          <w:smallCaps/>
          <w:color w:val="000000"/>
          <w:sz w:val="20"/>
        </w:rPr>
        <w:t>No Class</w:t>
      </w:r>
      <w:r>
        <w:rPr>
          <w:rFonts w:ascii="Arial" w:eastAsia="Arial" w:hAnsi="Arial" w:cs="Arial"/>
          <w:smallCaps/>
          <w:color w:val="000000"/>
          <w:sz w:val="20"/>
        </w:rPr>
        <w:t> [***17] </w:t>
      </w:r>
      <w:r>
        <w:rPr>
          <w:rFonts w:ascii="Arial" w:eastAsia="Arial" w:hAnsi="Arial" w:cs="Arial"/>
          <w:b/>
          <w:smallCaps/>
          <w:color w:val="000000"/>
          <w:sz w:val="20"/>
        </w:rPr>
        <w:t xml:space="preserve"> Certification Issue</w:t>
      </w:r>
    </w:p>
    <w:p w:rsidR="00E456CD" w:rsidRDefault="00000000">
      <w:pPr>
        <w:pStyle w:val="Normal3"/>
        <w:widowControl w:val="0"/>
        <w:spacing w:before="200" w:line="260" w:lineRule="atLeast"/>
        <w:jc w:val="both"/>
      </w:pPr>
      <w:bookmarkStart w:id="465" w:name="Bookmark_para_27_0"/>
      <w:bookmarkStart w:id="466" w:name="Bookmark_LNHNREFclscc8_1"/>
      <w:bookmarkStart w:id="467" w:name="Bookmark_I5WHY2K92N1PNS0020000400"/>
      <w:bookmarkEnd w:id="465"/>
      <w:bookmarkEnd w:id="466"/>
      <w:bookmarkEnd w:id="467"/>
      <w:r>
        <w:rPr>
          <w:rFonts w:ascii="Arial" w:eastAsia="Arial" w:hAnsi="Arial" w:cs="Arial"/>
          <w:color w:val="000000"/>
          <w:sz w:val="20"/>
        </w:rPr>
        <w:t xml:space="preserve">A class can be modified or decertified at any point before final judgment is entered. Fed. R. Civ. P. 23(c)(1)(C). Although the district court did not decertify the class, it held that Plaintiffs failed to prove their injury "can be redressed by a single injunction," as required by Fed. R. Civ. P. 23(b)(2), </w:t>
      </w:r>
      <w:bookmarkStart w:id="468" w:name="Bookmark_I5WHY2K92N1PNS0010000400"/>
      <w:bookmarkEnd w:id="468"/>
      <w:r>
        <w:rPr>
          <w:rFonts w:ascii="Arial" w:eastAsia="Arial" w:hAnsi="Arial" w:cs="Arial"/>
          <w:i/>
          <w:color w:val="000000"/>
          <w:sz w:val="20"/>
        </w:rPr>
        <w:t>Brown</w:t>
      </w:r>
      <w:r>
        <w:rPr>
          <w:rFonts w:ascii="Arial" w:eastAsia="Arial" w:hAnsi="Arial" w:cs="Arial"/>
          <w:color w:val="000000"/>
          <w:sz w:val="20"/>
        </w:rPr>
        <w:t xml:space="preserve">, 322 F.R.D. at 87; </w:t>
      </w:r>
      <w:r>
        <w:rPr>
          <w:rFonts w:ascii="Arial" w:eastAsia="Arial" w:hAnsi="Arial" w:cs="Arial"/>
          <w:i/>
          <w:color w:val="000000"/>
          <w:sz w:val="20"/>
        </w:rPr>
        <w:t xml:space="preserve">see also </w:t>
      </w:r>
      <w:bookmarkStart w:id="469" w:name="Bookmark_I5WHY2K92N1PNS0030000400"/>
      <w:bookmarkEnd w:id="469"/>
      <w:r>
        <w:rPr>
          <w:rFonts w:ascii="Arial" w:eastAsia="Arial" w:hAnsi="Arial" w:cs="Arial"/>
          <w:i/>
          <w:color w:val="000000"/>
          <w:sz w:val="20"/>
        </w:rPr>
        <w:t>id.</w:t>
      </w:r>
      <w:r>
        <w:rPr>
          <w:rFonts w:ascii="Arial" w:eastAsia="Arial" w:hAnsi="Arial" w:cs="Arial"/>
          <w:color w:val="000000"/>
          <w:sz w:val="20"/>
        </w:rPr>
        <w:t xml:space="preserve"> at 92-96, and suggested Plaintiffs may not be able to satisfy Rule 23(a)(2), </w:t>
      </w:r>
      <w:bookmarkStart w:id="470" w:name="Bookmark_I5WHY2K92N1PNS0050000400"/>
      <w:bookmarkEnd w:id="470"/>
      <w:r>
        <w:rPr>
          <w:rFonts w:ascii="Arial" w:eastAsia="Arial" w:hAnsi="Arial" w:cs="Arial"/>
          <w:i/>
          <w:color w:val="000000"/>
          <w:sz w:val="20"/>
        </w:rPr>
        <w:t>Brown</w:t>
      </w:r>
      <w:r>
        <w:rPr>
          <w:rFonts w:ascii="Arial" w:eastAsia="Arial" w:hAnsi="Arial" w:cs="Arial"/>
          <w:color w:val="000000"/>
          <w:sz w:val="20"/>
        </w:rPr>
        <w:t>, 322 F.R.D. at 87-89. At least at this stage, however, we accept that this litigation is a proper class action.</w:t>
      </w:r>
    </w:p>
    <w:p w:rsidR="00E456CD" w:rsidRDefault="00000000">
      <w:pPr>
        <w:pStyle w:val="Normal3"/>
        <w:widowControl w:val="0"/>
        <w:spacing w:before="200" w:line="260" w:lineRule="atLeast"/>
        <w:jc w:val="both"/>
      </w:pPr>
      <w:bookmarkStart w:id="471" w:name="Bookmark_para_28_0"/>
      <w:bookmarkStart w:id="472" w:name="Bookmark_LNHNREFclscc9_0"/>
      <w:bookmarkEnd w:id="471"/>
      <w:bookmarkEnd w:id="472"/>
      <w:r>
        <w:rPr>
          <w:rFonts w:ascii="Arial" w:eastAsia="Arial" w:hAnsi="Arial" w:cs="Arial"/>
          <w:color w:val="000000"/>
          <w:sz w:val="20"/>
        </w:rPr>
        <w:t>Plaintiffs who proceed as a class must satisfy the requirements of Federal Rule of Civil Procedure 23. Under Rule 23(a):</w:t>
      </w:r>
    </w:p>
    <w:p w:rsidR="00E456CD" w:rsidRDefault="00000000">
      <w:pPr>
        <w:pStyle w:val="Normal3"/>
        <w:widowControl w:val="0"/>
        <w:spacing w:line="260" w:lineRule="atLeast"/>
        <w:ind w:left="400"/>
        <w:jc w:val="both"/>
      </w:pPr>
      <w:bookmarkStart w:id="473" w:name="Bookmark_para_29_0"/>
      <w:bookmarkEnd w:id="473"/>
      <w:r>
        <w:rPr>
          <w:rFonts w:ascii="Arial" w:eastAsia="Arial" w:hAnsi="Arial" w:cs="Arial"/>
          <w:color w:val="000000"/>
          <w:sz w:val="20"/>
        </w:rPr>
        <w:t>One or more members of a class may sue or be sued as representative parties on behalf of all members only if:</w:t>
      </w:r>
    </w:p>
    <w:p w:rsidR="00E456CD" w:rsidRDefault="00000000">
      <w:pPr>
        <w:pStyle w:val="Normal3"/>
        <w:widowControl w:val="0"/>
        <w:spacing w:line="260" w:lineRule="atLeast"/>
        <w:ind w:left="800"/>
        <w:jc w:val="both"/>
      </w:pPr>
      <w:bookmarkStart w:id="474" w:name="Bookmark_para_30_0"/>
      <w:bookmarkEnd w:id="474"/>
      <w:r>
        <w:rPr>
          <w:rFonts w:ascii="Arial" w:eastAsia="Arial" w:hAnsi="Arial" w:cs="Arial"/>
          <w:color w:val="000000"/>
          <w:sz w:val="20"/>
        </w:rPr>
        <w:t>(1) the class is so numerous that joinder of all members is impracticable;</w:t>
      </w:r>
    </w:p>
    <w:p w:rsidR="00E456CD" w:rsidRDefault="00000000">
      <w:pPr>
        <w:pStyle w:val="Normal3"/>
        <w:widowControl w:val="0"/>
        <w:spacing w:line="260" w:lineRule="atLeast"/>
        <w:ind w:left="800"/>
        <w:jc w:val="both"/>
      </w:pPr>
      <w:bookmarkStart w:id="475" w:name="Bookmark_para_31_0"/>
      <w:bookmarkEnd w:id="475"/>
      <w:r>
        <w:rPr>
          <w:rFonts w:ascii="Arial" w:eastAsia="Arial" w:hAnsi="Arial" w:cs="Arial"/>
          <w:color w:val="000000"/>
          <w:sz w:val="20"/>
        </w:rPr>
        <w:t>(2) there are questions of law or fact common to the class;</w:t>
      </w:r>
    </w:p>
    <w:p w:rsidR="00E456CD" w:rsidRDefault="00000000">
      <w:pPr>
        <w:pStyle w:val="Normal3"/>
        <w:widowControl w:val="0"/>
        <w:spacing w:line="260" w:lineRule="atLeast"/>
        <w:ind w:left="800"/>
        <w:jc w:val="both"/>
      </w:pPr>
      <w:bookmarkStart w:id="476" w:name="Bookmark_para_32_0"/>
      <w:bookmarkEnd w:id="476"/>
      <w:r>
        <w:rPr>
          <w:rFonts w:ascii="Arial" w:eastAsia="Arial" w:hAnsi="Arial" w:cs="Arial"/>
          <w:color w:val="000000"/>
          <w:sz w:val="20"/>
        </w:rPr>
        <w:t>(3) the claims or defenses of the representative parties are typical of the claims or defenses of the class; and</w:t>
      </w:r>
    </w:p>
    <w:p w:rsidR="00E456CD" w:rsidRDefault="00000000">
      <w:pPr>
        <w:pStyle w:val="Normal3"/>
        <w:widowControl w:val="0"/>
        <w:spacing w:line="260" w:lineRule="atLeast"/>
        <w:ind w:left="800"/>
        <w:jc w:val="both"/>
      </w:pPr>
      <w:bookmarkStart w:id="477" w:name="Bookmark_para_33_0"/>
      <w:bookmarkEnd w:id="477"/>
      <w:r>
        <w:rPr>
          <w:rFonts w:ascii="Arial" w:eastAsia="Arial" w:hAnsi="Arial" w:cs="Arial"/>
          <w:color w:val="000000"/>
          <w:sz w:val="20"/>
        </w:rPr>
        <w:t>(4) the representative parties will fairly and adequately protect the interests of the class.</w:t>
      </w:r>
    </w:p>
    <w:p w:rsidR="00E456CD" w:rsidRDefault="00000000">
      <w:pPr>
        <w:pStyle w:val="Normal3"/>
        <w:widowControl w:val="0"/>
        <w:spacing w:before="200" w:line="260" w:lineRule="atLeast"/>
        <w:jc w:val="both"/>
      </w:pPr>
      <w:r>
        <w:rPr>
          <w:rFonts w:ascii="Arial" w:eastAsia="Arial" w:hAnsi="Arial" w:cs="Arial"/>
          <w:color w:val="000000"/>
          <w:sz w:val="20"/>
        </w:rPr>
        <w:t xml:space="preserve">Fed. R. Civ. P. 23(a). Additionally, the proposed class action must fall into one of the categories listed in Rule 23(b). Fed. R. Civ. P. 23(b). Relevant here is Rule 23(b)(2), which applies if "the party opposing the class has acted or refused to act on grounds that apply generally to the class, so that final [***18]  injunctive relief or corresponding declaratory relief is appropriate respecting the class as a whole." </w:t>
      </w:r>
      <w:r>
        <w:rPr>
          <w:rFonts w:ascii="Arial" w:eastAsia="Arial" w:hAnsi="Arial" w:cs="Arial"/>
          <w:i/>
          <w:color w:val="000000"/>
          <w:sz w:val="20"/>
        </w:rPr>
        <w:t>Id.</w:t>
      </w:r>
    </w:p>
    <w:p w:rsidR="00E456CD" w:rsidRDefault="00000000">
      <w:pPr>
        <w:pStyle w:val="Normal3"/>
        <w:widowControl w:val="0"/>
        <w:spacing w:before="240" w:line="260" w:lineRule="atLeast"/>
      </w:pPr>
      <w:r>
        <w:br/>
      </w:r>
      <w:r>
        <w:rPr>
          <w:rFonts w:ascii="Arial" w:eastAsia="Arial" w:hAnsi="Arial" w:cs="Arial"/>
          <w:b/>
          <w:color w:val="000000"/>
          <w:sz w:val="20"/>
        </w:rPr>
        <w:t>1. Rule 23(a)(2)</w:t>
      </w:r>
    </w:p>
    <w:p w:rsidR="00E456CD" w:rsidRDefault="00000000">
      <w:pPr>
        <w:pStyle w:val="Normal3"/>
        <w:widowControl w:val="0"/>
        <w:spacing w:before="200" w:line="260" w:lineRule="atLeast"/>
        <w:jc w:val="both"/>
      </w:pPr>
      <w:bookmarkStart w:id="478" w:name="Bookmark_para_34"/>
      <w:bookmarkStart w:id="479" w:name="Bookmark_I5WHY2K92SF7M40030000400"/>
      <w:bookmarkStart w:id="480" w:name="Bookmark_I5WHY2K92SF7M40050000400"/>
      <w:bookmarkEnd w:id="478"/>
      <w:bookmarkEnd w:id="479"/>
      <w:bookmarkEnd w:id="480"/>
      <w:r>
        <w:rPr>
          <w:rFonts w:ascii="Arial" w:eastAsia="Arial" w:hAnsi="Arial" w:cs="Arial"/>
          <w:color w:val="000000"/>
          <w:sz w:val="20"/>
        </w:rPr>
        <w:t xml:space="preserve">The Supreme Court examined the Rule 23(a)(2) standard, also known as the "commonality" requirement, in </w:t>
      </w:r>
      <w:bookmarkStart w:id="481" w:name="Bookmark_I5WHY2K92SF7M40020000400"/>
      <w:bookmarkEnd w:id="481"/>
      <w:r>
        <w:rPr>
          <w:rFonts w:ascii="Arial" w:eastAsia="Arial" w:hAnsi="Arial" w:cs="Arial"/>
          <w:i/>
          <w:color w:val="000000"/>
          <w:sz w:val="20"/>
        </w:rPr>
        <w:t>Wal-Mart Stores, Inc. v. Dukes</w:t>
      </w:r>
      <w:r>
        <w:rPr>
          <w:rFonts w:ascii="Arial" w:eastAsia="Arial" w:hAnsi="Arial" w:cs="Arial"/>
          <w:color w:val="000000"/>
          <w:sz w:val="20"/>
        </w:rPr>
        <w:t xml:space="preserve">, 564 U.S. 338, 131 S. Ct. 2541, 180 L. Ed. 2d 374 (2011). </w:t>
      </w:r>
      <w:bookmarkStart w:id="482" w:name="Bookmark_I5WHY2K92N1PNT0020000400"/>
      <w:bookmarkEnd w:id="482"/>
      <w:r>
        <w:rPr>
          <w:rFonts w:ascii="Arial" w:eastAsia="Arial" w:hAnsi="Arial" w:cs="Arial"/>
          <w:color w:val="000000"/>
          <w:sz w:val="20"/>
        </w:rPr>
        <w:t xml:space="preserve">There, three named plaintiffs sought to represent a class of 1.5 million female Wal-Mart employees who sought to sue Wal-Mart under Title VII for sex discrimination in pay and promotion across the company's more than 3,000 stores. </w:t>
      </w:r>
      <w:bookmarkStart w:id="483" w:name="Bookmark_I5WHY2K92SF7M40040000400"/>
      <w:bookmarkEnd w:id="483"/>
      <w:r>
        <w:rPr>
          <w:rFonts w:ascii="Arial" w:eastAsia="Arial" w:hAnsi="Arial" w:cs="Arial"/>
          <w:i/>
          <w:color w:val="000000"/>
          <w:sz w:val="20"/>
        </w:rPr>
        <w:t>Id.</w:t>
      </w:r>
      <w:r>
        <w:rPr>
          <w:rFonts w:ascii="Arial" w:eastAsia="Arial" w:hAnsi="Arial" w:cs="Arial"/>
          <w:color w:val="000000"/>
          <w:sz w:val="20"/>
        </w:rPr>
        <w:t xml:space="preserve"> at 342-43. </w:t>
      </w:r>
      <w:bookmarkStart w:id="484" w:name="Bookmark_I5WHY2K92N1PNT0020000400_2"/>
      <w:bookmarkStart w:id="485" w:name="Bookmark_I5WHY2K92N1PNT0040000400"/>
      <w:bookmarkEnd w:id="484"/>
      <w:bookmarkEnd w:id="485"/>
      <w:r>
        <w:rPr>
          <w:rFonts w:ascii="Arial" w:eastAsia="Arial" w:hAnsi="Arial" w:cs="Arial"/>
          <w:color w:val="000000"/>
          <w:sz w:val="20"/>
        </w:rPr>
        <w:t xml:space="preserve">The district court certified a class of "[a]ll women employed at any Wal-Mart domestic retail store at any time since December 26, 1998, who have been or may be subjected to Wal-Mart's challenged pay and management track promotions policies and practices." </w:t>
      </w:r>
      <w:bookmarkStart w:id="486" w:name="Bookmark_I5WHY2K92N1PNT0010000400"/>
      <w:bookmarkEnd w:id="486"/>
      <w:r>
        <w:rPr>
          <w:rFonts w:ascii="Arial" w:eastAsia="Arial" w:hAnsi="Arial" w:cs="Arial"/>
          <w:i/>
          <w:color w:val="000000"/>
          <w:sz w:val="20"/>
        </w:rPr>
        <w:t>Id.</w:t>
      </w:r>
      <w:r>
        <w:rPr>
          <w:rFonts w:ascii="Arial" w:eastAsia="Arial" w:hAnsi="Arial" w:cs="Arial"/>
          <w:color w:val="000000"/>
          <w:sz w:val="20"/>
        </w:rPr>
        <w:t xml:space="preserve"> at 346. </w:t>
      </w:r>
      <w:bookmarkStart w:id="487" w:name="Bookmark_I5WHY2K92N1PNT0040000400_2"/>
      <w:bookmarkEnd w:id="487"/>
      <w:r>
        <w:rPr>
          <w:rFonts w:ascii="Arial" w:eastAsia="Arial" w:hAnsi="Arial" w:cs="Arial"/>
          <w:color w:val="000000"/>
          <w:sz w:val="20"/>
        </w:rPr>
        <w:t xml:space="preserve">The Supreme Court concluded that the class  [*1080]   [**165]  did not satisfy Rule 23(a)(2). </w:t>
      </w:r>
      <w:bookmarkStart w:id="488" w:name="Bookmark_I5WHY2K928T48D0010000400"/>
      <w:bookmarkStart w:id="489" w:name="Bookmark_I5WHY2K92N1PNT0030000400"/>
      <w:bookmarkEnd w:id="488"/>
      <w:bookmarkEnd w:id="489"/>
      <w:r>
        <w:rPr>
          <w:rFonts w:ascii="Arial" w:eastAsia="Arial" w:hAnsi="Arial" w:cs="Arial"/>
          <w:i/>
          <w:color w:val="000000"/>
          <w:sz w:val="20"/>
        </w:rPr>
        <w:t>Id.</w:t>
      </w:r>
      <w:r>
        <w:rPr>
          <w:rFonts w:ascii="Arial" w:eastAsia="Arial" w:hAnsi="Arial" w:cs="Arial"/>
          <w:color w:val="000000"/>
          <w:sz w:val="20"/>
        </w:rPr>
        <w:t xml:space="preserve"> at 349-60. </w:t>
      </w:r>
      <w:bookmarkStart w:id="490" w:name="Bookmark_I5WHY2K928T48D0010000400_2"/>
      <w:bookmarkStart w:id="491" w:name="Bookmark_I5WHY2K928T48D0050000400"/>
      <w:bookmarkStart w:id="492" w:name="Bookmark_LNHNREFclscc10_0"/>
      <w:bookmarkEnd w:id="490"/>
      <w:bookmarkEnd w:id="491"/>
      <w:bookmarkEnd w:id="492"/>
      <w:r>
        <w:rPr>
          <w:rFonts w:ascii="Arial" w:eastAsia="Arial" w:hAnsi="Arial" w:cs="Arial"/>
          <w:color w:val="000000"/>
          <w:sz w:val="20"/>
        </w:rPr>
        <w:t xml:space="preserve">Although resolution of each plaintiff's claim turned on a common question—was her gender the reason she was paid less and/or not promoted?, </w:t>
      </w:r>
      <w:bookmarkStart w:id="493" w:name="Bookmark_I5WHY2K92N1PNT0050000400"/>
      <w:bookmarkEnd w:id="493"/>
      <w:r>
        <w:rPr>
          <w:rFonts w:ascii="Arial" w:eastAsia="Arial" w:hAnsi="Arial" w:cs="Arial"/>
          <w:i/>
          <w:color w:val="000000"/>
          <w:sz w:val="20"/>
        </w:rPr>
        <w:t>id.</w:t>
      </w:r>
      <w:r>
        <w:rPr>
          <w:rFonts w:ascii="Arial" w:eastAsia="Arial" w:hAnsi="Arial" w:cs="Arial"/>
          <w:color w:val="000000"/>
          <w:sz w:val="20"/>
        </w:rPr>
        <w:t xml:space="preserve"> at 343-45—"[w]hat matters to class certification . . . is not the raising of common 'questions,'" </w:t>
      </w:r>
      <w:bookmarkStart w:id="494" w:name="Bookmark_I5WHY2K928T48D0020000400"/>
      <w:bookmarkEnd w:id="494"/>
      <w:r>
        <w:rPr>
          <w:rFonts w:ascii="Arial" w:eastAsia="Arial" w:hAnsi="Arial" w:cs="Arial"/>
          <w:i/>
          <w:color w:val="000000"/>
          <w:sz w:val="20"/>
        </w:rPr>
        <w:t>id.</w:t>
      </w:r>
      <w:r>
        <w:rPr>
          <w:rFonts w:ascii="Arial" w:eastAsia="Arial" w:hAnsi="Arial" w:cs="Arial"/>
          <w:color w:val="000000"/>
          <w:sz w:val="20"/>
        </w:rPr>
        <w:t xml:space="preserve"> at 350 (second alteration in original). </w:t>
      </w:r>
      <w:bookmarkStart w:id="495" w:name="Bookmark_I5WHY2K928T48D0050000400_2"/>
      <w:bookmarkEnd w:id="495"/>
      <w:r>
        <w:rPr>
          <w:rFonts w:ascii="Arial" w:eastAsia="Arial" w:hAnsi="Arial" w:cs="Arial"/>
          <w:color w:val="000000"/>
          <w:sz w:val="20"/>
        </w:rPr>
        <w:t xml:space="preserve">What matters to class certification, the Court said, is "the capacity of a classwide proceeding to generate common </w:t>
      </w:r>
      <w:r>
        <w:rPr>
          <w:rFonts w:ascii="Arial" w:eastAsia="Arial" w:hAnsi="Arial" w:cs="Arial"/>
          <w:i/>
          <w:color w:val="000000"/>
          <w:sz w:val="20"/>
        </w:rPr>
        <w:t>answers</w:t>
      </w:r>
      <w:r>
        <w:rPr>
          <w:rFonts w:ascii="Arial" w:eastAsia="Arial" w:hAnsi="Arial" w:cs="Arial"/>
          <w:color w:val="000000"/>
          <w:sz w:val="20"/>
        </w:rPr>
        <w:t xml:space="preserve"> apt to drive the resolution of the litigation." </w:t>
      </w:r>
      <w:r>
        <w:rPr>
          <w:rFonts w:ascii="Arial" w:eastAsia="Arial" w:hAnsi="Arial" w:cs="Arial"/>
          <w:i/>
          <w:color w:val="000000"/>
          <w:sz w:val="20"/>
        </w:rPr>
        <w:t>Id.</w:t>
      </w:r>
      <w:r>
        <w:rPr>
          <w:rFonts w:ascii="Arial" w:eastAsia="Arial" w:hAnsi="Arial" w:cs="Arial"/>
          <w:color w:val="000000"/>
          <w:sz w:val="20"/>
        </w:rPr>
        <w:t xml:space="preserve"> "That common [***19]  contention, moreover, must be of such a nature that it is capable of classwide resolution—which means that determination of its truth or falsity will resolve an issue that is central to the validity of each one of the claims in one stroke." </w:t>
      </w:r>
      <w:r>
        <w:rPr>
          <w:rFonts w:ascii="Arial" w:eastAsia="Arial" w:hAnsi="Arial" w:cs="Arial"/>
          <w:i/>
          <w:color w:val="000000"/>
          <w:sz w:val="20"/>
        </w:rPr>
        <w:t>Id.</w:t>
      </w:r>
      <w:r>
        <w:rPr>
          <w:rFonts w:ascii="Arial" w:eastAsia="Arial" w:hAnsi="Arial" w:cs="Arial"/>
          <w:color w:val="000000"/>
          <w:sz w:val="20"/>
        </w:rPr>
        <w:t xml:space="preserve"> In other words, the Court said, the class must show that its "theory can be proved on a classwide basis." </w:t>
      </w:r>
      <w:bookmarkStart w:id="496" w:name="Bookmark_I5WHY2K928T48D0040000400"/>
      <w:bookmarkEnd w:id="496"/>
      <w:r>
        <w:rPr>
          <w:rFonts w:ascii="Arial" w:eastAsia="Arial" w:hAnsi="Arial" w:cs="Arial"/>
          <w:i/>
          <w:color w:val="000000"/>
          <w:sz w:val="20"/>
        </w:rPr>
        <w:t>Id.</w:t>
      </w:r>
      <w:r>
        <w:rPr>
          <w:rFonts w:ascii="Arial" w:eastAsia="Arial" w:hAnsi="Arial" w:cs="Arial"/>
          <w:color w:val="000000"/>
          <w:sz w:val="20"/>
        </w:rPr>
        <w:t xml:space="preserve"> at 356.</w:t>
      </w:r>
    </w:p>
    <w:p w:rsidR="00E456CD" w:rsidRDefault="00000000">
      <w:pPr>
        <w:pStyle w:val="Normal3"/>
        <w:widowControl w:val="0"/>
        <w:spacing w:before="200" w:line="260" w:lineRule="atLeast"/>
        <w:jc w:val="both"/>
      </w:pPr>
      <w:bookmarkStart w:id="497" w:name="Bookmark_para_35"/>
      <w:bookmarkStart w:id="498" w:name="Bookmark_I5WHY2K92SF7M60020000400"/>
      <w:bookmarkEnd w:id="497"/>
      <w:bookmarkEnd w:id="498"/>
      <w:r>
        <w:rPr>
          <w:rFonts w:ascii="Arial" w:eastAsia="Arial" w:hAnsi="Arial" w:cs="Arial"/>
          <w:color w:val="000000"/>
          <w:sz w:val="20"/>
        </w:rPr>
        <w:t xml:space="preserve">The problem with the </w:t>
      </w:r>
      <w:r>
        <w:rPr>
          <w:rFonts w:ascii="Arial" w:eastAsia="Arial" w:hAnsi="Arial" w:cs="Arial"/>
          <w:i/>
          <w:color w:val="000000"/>
          <w:sz w:val="20"/>
        </w:rPr>
        <w:t>Wal-Mart</w:t>
      </w:r>
      <w:r>
        <w:rPr>
          <w:rFonts w:ascii="Arial" w:eastAsia="Arial" w:hAnsi="Arial" w:cs="Arial"/>
          <w:color w:val="000000"/>
          <w:sz w:val="20"/>
        </w:rPr>
        <w:t xml:space="preserve"> class action, then, was that there was no common </w:t>
      </w:r>
      <w:r>
        <w:rPr>
          <w:rFonts w:ascii="Arial" w:eastAsia="Arial" w:hAnsi="Arial" w:cs="Arial"/>
          <w:i/>
          <w:color w:val="000000"/>
          <w:sz w:val="20"/>
        </w:rPr>
        <w:t>proof</w:t>
      </w:r>
      <w:r>
        <w:rPr>
          <w:rFonts w:ascii="Arial" w:eastAsia="Arial" w:hAnsi="Arial" w:cs="Arial"/>
          <w:color w:val="000000"/>
          <w:sz w:val="20"/>
        </w:rPr>
        <w:t xml:space="preserve"> leading to a common </w:t>
      </w:r>
      <w:r>
        <w:rPr>
          <w:rFonts w:ascii="Arial" w:eastAsia="Arial" w:hAnsi="Arial" w:cs="Arial"/>
          <w:i/>
          <w:color w:val="000000"/>
          <w:sz w:val="20"/>
        </w:rPr>
        <w:t>answer</w:t>
      </w:r>
      <w:r>
        <w:rPr>
          <w:rFonts w:ascii="Arial" w:eastAsia="Arial" w:hAnsi="Arial" w:cs="Arial"/>
          <w:color w:val="000000"/>
          <w:sz w:val="20"/>
        </w:rPr>
        <w:t xml:space="preserve"> to the common </w:t>
      </w:r>
      <w:r>
        <w:rPr>
          <w:rFonts w:ascii="Arial" w:eastAsia="Arial" w:hAnsi="Arial" w:cs="Arial"/>
          <w:i/>
          <w:color w:val="000000"/>
          <w:sz w:val="20"/>
        </w:rPr>
        <w:t>question at the heart of each plaintiff's claim</w:t>
      </w:r>
      <w:r>
        <w:rPr>
          <w:rFonts w:ascii="Arial" w:eastAsia="Arial" w:hAnsi="Arial" w:cs="Arial"/>
          <w:color w:val="000000"/>
          <w:sz w:val="20"/>
        </w:rPr>
        <w:t xml:space="preserve">. Indeed, local supervisors made all pay and promotion decisions; to prove that the reason for each pay and promotion decision was the same despite the diffuse decision-making structure, the plaintiffs had to show either (1) that each local supervisor used a particular company-wide decision-making procedure that incorporated sex as a consideration or (2) that Wal-Mart had a general company-wide policy of treating female employees worse than male employees. </w:t>
      </w:r>
      <w:bookmarkStart w:id="499" w:name="Bookmark_I5WHY2K92SF7M60010000400"/>
      <w:bookmarkEnd w:id="499"/>
      <w:r>
        <w:rPr>
          <w:rFonts w:ascii="Arial" w:eastAsia="Arial" w:hAnsi="Arial" w:cs="Arial"/>
          <w:i/>
          <w:color w:val="000000"/>
          <w:sz w:val="20"/>
        </w:rPr>
        <w:t>Id.</w:t>
      </w:r>
      <w:r>
        <w:rPr>
          <w:rFonts w:ascii="Arial" w:eastAsia="Arial" w:hAnsi="Arial" w:cs="Arial"/>
          <w:color w:val="000000"/>
          <w:sz w:val="20"/>
        </w:rPr>
        <w:t xml:space="preserve"> at 352-53. </w:t>
      </w:r>
      <w:bookmarkStart w:id="500" w:name="Bookmark_I5WHY2K92SF7M60040000400"/>
      <w:bookmarkEnd w:id="500"/>
      <w:r>
        <w:rPr>
          <w:rFonts w:ascii="Arial" w:eastAsia="Arial" w:hAnsi="Arial" w:cs="Arial"/>
          <w:color w:val="000000"/>
          <w:sz w:val="20"/>
        </w:rPr>
        <w:t xml:space="preserve">The plaintiffs could not show either. They could not identify a common decision-making procedure that incorporated gender as a consideration. </w:t>
      </w:r>
      <w:bookmarkStart w:id="501" w:name="Bookmark_I5WHY2K92N1PNV0010000400"/>
      <w:bookmarkStart w:id="502" w:name="Bookmark_I5WHY2K92SF7M60030000400"/>
      <w:bookmarkEnd w:id="501"/>
      <w:bookmarkEnd w:id="502"/>
      <w:r>
        <w:rPr>
          <w:rFonts w:ascii="Arial" w:eastAsia="Arial" w:hAnsi="Arial" w:cs="Arial"/>
          <w:i/>
          <w:color w:val="000000"/>
          <w:sz w:val="20"/>
        </w:rPr>
        <w:t>Id.</w:t>
      </w:r>
      <w:r>
        <w:rPr>
          <w:rFonts w:ascii="Arial" w:eastAsia="Arial" w:hAnsi="Arial" w:cs="Arial"/>
          <w:color w:val="000000"/>
          <w:sz w:val="20"/>
        </w:rPr>
        <w:t xml:space="preserve"> at 353-55. </w:t>
      </w:r>
      <w:bookmarkStart w:id="503" w:name="Bookmark_I5WHY2K92N1PNV0010000400_2"/>
      <w:bookmarkEnd w:id="503"/>
      <w:r>
        <w:rPr>
          <w:rFonts w:ascii="Arial" w:eastAsia="Arial" w:hAnsi="Arial" w:cs="Arial"/>
          <w:color w:val="000000"/>
          <w:sz w:val="20"/>
        </w:rPr>
        <w:t xml:space="preserve">And the only company-wide policy they could point to was that of granting [***20]  local supervisors discretion to make pay and promotion decisions. </w:t>
      </w:r>
      <w:bookmarkStart w:id="504" w:name="Bookmark_I5WHY2K92N1PNV0030000400"/>
      <w:bookmarkStart w:id="505" w:name="Bookmark_I5WHY2K92SF7M60050000400"/>
      <w:bookmarkEnd w:id="504"/>
      <w:bookmarkEnd w:id="505"/>
      <w:r>
        <w:rPr>
          <w:rFonts w:ascii="Arial" w:eastAsia="Arial" w:hAnsi="Arial" w:cs="Arial"/>
          <w:i/>
          <w:color w:val="000000"/>
          <w:sz w:val="20"/>
        </w:rPr>
        <w:t>Id.</w:t>
      </w:r>
      <w:r>
        <w:rPr>
          <w:rFonts w:ascii="Arial" w:eastAsia="Arial" w:hAnsi="Arial" w:cs="Arial"/>
          <w:color w:val="000000"/>
          <w:sz w:val="20"/>
        </w:rPr>
        <w:t xml:space="preserve"> at 355. </w:t>
      </w:r>
      <w:bookmarkStart w:id="506" w:name="Bookmark_I5WHY2K92N1PNV0030000400_2"/>
      <w:bookmarkEnd w:id="506"/>
      <w:r>
        <w:rPr>
          <w:rFonts w:ascii="Arial" w:eastAsia="Arial" w:hAnsi="Arial" w:cs="Arial"/>
          <w:color w:val="000000"/>
          <w:sz w:val="20"/>
        </w:rPr>
        <w:t xml:space="preserve">Absent evidence that all or substantially all local supervisors disfavored women, the policy did not amount to one that treats female employees worse than male employees. </w:t>
      </w:r>
      <w:bookmarkStart w:id="507" w:name="Bookmark_I5WHY2K92N1PNV0050000400"/>
      <w:bookmarkStart w:id="508" w:name="Bookmark_I5WHY2K92N1PNV0020000400"/>
      <w:bookmarkEnd w:id="507"/>
      <w:bookmarkEnd w:id="508"/>
      <w:r>
        <w:rPr>
          <w:rFonts w:ascii="Arial" w:eastAsia="Arial" w:hAnsi="Arial" w:cs="Arial"/>
          <w:i/>
          <w:color w:val="000000"/>
          <w:sz w:val="20"/>
        </w:rPr>
        <w:t>Id.</w:t>
      </w:r>
      <w:r>
        <w:rPr>
          <w:rFonts w:ascii="Arial" w:eastAsia="Arial" w:hAnsi="Arial" w:cs="Arial"/>
          <w:color w:val="000000"/>
          <w:sz w:val="20"/>
        </w:rPr>
        <w:t xml:space="preserve"> at 355-56. </w:t>
      </w:r>
      <w:bookmarkStart w:id="509" w:name="Bookmark_I5WHY2K92N1PNV0050000400_2"/>
      <w:bookmarkEnd w:id="509"/>
      <w:r>
        <w:rPr>
          <w:rFonts w:ascii="Arial" w:eastAsia="Arial" w:hAnsi="Arial" w:cs="Arial"/>
          <w:color w:val="000000"/>
          <w:sz w:val="20"/>
        </w:rPr>
        <w:t xml:space="preserve">The plaintiffs contended that certain statistical disparities demonstrated gender-based disparity in promotions. </w:t>
      </w:r>
      <w:bookmarkStart w:id="510" w:name="Bookmark_I5WHY2K92D6NS80020000400"/>
      <w:bookmarkStart w:id="511" w:name="Bookmark_I5WHY2K92N1PNV0040000400"/>
      <w:bookmarkEnd w:id="510"/>
      <w:bookmarkEnd w:id="511"/>
      <w:r>
        <w:rPr>
          <w:rFonts w:ascii="Arial" w:eastAsia="Arial" w:hAnsi="Arial" w:cs="Arial"/>
          <w:i/>
          <w:color w:val="000000"/>
          <w:sz w:val="20"/>
        </w:rPr>
        <w:t>Id.</w:t>
      </w:r>
      <w:r>
        <w:rPr>
          <w:rFonts w:ascii="Arial" w:eastAsia="Arial" w:hAnsi="Arial" w:cs="Arial"/>
          <w:color w:val="000000"/>
          <w:sz w:val="20"/>
        </w:rPr>
        <w:t xml:space="preserve"> at 356. </w:t>
      </w:r>
      <w:bookmarkStart w:id="512" w:name="Bookmark_I5WHY2K92D6NS80020000400_2"/>
      <w:bookmarkStart w:id="513" w:name="Bookmark_I5H1TNT3PH2000063S7000V3"/>
      <w:bookmarkStart w:id="514" w:name="Bookmark_I5WHY2K92D6NS80040000400"/>
      <w:bookmarkEnd w:id="512"/>
      <w:bookmarkEnd w:id="513"/>
      <w:bookmarkEnd w:id="514"/>
      <w:r>
        <w:rPr>
          <w:rFonts w:ascii="Arial" w:eastAsia="Arial" w:hAnsi="Arial" w:cs="Arial"/>
          <w:color w:val="000000"/>
          <w:sz w:val="20"/>
        </w:rPr>
        <w:t xml:space="preserve">But the Court rejected this argument, finding that statistics alone were not enough to establish that all local supervisors, in the exercise of their discretion, would disfavor women, at least absent a "specific employment practice" to explain the statistics. </w:t>
      </w:r>
      <w:bookmarkStart w:id="515" w:name="Bookmark_I5WHY2K928T48F0010000400"/>
      <w:bookmarkStart w:id="516" w:name="Bookmark_I5WHY2K92D6NS80010000400"/>
      <w:bookmarkEnd w:id="515"/>
      <w:bookmarkEnd w:id="516"/>
      <w:r>
        <w:rPr>
          <w:rFonts w:ascii="Arial" w:eastAsia="Arial" w:hAnsi="Arial" w:cs="Arial"/>
          <w:i/>
          <w:color w:val="000000"/>
          <w:sz w:val="20"/>
        </w:rPr>
        <w:t>Id.</w:t>
      </w:r>
      <w:r>
        <w:rPr>
          <w:rFonts w:ascii="Arial" w:eastAsia="Arial" w:hAnsi="Arial" w:cs="Arial"/>
          <w:color w:val="000000"/>
          <w:sz w:val="20"/>
        </w:rPr>
        <w:t xml:space="preserve"> at 356-57. </w:t>
      </w:r>
      <w:bookmarkStart w:id="517" w:name="Bookmark_I5WHY2K928T48F0010000400_2"/>
      <w:bookmarkStart w:id="518" w:name="Bookmark_I5WHY2K92D6NS80040000400_2"/>
      <w:bookmarkStart w:id="519" w:name="Bookmark_I5WHY2K92D6NS80030000400"/>
      <w:bookmarkEnd w:id="517"/>
      <w:bookmarkEnd w:id="518"/>
      <w:bookmarkEnd w:id="519"/>
      <w:r>
        <w:rPr>
          <w:rFonts w:ascii="Arial" w:eastAsia="Arial" w:hAnsi="Arial" w:cs="Arial"/>
          <w:i/>
          <w:color w:val="000000"/>
          <w:sz w:val="20"/>
        </w:rPr>
        <w:t>Wal-Mart</w:t>
      </w:r>
      <w:r>
        <w:rPr>
          <w:rFonts w:ascii="Arial" w:eastAsia="Arial" w:hAnsi="Arial" w:cs="Arial"/>
          <w:color w:val="000000"/>
          <w:sz w:val="20"/>
        </w:rPr>
        <w:t xml:space="preserve"> establishes that </w:t>
      </w:r>
      <w:bookmarkStart w:id="520" w:name="Bookmark_LNHNREFclscc11_0"/>
      <w:bookmarkEnd w:id="520"/>
      <w:r>
        <w:rPr>
          <w:rFonts w:ascii="Arial" w:eastAsia="Arial" w:hAnsi="Arial" w:cs="Arial"/>
          <w:color w:val="000000"/>
          <w:sz w:val="20"/>
        </w:rPr>
        <w:t xml:space="preserve">Rule 23(a)(2) is satisfied if </w:t>
      </w:r>
      <w:r>
        <w:rPr>
          <w:rFonts w:ascii="Arial" w:eastAsia="Arial" w:hAnsi="Arial" w:cs="Arial"/>
          <w:i/>
          <w:color w:val="000000"/>
          <w:sz w:val="20"/>
        </w:rPr>
        <w:t>resolution of each plaintiff's claim</w:t>
      </w:r>
      <w:r>
        <w:rPr>
          <w:rFonts w:ascii="Arial" w:eastAsia="Arial" w:hAnsi="Arial" w:cs="Arial"/>
          <w:color w:val="000000"/>
          <w:sz w:val="20"/>
        </w:rPr>
        <w:t xml:space="preserve"> turns on a common </w:t>
      </w:r>
      <w:r>
        <w:rPr>
          <w:rFonts w:ascii="Arial" w:eastAsia="Arial" w:hAnsi="Arial" w:cs="Arial"/>
          <w:i/>
          <w:color w:val="000000"/>
          <w:sz w:val="20"/>
        </w:rPr>
        <w:t>question</w:t>
      </w:r>
      <w:r>
        <w:rPr>
          <w:rFonts w:ascii="Arial" w:eastAsia="Arial" w:hAnsi="Arial" w:cs="Arial"/>
          <w:color w:val="000000"/>
          <w:sz w:val="20"/>
        </w:rPr>
        <w:t xml:space="preserve"> (or questions) and if common </w:t>
      </w:r>
      <w:r>
        <w:rPr>
          <w:rFonts w:ascii="Arial" w:eastAsia="Arial" w:hAnsi="Arial" w:cs="Arial"/>
          <w:i/>
          <w:color w:val="000000"/>
          <w:sz w:val="20"/>
        </w:rPr>
        <w:t>proof</w:t>
      </w:r>
      <w:r>
        <w:rPr>
          <w:rFonts w:ascii="Arial" w:eastAsia="Arial" w:hAnsi="Arial" w:cs="Arial"/>
          <w:color w:val="000000"/>
          <w:sz w:val="20"/>
        </w:rPr>
        <w:t xml:space="preserve"> leads to a common </w:t>
      </w:r>
      <w:r>
        <w:rPr>
          <w:rFonts w:ascii="Arial" w:eastAsia="Arial" w:hAnsi="Arial" w:cs="Arial"/>
          <w:i/>
          <w:color w:val="000000"/>
          <w:sz w:val="20"/>
        </w:rPr>
        <w:t>answer</w:t>
      </w:r>
      <w:r>
        <w:rPr>
          <w:rFonts w:ascii="Arial" w:eastAsia="Arial" w:hAnsi="Arial" w:cs="Arial"/>
          <w:color w:val="000000"/>
          <w:sz w:val="20"/>
        </w:rPr>
        <w:t xml:space="preserve"> (or answers) to that question for each plaintiff.</w:t>
      </w:r>
      <w:r>
        <w:rPr>
          <w:rFonts w:ascii="Arial" w:eastAsia="Arial" w:hAnsi="Arial" w:cs="Arial"/>
          <w:vertAlign w:val="superscript"/>
        </w:rPr>
        <w:footnoteReference w:customMarkFollows="1" w:id="47"/>
        <w:t>8</w:t>
      </w:r>
    </w:p>
    <w:p w:rsidR="00E456CD" w:rsidRDefault="00000000">
      <w:pPr>
        <w:pStyle w:val="Normal3"/>
        <w:widowControl w:val="0"/>
        <w:spacing w:before="200" w:line="260" w:lineRule="atLeast"/>
        <w:jc w:val="both"/>
      </w:pPr>
      <w:bookmarkStart w:id="523" w:name="Bookmark_para_36"/>
      <w:bookmarkStart w:id="524" w:name="Bookmark_I5WHY2K928T48F0030000400"/>
      <w:bookmarkEnd w:id="523"/>
      <w:bookmarkEnd w:id="524"/>
      <w:r>
        <w:rPr>
          <w:rFonts w:ascii="Arial" w:eastAsia="Arial" w:hAnsi="Arial" w:cs="Arial"/>
          <w:color w:val="000000"/>
          <w:sz w:val="20"/>
        </w:rPr>
        <w:t xml:space="preserve">We interpreted the </w:t>
      </w:r>
      <w:r>
        <w:rPr>
          <w:rFonts w:ascii="Arial" w:eastAsia="Arial" w:hAnsi="Arial" w:cs="Arial"/>
          <w:i/>
          <w:color w:val="000000"/>
          <w:sz w:val="20"/>
        </w:rPr>
        <w:t>Wal-Mart</w:t>
      </w:r>
      <w:r>
        <w:rPr>
          <w:rFonts w:ascii="Arial" w:eastAsia="Arial" w:hAnsi="Arial" w:cs="Arial"/>
          <w:color w:val="000000"/>
          <w:sz w:val="20"/>
        </w:rPr>
        <w:t xml:space="preserve"> commonality requirement in the </w:t>
      </w:r>
      <w:r>
        <w:rPr>
          <w:rFonts w:ascii="Arial" w:eastAsia="Arial" w:hAnsi="Arial" w:cs="Arial"/>
          <w:i/>
          <w:color w:val="000000"/>
          <w:sz w:val="20"/>
        </w:rPr>
        <w:t>DL</w:t>
      </w:r>
      <w:r>
        <w:rPr>
          <w:rFonts w:ascii="Arial" w:eastAsia="Arial" w:hAnsi="Arial" w:cs="Arial"/>
          <w:color w:val="000000"/>
          <w:sz w:val="20"/>
        </w:rPr>
        <w:t xml:space="preserve"> litigation. </w:t>
      </w:r>
      <w:bookmarkStart w:id="525" w:name="Bookmark_I5WHY2K92N1PNX0020000400"/>
      <w:bookmarkEnd w:id="525"/>
      <w:r>
        <w:rPr>
          <w:rFonts w:ascii="Arial" w:eastAsia="Arial" w:hAnsi="Arial" w:cs="Arial"/>
          <w:i/>
          <w:color w:val="000000"/>
          <w:sz w:val="20"/>
        </w:rPr>
        <w:t xml:space="preserve">See </w:t>
      </w:r>
      <w:bookmarkStart w:id="526" w:name="Bookmark_I5WHY2K928T48F0020000400"/>
      <w:bookmarkEnd w:id="526"/>
      <w:r>
        <w:rPr>
          <w:rFonts w:ascii="Arial" w:eastAsia="Arial" w:hAnsi="Arial" w:cs="Arial"/>
          <w:i/>
          <w:color w:val="000000"/>
          <w:sz w:val="20"/>
        </w:rPr>
        <w:t>DL v. District of Columbia</w:t>
      </w:r>
      <w:r>
        <w:rPr>
          <w:rFonts w:ascii="Arial" w:eastAsia="Arial" w:hAnsi="Arial" w:cs="Arial"/>
          <w:color w:val="000000"/>
          <w:sz w:val="20"/>
        </w:rPr>
        <w:t xml:space="preserve"> ("</w:t>
      </w:r>
      <w:r>
        <w:rPr>
          <w:rFonts w:ascii="Arial" w:eastAsia="Arial" w:hAnsi="Arial" w:cs="Arial"/>
          <w:i/>
          <w:color w:val="000000"/>
          <w:sz w:val="20"/>
        </w:rPr>
        <w:t>DL I</w:t>
      </w:r>
      <w:r>
        <w:rPr>
          <w:rFonts w:ascii="Arial" w:eastAsia="Arial" w:hAnsi="Arial" w:cs="Arial"/>
          <w:color w:val="000000"/>
          <w:sz w:val="20"/>
        </w:rPr>
        <w:t xml:space="preserve">"), 713 F.3d 120, 404 U.S. App. D.C. 316 (D.C. Cir. 2013); </w:t>
      </w:r>
      <w:bookmarkStart w:id="527" w:name="Bookmark_I5WHY2K928T48F0040000400"/>
      <w:bookmarkEnd w:id="527"/>
      <w:r>
        <w:rPr>
          <w:rFonts w:ascii="Arial" w:eastAsia="Arial" w:hAnsi="Arial" w:cs="Arial"/>
          <w:i/>
          <w:color w:val="000000"/>
          <w:sz w:val="20"/>
        </w:rPr>
        <w:t>DL v. District of Columbia</w:t>
      </w:r>
      <w:r>
        <w:rPr>
          <w:rFonts w:ascii="Arial" w:eastAsia="Arial" w:hAnsi="Arial" w:cs="Arial"/>
          <w:color w:val="000000"/>
          <w:sz w:val="20"/>
        </w:rPr>
        <w:t xml:space="preserve"> ("</w:t>
      </w:r>
      <w:r>
        <w:rPr>
          <w:rFonts w:ascii="Arial" w:eastAsia="Arial" w:hAnsi="Arial" w:cs="Arial"/>
          <w:i/>
          <w:color w:val="000000"/>
          <w:sz w:val="20"/>
        </w:rPr>
        <w:t>DL II</w:t>
      </w:r>
      <w:r>
        <w:rPr>
          <w:rFonts w:ascii="Arial" w:eastAsia="Arial" w:hAnsi="Arial" w:cs="Arial"/>
          <w:color w:val="000000"/>
          <w:sz w:val="20"/>
        </w:rPr>
        <w:t xml:space="preserve">"), 860 F.3d 713, 429 U.S. App. D.C. 420 (D.C. Cir. 2017). </w:t>
      </w:r>
      <w:bookmarkStart w:id="528" w:name="Bookmark_I5WHY2K92N1PNX0040000400"/>
      <w:bookmarkEnd w:id="528"/>
      <w:r>
        <w:rPr>
          <w:rFonts w:ascii="Arial" w:eastAsia="Arial" w:hAnsi="Arial" w:cs="Arial"/>
          <w:color w:val="000000"/>
          <w:sz w:val="20"/>
        </w:rPr>
        <w:t xml:space="preserve">There, parents of children between the ages of three and five sued the District, alleging that it violated the Individuals with Disabilities Education Act (IDEA), 20 U.S.C. §§ 1400 </w:t>
      </w:r>
      <w:r>
        <w:rPr>
          <w:rFonts w:ascii="Arial" w:eastAsia="Arial" w:hAnsi="Arial" w:cs="Arial"/>
          <w:i/>
          <w:color w:val="000000"/>
          <w:sz w:val="20"/>
        </w:rPr>
        <w:t>et seq.</w:t>
      </w:r>
      <w:r>
        <w:rPr>
          <w:rFonts w:ascii="Arial" w:eastAsia="Arial" w:hAnsi="Arial" w:cs="Arial"/>
          <w:color w:val="000000"/>
          <w:sz w:val="20"/>
        </w:rPr>
        <w:t xml:space="preserve">, which  [*1081]   [**166]  imposes on the District [***21]  a number of different obligations with respect to students who require special education services. </w:t>
      </w:r>
      <w:bookmarkStart w:id="529" w:name="Bookmark_I5WHY2K92N1PNX0040000400_2"/>
      <w:bookmarkStart w:id="530" w:name="Bookmark_I5WHY2K92N1PNX0020000400_2"/>
      <w:bookmarkStart w:id="531" w:name="Bookmark_I5WHY2K92N1PNX0010000400"/>
      <w:bookmarkEnd w:id="529"/>
      <w:bookmarkEnd w:id="530"/>
      <w:bookmarkEnd w:id="531"/>
      <w:r>
        <w:rPr>
          <w:rFonts w:ascii="Arial" w:eastAsia="Arial" w:hAnsi="Arial" w:cs="Arial"/>
          <w:i/>
          <w:color w:val="000000"/>
          <w:sz w:val="20"/>
        </w:rPr>
        <w:t>DL II</w:t>
      </w:r>
      <w:r>
        <w:rPr>
          <w:rFonts w:ascii="Arial" w:eastAsia="Arial" w:hAnsi="Arial" w:cs="Arial"/>
          <w:color w:val="000000"/>
          <w:sz w:val="20"/>
        </w:rPr>
        <w:t xml:space="preserve">, 860 F.3d at 717. </w:t>
      </w:r>
      <w:bookmarkStart w:id="532" w:name="Bookmark_I5WHY2K92N1PNY0010000400"/>
      <w:bookmarkEnd w:id="532"/>
      <w:r>
        <w:rPr>
          <w:rFonts w:ascii="Arial" w:eastAsia="Arial" w:hAnsi="Arial" w:cs="Arial"/>
          <w:color w:val="000000"/>
          <w:sz w:val="20"/>
        </w:rPr>
        <w:t xml:space="preserve">The District's IDEA obligations include providing "an effective intake and referral process," offering "adequate and timely education placements to implement individual education plans" and ensuring "a smooth and effective transition from early intervention programs to preschool programs." </w:t>
      </w:r>
      <w:bookmarkStart w:id="533" w:name="Bookmark_I5WHY2K92N1PNX0030000400"/>
      <w:bookmarkEnd w:id="533"/>
      <w:r>
        <w:rPr>
          <w:rFonts w:ascii="Arial" w:eastAsia="Arial" w:hAnsi="Arial" w:cs="Arial"/>
          <w:i/>
          <w:color w:val="000000"/>
          <w:sz w:val="20"/>
        </w:rPr>
        <w:t>DL I</w:t>
      </w:r>
      <w:r>
        <w:rPr>
          <w:rFonts w:ascii="Arial" w:eastAsia="Arial" w:hAnsi="Arial" w:cs="Arial"/>
          <w:color w:val="000000"/>
          <w:sz w:val="20"/>
        </w:rPr>
        <w:t xml:space="preserve">, 713 F.3d at 128. </w:t>
      </w:r>
      <w:bookmarkStart w:id="534" w:name="Bookmark_I5WHY2K92N1PNY0010000400_2"/>
      <w:bookmarkEnd w:id="534"/>
      <w:r>
        <w:rPr>
          <w:rFonts w:ascii="Arial" w:eastAsia="Arial" w:hAnsi="Arial" w:cs="Arial"/>
          <w:color w:val="000000"/>
          <w:sz w:val="20"/>
        </w:rPr>
        <w:t xml:space="preserve">The district court originally certified a class of all three-to-five-year-olds with respect to whom the District failed to discharge </w:t>
      </w:r>
      <w:r>
        <w:rPr>
          <w:rFonts w:ascii="Arial" w:eastAsia="Arial" w:hAnsi="Arial" w:cs="Arial"/>
          <w:i/>
          <w:color w:val="000000"/>
          <w:sz w:val="20"/>
        </w:rPr>
        <w:t>any</w:t>
      </w:r>
      <w:r>
        <w:rPr>
          <w:rFonts w:ascii="Arial" w:eastAsia="Arial" w:hAnsi="Arial" w:cs="Arial"/>
          <w:color w:val="000000"/>
          <w:sz w:val="20"/>
        </w:rPr>
        <w:t xml:space="preserve"> of these obligations. </w:t>
      </w:r>
      <w:bookmarkStart w:id="535" w:name="Bookmark_I5WHY2K92N1PNY0030000400"/>
      <w:bookmarkStart w:id="536" w:name="Bookmark_I5WHY2K92N1PNX0050000400"/>
      <w:bookmarkEnd w:id="535"/>
      <w:bookmarkEnd w:id="536"/>
      <w:r>
        <w:rPr>
          <w:rFonts w:ascii="Arial" w:eastAsia="Arial" w:hAnsi="Arial" w:cs="Arial"/>
          <w:i/>
          <w:color w:val="000000"/>
          <w:sz w:val="20"/>
        </w:rPr>
        <w:t>Id.</w:t>
      </w:r>
      <w:r>
        <w:rPr>
          <w:rFonts w:ascii="Arial" w:eastAsia="Arial" w:hAnsi="Arial" w:cs="Arial"/>
          <w:color w:val="000000"/>
          <w:sz w:val="20"/>
        </w:rPr>
        <w:t xml:space="preserve"> at 124-25. </w:t>
      </w:r>
      <w:bookmarkStart w:id="537" w:name="Bookmark_I5WHY2K92N1PNY0030000400_2"/>
      <w:bookmarkEnd w:id="537"/>
      <w:r>
        <w:rPr>
          <w:rFonts w:ascii="Arial" w:eastAsia="Arial" w:hAnsi="Arial" w:cs="Arial"/>
          <w:color w:val="000000"/>
          <w:sz w:val="20"/>
        </w:rPr>
        <w:t xml:space="preserve">We rejected the class certification in </w:t>
      </w:r>
      <w:r>
        <w:rPr>
          <w:rFonts w:ascii="Arial" w:eastAsia="Arial" w:hAnsi="Arial" w:cs="Arial"/>
          <w:i/>
          <w:color w:val="000000"/>
          <w:sz w:val="20"/>
        </w:rPr>
        <w:t>DL I</w:t>
      </w:r>
      <w:r>
        <w:rPr>
          <w:rFonts w:ascii="Arial" w:eastAsia="Arial" w:hAnsi="Arial" w:cs="Arial"/>
          <w:color w:val="000000"/>
          <w:sz w:val="20"/>
        </w:rPr>
        <w:t xml:space="preserve"> because there was no "common 'tru[e] or fals[e]' question [that could] be answered for each of these three different claims of harm that would assist the district court in determining the District's liability as to each group." </w:t>
      </w:r>
      <w:r>
        <w:rPr>
          <w:rFonts w:ascii="Arial" w:eastAsia="Arial" w:hAnsi="Arial" w:cs="Arial"/>
          <w:i/>
          <w:color w:val="000000"/>
          <w:sz w:val="20"/>
        </w:rPr>
        <w:t>Id.</w:t>
      </w:r>
      <w:r>
        <w:rPr>
          <w:rFonts w:ascii="Arial" w:eastAsia="Arial" w:hAnsi="Arial" w:cs="Arial"/>
          <w:color w:val="000000"/>
          <w:sz w:val="20"/>
        </w:rPr>
        <w:t xml:space="preserve"> (first and second alterations in original). We remanded the case "so the district court [could] determine whether subclasses would meet the requirements of Rule 23(a) commonality after </w:t>
      </w:r>
      <w:r>
        <w:rPr>
          <w:rFonts w:ascii="Arial" w:eastAsia="Arial" w:hAnsi="Arial" w:cs="Arial"/>
          <w:i/>
          <w:color w:val="000000"/>
          <w:sz w:val="20"/>
        </w:rPr>
        <w:t>Wal-Mart</w:t>
      </w:r>
      <w:r>
        <w:rPr>
          <w:rFonts w:ascii="Arial" w:eastAsia="Arial" w:hAnsi="Arial" w:cs="Arial"/>
          <w:color w:val="000000"/>
          <w:sz w:val="20"/>
        </w:rPr>
        <w:t xml:space="preserve">." </w:t>
      </w:r>
      <w:bookmarkStart w:id="538" w:name="Bookmark_I5WHY2K92N1PNY0020000400"/>
      <w:bookmarkEnd w:id="538"/>
      <w:r>
        <w:rPr>
          <w:rFonts w:ascii="Arial" w:eastAsia="Arial" w:hAnsi="Arial" w:cs="Arial"/>
          <w:i/>
          <w:color w:val="000000"/>
          <w:sz w:val="20"/>
        </w:rPr>
        <w:t>Id.</w:t>
      </w:r>
      <w:r>
        <w:rPr>
          <w:rFonts w:ascii="Arial" w:eastAsia="Arial" w:hAnsi="Arial" w:cs="Arial"/>
          <w:color w:val="000000"/>
          <w:sz w:val="20"/>
        </w:rPr>
        <w:t xml:space="preserve"> at 129.</w:t>
      </w:r>
    </w:p>
    <w:p w:rsidR="00E456CD" w:rsidRDefault="00000000">
      <w:pPr>
        <w:pStyle w:val="Normal3"/>
        <w:widowControl w:val="0"/>
        <w:spacing w:before="200" w:line="260" w:lineRule="atLeast"/>
        <w:jc w:val="both"/>
      </w:pPr>
      <w:bookmarkStart w:id="539" w:name="Bookmark_para_37"/>
      <w:bookmarkStart w:id="540" w:name="Bookmark_I5H1TNSSNBC000063S7000H6"/>
      <w:bookmarkStart w:id="541" w:name="Bookmark_I5WHY2K92N1PNY0050000400"/>
      <w:bookmarkEnd w:id="539"/>
      <w:bookmarkEnd w:id="540"/>
      <w:bookmarkEnd w:id="541"/>
      <w:r>
        <w:rPr>
          <w:rFonts w:ascii="Arial" w:eastAsia="Arial" w:hAnsi="Arial" w:cs="Arial"/>
          <w:color w:val="000000"/>
          <w:sz w:val="20"/>
        </w:rPr>
        <w:t xml:space="preserve">On remand, the district court certified four subclasses of three-to-five-year-olds denied a special education: (1) those whom the District failed to identify as disabled; (2) those whom [***22]  the District failed to evaluate within 120 days of referral; (3) those to whom the District failed to provide an eligibility determination within 120 days of referral; and (4) those denied a smooth transition from an early intervention program to a preschool program. </w:t>
      </w:r>
      <w:bookmarkStart w:id="542" w:name="Bookmark_I5WHY2K92SF7M90020000400"/>
      <w:bookmarkStart w:id="543" w:name="Bookmark_I5WHY2K92SF7MB0010000400"/>
      <w:bookmarkStart w:id="544" w:name="Bookmark_I5WHY2K92N1PNY0040000400"/>
      <w:bookmarkEnd w:id="542"/>
      <w:bookmarkEnd w:id="543"/>
      <w:bookmarkEnd w:id="544"/>
      <w:r>
        <w:rPr>
          <w:rFonts w:ascii="Arial" w:eastAsia="Arial" w:hAnsi="Arial" w:cs="Arial"/>
          <w:i/>
          <w:color w:val="000000"/>
          <w:sz w:val="20"/>
        </w:rPr>
        <w:t>DL II</w:t>
      </w:r>
      <w:r>
        <w:rPr>
          <w:rFonts w:ascii="Arial" w:eastAsia="Arial" w:hAnsi="Arial" w:cs="Arial"/>
          <w:color w:val="000000"/>
          <w:sz w:val="20"/>
        </w:rPr>
        <w:t xml:space="preserve">, 860 F.3d at 724. In </w:t>
      </w:r>
      <w:r>
        <w:rPr>
          <w:rFonts w:ascii="Arial" w:eastAsia="Arial" w:hAnsi="Arial" w:cs="Arial"/>
          <w:i/>
          <w:color w:val="000000"/>
          <w:sz w:val="20"/>
        </w:rPr>
        <w:t>DL II</w:t>
      </w:r>
      <w:r>
        <w:rPr>
          <w:rFonts w:ascii="Arial" w:eastAsia="Arial" w:hAnsi="Arial" w:cs="Arial"/>
          <w:color w:val="000000"/>
          <w:sz w:val="20"/>
        </w:rPr>
        <w:t xml:space="preserve">, we held that three of the four subclasses satisfied the commonality requirement. </w:t>
      </w:r>
      <w:bookmarkStart w:id="545" w:name="Bookmark_I5WHY2K92SF7MB0010000400_2"/>
      <w:bookmarkStart w:id="546" w:name="Bookmark_I5WHY2K92SF7M90020000400_2"/>
      <w:bookmarkStart w:id="547" w:name="Bookmark_I5WHY2K92SF7M90040000400"/>
      <w:bookmarkStart w:id="548" w:name="Bookmark_I5WHY2K92SF7M90010000400"/>
      <w:bookmarkEnd w:id="545"/>
      <w:bookmarkEnd w:id="546"/>
      <w:bookmarkEnd w:id="547"/>
      <w:bookmarkEnd w:id="548"/>
      <w:r>
        <w:rPr>
          <w:rFonts w:ascii="Arial" w:eastAsia="Arial" w:hAnsi="Arial" w:cs="Arial"/>
          <w:i/>
          <w:color w:val="000000"/>
          <w:sz w:val="20"/>
        </w:rPr>
        <w:t>Id.</w:t>
      </w:r>
      <w:r>
        <w:rPr>
          <w:rFonts w:ascii="Arial" w:eastAsia="Arial" w:hAnsi="Arial" w:cs="Arial"/>
          <w:color w:val="000000"/>
          <w:sz w:val="20"/>
        </w:rPr>
        <w:t xml:space="preserve"> at 724-25.</w:t>
      </w:r>
      <w:r>
        <w:rPr>
          <w:rFonts w:ascii="Arial" w:eastAsia="Arial" w:hAnsi="Arial" w:cs="Arial"/>
          <w:vertAlign w:val="superscript"/>
        </w:rPr>
        <w:footnoteReference w:customMarkFollows="1" w:id="48"/>
        <w:t>9</w:t>
      </w:r>
      <w:r>
        <w:rPr>
          <w:rFonts w:ascii="Arial" w:eastAsia="Arial" w:hAnsi="Arial" w:cs="Arial"/>
          <w:color w:val="000000"/>
          <w:sz w:val="20"/>
        </w:rPr>
        <w:t xml:space="preserve"> Subclass one was organized around a common question—did the District fail to identify certain individuals as disabled?</w:t>
      </w:r>
      <w:bookmarkStart w:id="551" w:name="Bookmark_I5WHY2K92SF7M90040000400_2"/>
      <w:bookmarkEnd w:id="551"/>
      <w:r>
        <w:rPr>
          <w:rFonts w:ascii="Arial" w:eastAsia="Arial" w:hAnsi="Arial" w:cs="Arial"/>
          <w:color w:val="000000"/>
          <w:sz w:val="20"/>
        </w:rPr>
        <w:t xml:space="preserve">—which was subject to a common answer—yes—based on common proof—evidence showing that the District failed to identify between 98 and 515 disabled children per month. </w:t>
      </w:r>
      <w:bookmarkStart w:id="552" w:name="Bookmark_I5WHY2K92SF7M90030000400"/>
      <w:bookmarkEnd w:id="552"/>
      <w:r>
        <w:rPr>
          <w:rFonts w:ascii="Arial" w:eastAsia="Arial" w:hAnsi="Arial" w:cs="Arial"/>
          <w:i/>
          <w:color w:val="000000"/>
          <w:sz w:val="20"/>
        </w:rPr>
        <w:t>Id.</w:t>
      </w:r>
      <w:r>
        <w:rPr>
          <w:rFonts w:ascii="Arial" w:eastAsia="Arial" w:hAnsi="Arial" w:cs="Arial"/>
          <w:color w:val="000000"/>
          <w:sz w:val="20"/>
        </w:rPr>
        <w:t xml:space="preserve"> at 724. Subclass three was also organized around a common question—did the District fail to evaluate certain individuals within 120 days of their being referred for a disability evaluation?—which was subject to a common answer—yes—based on common proof—evidence showing that the District failed to timely evaluate 20 per cent of those referred for a disability evaluation. </w:t>
      </w:r>
      <w:r>
        <w:rPr>
          <w:rFonts w:ascii="Arial" w:eastAsia="Arial" w:hAnsi="Arial" w:cs="Arial"/>
          <w:i/>
          <w:color w:val="000000"/>
          <w:sz w:val="20"/>
        </w:rPr>
        <w:t>Id.</w:t>
      </w:r>
      <w:r>
        <w:rPr>
          <w:rFonts w:ascii="Arial" w:eastAsia="Arial" w:hAnsi="Arial" w:cs="Arial"/>
          <w:color w:val="000000"/>
          <w:sz w:val="20"/>
        </w:rPr>
        <w:t xml:space="preserve"> Likewise, subclass four was organized around a common question—did the District fail to provide certain individuals a smooth and effective transition from early intervention to preschool?—which [***23]  was subject to a common answer—yes—based on common proof—evidence showing that 30 per cent of toddlers were denied a smooth transition from early intervention to preschool. </w:t>
      </w:r>
      <w:r>
        <w:rPr>
          <w:rFonts w:ascii="Arial" w:eastAsia="Arial" w:hAnsi="Arial" w:cs="Arial"/>
          <w:i/>
          <w:color w:val="000000"/>
          <w:sz w:val="20"/>
        </w:rPr>
        <w:t>Id.</w:t>
      </w:r>
      <w:r>
        <w:rPr>
          <w:rFonts w:ascii="Arial" w:eastAsia="Arial" w:hAnsi="Arial" w:cs="Arial"/>
          <w:color w:val="000000"/>
          <w:sz w:val="20"/>
        </w:rPr>
        <w:t xml:space="preserve"> Thus, the </w:t>
      </w:r>
      <w:r>
        <w:rPr>
          <w:rFonts w:ascii="Arial" w:eastAsia="Arial" w:hAnsi="Arial" w:cs="Arial"/>
          <w:i/>
          <w:color w:val="000000"/>
          <w:sz w:val="20"/>
        </w:rPr>
        <w:t>DL</w:t>
      </w:r>
      <w:r>
        <w:rPr>
          <w:rFonts w:ascii="Arial" w:eastAsia="Arial" w:hAnsi="Arial" w:cs="Arial"/>
          <w:color w:val="000000"/>
          <w:sz w:val="20"/>
        </w:rPr>
        <w:t xml:space="preserve"> litigation followed the holding of </w:t>
      </w:r>
      <w:r>
        <w:rPr>
          <w:rFonts w:ascii="Arial" w:eastAsia="Arial" w:hAnsi="Arial" w:cs="Arial"/>
          <w:i/>
          <w:color w:val="000000"/>
          <w:sz w:val="20"/>
        </w:rPr>
        <w:t>Wal-Mart</w:t>
      </w:r>
      <w:r>
        <w:rPr>
          <w:rFonts w:ascii="Arial" w:eastAsia="Arial" w:hAnsi="Arial" w:cs="Arial"/>
          <w:color w:val="000000"/>
          <w:sz w:val="20"/>
        </w:rPr>
        <w:t xml:space="preserve">: Rule 23(a)(2) is satisfied if </w:t>
      </w:r>
      <w:r>
        <w:rPr>
          <w:rFonts w:ascii="Arial" w:eastAsia="Arial" w:hAnsi="Arial" w:cs="Arial"/>
          <w:i/>
          <w:color w:val="000000"/>
          <w:sz w:val="20"/>
        </w:rPr>
        <w:t>resolution of each plaintiff's claim</w:t>
      </w:r>
      <w:r>
        <w:rPr>
          <w:rFonts w:ascii="Arial" w:eastAsia="Arial" w:hAnsi="Arial" w:cs="Arial"/>
          <w:color w:val="000000"/>
          <w:sz w:val="20"/>
        </w:rPr>
        <w:t xml:space="preserve"> turns on a common </w:t>
      </w:r>
      <w:r>
        <w:rPr>
          <w:rFonts w:ascii="Arial" w:eastAsia="Arial" w:hAnsi="Arial" w:cs="Arial"/>
          <w:i/>
          <w:color w:val="000000"/>
          <w:sz w:val="20"/>
        </w:rPr>
        <w:t>question</w:t>
      </w:r>
      <w:r>
        <w:rPr>
          <w:rFonts w:ascii="Arial" w:eastAsia="Arial" w:hAnsi="Arial" w:cs="Arial"/>
          <w:color w:val="000000"/>
          <w:sz w:val="20"/>
        </w:rPr>
        <w:t xml:space="preserve"> (or questions) and if common </w:t>
      </w:r>
      <w:r>
        <w:rPr>
          <w:rFonts w:ascii="Arial" w:eastAsia="Arial" w:hAnsi="Arial" w:cs="Arial"/>
          <w:i/>
          <w:color w:val="000000"/>
          <w:sz w:val="20"/>
        </w:rPr>
        <w:t>proof</w:t>
      </w:r>
      <w:r>
        <w:rPr>
          <w:rFonts w:ascii="Arial" w:eastAsia="Arial" w:hAnsi="Arial" w:cs="Arial"/>
          <w:color w:val="000000"/>
          <w:sz w:val="20"/>
        </w:rPr>
        <w:t xml:space="preserve"> leads to a common </w:t>
      </w:r>
      <w:r>
        <w:rPr>
          <w:rFonts w:ascii="Arial" w:eastAsia="Arial" w:hAnsi="Arial" w:cs="Arial"/>
          <w:i/>
          <w:color w:val="000000"/>
          <w:sz w:val="20"/>
        </w:rPr>
        <w:t>answer</w:t>
      </w:r>
      <w:r>
        <w:rPr>
          <w:rFonts w:ascii="Arial" w:eastAsia="Arial" w:hAnsi="Arial" w:cs="Arial"/>
          <w:color w:val="000000"/>
          <w:sz w:val="20"/>
        </w:rPr>
        <w:t xml:space="preserve"> (or answers) to that question for each plaintiff.</w:t>
      </w:r>
    </w:p>
    <w:p w:rsidR="00E456CD" w:rsidRDefault="00000000">
      <w:pPr>
        <w:pStyle w:val="Normal3"/>
        <w:widowControl w:val="0"/>
        <w:spacing w:before="200" w:line="260" w:lineRule="atLeast"/>
        <w:jc w:val="both"/>
      </w:pPr>
      <w:bookmarkStart w:id="553" w:name="Bookmark_para_38"/>
      <w:bookmarkEnd w:id="553"/>
      <w:r>
        <w:rPr>
          <w:rFonts w:ascii="Arial" w:eastAsia="Arial" w:hAnsi="Arial" w:cs="Arial"/>
          <w:color w:val="000000"/>
          <w:sz w:val="20"/>
        </w:rPr>
        <w:t>In this case, resolution of Plaintiffs' claims turns on the same series of questions. First, does the District have an adequate "</w:t>
      </w:r>
      <w:r>
        <w:rPr>
          <w:rFonts w:ascii="Arial" w:eastAsia="Arial" w:hAnsi="Arial" w:cs="Arial"/>
          <w:i/>
          <w:color w:val="000000"/>
          <w:sz w:val="20"/>
        </w:rPr>
        <w:t>Olmstead</w:t>
      </w:r>
      <w:r>
        <w:rPr>
          <w:rFonts w:ascii="Arial" w:eastAsia="Arial" w:hAnsi="Arial" w:cs="Arial"/>
          <w:color w:val="000000"/>
          <w:sz w:val="20"/>
        </w:rPr>
        <w:t xml:space="preserve"> Plan" in place? If it does, the District has met its responsibilities. If there is some deficiency in the District's plan, however, which leads the court to decide that it </w:t>
      </w:r>
      <w:r>
        <w:rPr>
          <w:rFonts w:ascii="Arial" w:eastAsia="Arial" w:hAnsi="Arial" w:cs="Arial"/>
          <w:i/>
          <w:color w:val="000000"/>
          <w:sz w:val="20"/>
        </w:rPr>
        <w:t>is not</w:t>
      </w:r>
      <w:r>
        <w:rPr>
          <w:rFonts w:ascii="Arial" w:eastAsia="Arial" w:hAnsi="Arial" w:cs="Arial"/>
          <w:color w:val="000000"/>
          <w:sz w:val="20"/>
        </w:rPr>
        <w:t xml:space="preserve"> "comprehensive" and "effectively working" or that the District's waiting list </w:t>
      </w:r>
      <w:r>
        <w:rPr>
          <w:rFonts w:ascii="Arial" w:eastAsia="Arial" w:hAnsi="Arial" w:cs="Arial"/>
          <w:i/>
          <w:color w:val="000000"/>
          <w:sz w:val="20"/>
        </w:rPr>
        <w:t>does not</w:t>
      </w:r>
      <w:r>
        <w:rPr>
          <w:rFonts w:ascii="Arial" w:eastAsia="Arial" w:hAnsi="Arial" w:cs="Arial"/>
          <w:color w:val="000000"/>
          <w:sz w:val="20"/>
        </w:rPr>
        <w:t xml:space="preserve"> "move at a reasonable pace," the District </w:t>
      </w:r>
      <w:r>
        <w:rPr>
          <w:rFonts w:ascii="Arial" w:eastAsia="Arial" w:hAnsi="Arial" w:cs="Arial"/>
          <w:i/>
          <w:color w:val="000000"/>
          <w:sz w:val="20"/>
        </w:rPr>
        <w:t>must</w:t>
      </w:r>
      <w:r>
        <w:rPr>
          <w:rFonts w:ascii="Arial" w:eastAsia="Arial" w:hAnsi="Arial" w:cs="Arial"/>
          <w:color w:val="000000"/>
          <w:sz w:val="20"/>
        </w:rPr>
        <w:t xml:space="preserve"> make each accommodation Plaintiffs have requested </w:t>
      </w:r>
      <w:r>
        <w:rPr>
          <w:rFonts w:ascii="Arial" w:eastAsia="Arial" w:hAnsi="Arial" w:cs="Arial"/>
          <w:i/>
          <w:color w:val="000000"/>
          <w:sz w:val="20"/>
        </w:rPr>
        <w:t>unless</w:t>
      </w:r>
      <w:r>
        <w:rPr>
          <w:rFonts w:ascii="Arial" w:eastAsia="Arial" w:hAnsi="Arial" w:cs="Arial"/>
          <w:color w:val="000000"/>
          <w:sz w:val="20"/>
        </w:rPr>
        <w:t xml:space="preserve"> it can show that an accommodation would be so costly to implement that it would be </w:t>
      </w:r>
      <w:r>
        <w:rPr>
          <w:rFonts w:ascii="Arial" w:eastAsia="Arial" w:hAnsi="Arial" w:cs="Arial"/>
          <w:i/>
          <w:color w:val="000000"/>
          <w:sz w:val="20"/>
        </w:rPr>
        <w:t>unreasonable</w:t>
      </w:r>
      <w:r>
        <w:rPr>
          <w:rFonts w:ascii="Arial" w:eastAsia="Arial" w:hAnsi="Arial" w:cs="Arial"/>
          <w:color w:val="000000"/>
          <w:sz w:val="20"/>
        </w:rPr>
        <w:t xml:space="preserve"> to require the District to transfer its limited resources from other disabled individuals. Plaintiffs have requested  [*1082]   [**167]  four separate accommodations, reflected in the four provisions [***24]  of the proposed injunction. Thus, the second, third, fourth and fifth common questions are: "How costly would it be for the District to implement the [[first], [second], [third], or [fourth]] provision of the proposed injunction and would it be unreasonable to require the District to transfer its limited resources from other disabled individuals to pay that cost?" If the answer to all four of these questions is "yes, it would be so costly as to be unreasonable," the District is not liable. If the answer to at least one of the four questions is "no, it would not be so costly as to be unreasonable," however, Plaintiffs are entitled to judgment in their favor.</w:t>
      </w:r>
    </w:p>
    <w:p w:rsidR="00E456CD" w:rsidRDefault="00000000">
      <w:pPr>
        <w:pStyle w:val="Normal3"/>
        <w:widowControl w:val="0"/>
        <w:spacing w:before="200" w:line="260" w:lineRule="atLeast"/>
        <w:jc w:val="both"/>
      </w:pPr>
      <w:bookmarkStart w:id="554" w:name="Bookmark_para_39"/>
      <w:bookmarkEnd w:id="554"/>
      <w:r>
        <w:rPr>
          <w:rFonts w:ascii="Arial" w:eastAsia="Arial" w:hAnsi="Arial" w:cs="Arial"/>
          <w:color w:val="000000"/>
          <w:sz w:val="20"/>
        </w:rPr>
        <w:t xml:space="preserve">There is no commonality problem here because common </w:t>
      </w:r>
      <w:r>
        <w:rPr>
          <w:rFonts w:ascii="Arial" w:eastAsia="Arial" w:hAnsi="Arial" w:cs="Arial"/>
          <w:i/>
          <w:color w:val="000000"/>
          <w:sz w:val="20"/>
        </w:rPr>
        <w:t>proof</w:t>
      </w:r>
      <w:r>
        <w:rPr>
          <w:rFonts w:ascii="Arial" w:eastAsia="Arial" w:hAnsi="Arial" w:cs="Arial"/>
          <w:color w:val="000000"/>
          <w:sz w:val="20"/>
        </w:rPr>
        <w:t xml:space="preserve"> will lead to common </w:t>
      </w:r>
      <w:r>
        <w:rPr>
          <w:rFonts w:ascii="Arial" w:eastAsia="Arial" w:hAnsi="Arial" w:cs="Arial"/>
          <w:i/>
          <w:color w:val="000000"/>
          <w:sz w:val="20"/>
        </w:rPr>
        <w:t>answers</w:t>
      </w:r>
      <w:r>
        <w:rPr>
          <w:rFonts w:ascii="Arial" w:eastAsia="Arial" w:hAnsi="Arial" w:cs="Arial"/>
          <w:color w:val="000000"/>
          <w:sz w:val="20"/>
        </w:rPr>
        <w:t xml:space="preserve"> to each of the five </w:t>
      </w:r>
      <w:r>
        <w:rPr>
          <w:rFonts w:ascii="Arial" w:eastAsia="Arial" w:hAnsi="Arial" w:cs="Arial"/>
          <w:i/>
          <w:color w:val="000000"/>
          <w:sz w:val="20"/>
        </w:rPr>
        <w:t>questions</w:t>
      </w:r>
      <w:r>
        <w:rPr>
          <w:rFonts w:ascii="Arial" w:eastAsia="Arial" w:hAnsi="Arial" w:cs="Arial"/>
          <w:color w:val="000000"/>
          <w:sz w:val="20"/>
        </w:rPr>
        <w:t xml:space="preserve"> on which </w:t>
      </w:r>
      <w:r>
        <w:rPr>
          <w:rFonts w:ascii="Arial" w:eastAsia="Arial" w:hAnsi="Arial" w:cs="Arial"/>
          <w:i/>
          <w:color w:val="000000"/>
          <w:sz w:val="20"/>
        </w:rPr>
        <w:t>resolution of Plaintiffs' claims</w:t>
      </w:r>
      <w:r>
        <w:rPr>
          <w:rFonts w:ascii="Arial" w:eastAsia="Arial" w:hAnsi="Arial" w:cs="Arial"/>
          <w:color w:val="000000"/>
          <w:sz w:val="20"/>
        </w:rPr>
        <w:t xml:space="preserve"> turns. As to the first question, common proof will establish whether the District's plan is "comprehensive" and "effectively working" and whether its waiting list for transition to the community "moves at a reasonable pace." As to the second, third, fourth and fifth questions, common proof will establish both how costly it would be for the District to implement each provision [***25]  of Plaintiffs' requested injunction and whether it would be unreasonable to require the District to pay that cost, considering the District's limited resources and its obligations to other disabled individuals.</w:t>
      </w:r>
    </w:p>
    <w:p w:rsidR="00E456CD" w:rsidRDefault="00000000">
      <w:pPr>
        <w:pStyle w:val="Normal3"/>
        <w:widowControl w:val="0"/>
        <w:spacing w:before="200" w:line="260" w:lineRule="atLeast"/>
        <w:jc w:val="both"/>
      </w:pPr>
      <w:bookmarkStart w:id="555" w:name="Bookmark_para_40"/>
      <w:bookmarkEnd w:id="555"/>
      <w:r>
        <w:rPr>
          <w:rFonts w:ascii="Arial" w:eastAsia="Arial" w:hAnsi="Arial" w:cs="Arial"/>
          <w:color w:val="000000"/>
          <w:sz w:val="20"/>
        </w:rPr>
        <w:t xml:space="preserve">Consider, for example, the first provision of the proposed injunction. This provision would require the District to provide all class members with information regarding community-based long-term care options, determine whether they prefer to transition to the community and, if they do, plan their transition and assist them in accessing available resources to help them transition. </w:t>
      </w:r>
      <w:r>
        <w:rPr>
          <w:rFonts w:ascii="Arial" w:eastAsia="Arial" w:hAnsi="Arial" w:cs="Arial"/>
          <w:i/>
          <w:color w:val="000000"/>
          <w:sz w:val="20"/>
        </w:rPr>
        <w:t>Id.</w:t>
      </w:r>
      <w:r>
        <w:rPr>
          <w:rFonts w:ascii="Arial" w:eastAsia="Arial" w:hAnsi="Arial" w:cs="Arial"/>
          <w:color w:val="000000"/>
          <w:sz w:val="20"/>
        </w:rPr>
        <w:t xml:space="preserve"> at 31. Common proof will establish, first, </w:t>
      </w:r>
      <w:r>
        <w:rPr>
          <w:rFonts w:ascii="Arial" w:eastAsia="Arial" w:hAnsi="Arial" w:cs="Arial"/>
          <w:i/>
          <w:color w:val="000000"/>
          <w:sz w:val="20"/>
        </w:rPr>
        <w:t>how costly</w:t>
      </w:r>
      <w:r>
        <w:rPr>
          <w:rFonts w:ascii="Arial" w:eastAsia="Arial" w:hAnsi="Arial" w:cs="Arial"/>
          <w:color w:val="000000"/>
          <w:sz w:val="20"/>
        </w:rPr>
        <w:t xml:space="preserve"> it would be to provide all class members with these services and, second, whether it is </w:t>
      </w:r>
      <w:r>
        <w:rPr>
          <w:rFonts w:ascii="Arial" w:eastAsia="Arial" w:hAnsi="Arial" w:cs="Arial"/>
          <w:i/>
          <w:color w:val="000000"/>
          <w:sz w:val="20"/>
        </w:rPr>
        <w:t>reasonable</w:t>
      </w:r>
      <w:r>
        <w:rPr>
          <w:rFonts w:ascii="Arial" w:eastAsia="Arial" w:hAnsi="Arial" w:cs="Arial"/>
          <w:color w:val="000000"/>
          <w:sz w:val="20"/>
        </w:rPr>
        <w:t xml:space="preserve"> to require the District to use its limited resources to pay this cost, considering the District's obligations to other disabled individuals. The same analysis will apply to the other three provisions of the proposed injunction. Thus, on the current record, there does not appear to be a Rule 23(a)(2) deficiency.</w:t>
      </w:r>
    </w:p>
    <w:p w:rsidR="00E456CD" w:rsidRDefault="00000000">
      <w:pPr>
        <w:pStyle w:val="Normal3"/>
        <w:widowControl w:val="0"/>
        <w:spacing w:before="240" w:line="260" w:lineRule="atLeast"/>
      </w:pPr>
      <w:r>
        <w:br/>
      </w:r>
      <w:r>
        <w:rPr>
          <w:rFonts w:ascii="Arial" w:eastAsia="Arial" w:hAnsi="Arial" w:cs="Arial"/>
          <w:b/>
          <w:color w:val="000000"/>
          <w:sz w:val="20"/>
        </w:rPr>
        <w:t>2. Rule 23(b)(2)</w:t>
      </w:r>
    </w:p>
    <w:p w:rsidR="00E456CD" w:rsidRDefault="00000000">
      <w:pPr>
        <w:pStyle w:val="Normal3"/>
        <w:widowControl w:val="0"/>
        <w:spacing w:before="200" w:line="260" w:lineRule="atLeast"/>
        <w:jc w:val="both"/>
      </w:pPr>
      <w:bookmarkStart w:id="556" w:name="Bookmark_para_41"/>
      <w:bookmarkStart w:id="557" w:name="Bookmark_LNHNREFclscc12_0"/>
      <w:bookmarkStart w:id="558" w:name="Bookmark_I5WHY2K92SF7MB0030000400"/>
      <w:bookmarkEnd w:id="556"/>
      <w:bookmarkEnd w:id="557"/>
      <w:bookmarkEnd w:id="558"/>
      <w:r>
        <w:rPr>
          <w:rFonts w:ascii="Arial" w:eastAsia="Arial" w:hAnsi="Arial" w:cs="Arial"/>
          <w:color w:val="000000"/>
          <w:sz w:val="20"/>
        </w:rPr>
        <w:t xml:space="preserve">Because this litigation is a Rule 23(b)(2) class action, Plaintiffs must also show that the District "acted or refused to act on grounds that apply generally to the class, [***26]  so that final injunctive relief or corresponding declaratory relief is appropriate respecting the class as a whole." Fed. R. Civ. P. 23(b)(2). </w:t>
      </w:r>
      <w:bookmarkStart w:id="559" w:name="Bookmark_I5WHY2KB28T48K0040000400"/>
      <w:bookmarkEnd w:id="559"/>
      <w:r>
        <w:rPr>
          <w:rFonts w:ascii="Arial" w:eastAsia="Arial" w:hAnsi="Arial" w:cs="Arial"/>
          <w:color w:val="000000"/>
          <w:sz w:val="20"/>
        </w:rPr>
        <w:t xml:space="preserve">Indeed, a Rule 23(b)(2) class action is appropriate only "when a single injunction or declaratory judgment would provide relief to each member of the class," not "when each individual class member would be entitled to a different injunction or declaratory judgment against the defendant." </w:t>
      </w:r>
      <w:bookmarkStart w:id="560" w:name="Bookmark_I5WHY2K92SF7MB0020000400"/>
      <w:bookmarkEnd w:id="560"/>
      <w:r>
        <w:rPr>
          <w:rFonts w:ascii="Arial" w:eastAsia="Arial" w:hAnsi="Arial" w:cs="Arial"/>
          <w:i/>
          <w:color w:val="000000"/>
          <w:sz w:val="20"/>
        </w:rPr>
        <w:t>Wal-Mart</w:t>
      </w:r>
      <w:r>
        <w:rPr>
          <w:rFonts w:ascii="Arial" w:eastAsia="Arial" w:hAnsi="Arial" w:cs="Arial"/>
          <w:color w:val="000000"/>
          <w:sz w:val="20"/>
        </w:rPr>
        <w:t xml:space="preserve">, 564 U.S. at 360; </w:t>
      </w:r>
      <w:r>
        <w:rPr>
          <w:rFonts w:ascii="Arial" w:eastAsia="Arial" w:hAnsi="Arial" w:cs="Arial"/>
          <w:i/>
          <w:color w:val="000000"/>
          <w:sz w:val="20"/>
        </w:rPr>
        <w:t xml:space="preserve">see also </w:t>
      </w:r>
      <w:bookmarkStart w:id="561" w:name="Bookmark_I5WHY2K92SF7MB0040000400"/>
      <w:bookmarkEnd w:id="561"/>
      <w:r>
        <w:rPr>
          <w:rFonts w:ascii="Arial" w:eastAsia="Arial" w:hAnsi="Arial" w:cs="Arial"/>
          <w:i/>
          <w:color w:val="000000"/>
          <w:sz w:val="20"/>
        </w:rPr>
        <w:t>DL II</w:t>
      </w:r>
      <w:r>
        <w:rPr>
          <w:rFonts w:ascii="Arial" w:eastAsia="Arial" w:hAnsi="Arial" w:cs="Arial"/>
          <w:color w:val="000000"/>
          <w:sz w:val="20"/>
        </w:rPr>
        <w:t xml:space="preserve">, 860 F.3d at 726 ("To certify a class under [Rule 23(b)(2)], a single injunction must be able to 'provide relief to each member of the class.'" (quoting </w:t>
      </w:r>
      <w:bookmarkStart w:id="562" w:name="Bookmark_I5WHY2KB28T48K0010000400"/>
      <w:bookmarkEnd w:id="562"/>
      <w:r>
        <w:rPr>
          <w:rFonts w:ascii="Arial" w:eastAsia="Arial" w:hAnsi="Arial" w:cs="Arial"/>
          <w:i/>
          <w:color w:val="000000"/>
          <w:sz w:val="20"/>
        </w:rPr>
        <w:t>Wal-Mart</w:t>
      </w:r>
      <w:r>
        <w:rPr>
          <w:rFonts w:ascii="Arial" w:eastAsia="Arial" w:hAnsi="Arial" w:cs="Arial"/>
          <w:color w:val="000000"/>
          <w:sz w:val="20"/>
        </w:rPr>
        <w:t xml:space="preserve">, 564 U.S. at 360)). Although the injunction must provide relief to each member of the class, the perfect need not be the enemy of the good. If a certain outcome is legally mandated and an injunction provides each member of the class an increased opportunity to achieve that outcome, Rule 23(b)(2) is satisfied. </w:t>
      </w:r>
      <w:bookmarkStart w:id="563" w:name="Bookmark_I5WHY2KB28T48K0040000400_2"/>
      <w:bookmarkStart w:id="564" w:name="Bookmark_I5WHY2KB2N1PP00010000400"/>
      <w:bookmarkEnd w:id="563"/>
      <w:bookmarkEnd w:id="564"/>
      <w:r>
        <w:rPr>
          <w:rFonts w:ascii="Arial" w:eastAsia="Arial" w:hAnsi="Arial" w:cs="Arial"/>
          <w:color w:val="000000"/>
          <w:sz w:val="20"/>
        </w:rPr>
        <w:t xml:space="preserve">Indeed, in </w:t>
      </w:r>
      <w:r>
        <w:rPr>
          <w:rFonts w:ascii="Arial" w:eastAsia="Arial" w:hAnsi="Arial" w:cs="Arial"/>
          <w:i/>
          <w:color w:val="000000"/>
          <w:sz w:val="20"/>
        </w:rPr>
        <w:t>DL II</w:t>
      </w:r>
      <w:r>
        <w:rPr>
          <w:rFonts w:ascii="Arial" w:eastAsia="Arial" w:hAnsi="Arial" w:cs="Arial"/>
          <w:color w:val="000000"/>
          <w:sz w:val="20"/>
        </w:rPr>
        <w:t xml:space="preserve">, the District was required to provide each member of subclass three a timely eligibility determination and each member of subclass four a smooth transition from early intervention to preschool; we found Rule 23(b)(2) satisfied even though the injunction required the District  [*1083]   [**168]  to satisfy each of those obligations with respect to 95 per cent, rather than 100 per cent, of each subclass. [***27]  </w:t>
      </w:r>
      <w:bookmarkStart w:id="565" w:name="Bookmark_I5WHY2KB28T48K0030000400"/>
      <w:bookmarkEnd w:id="565"/>
      <w:r>
        <w:rPr>
          <w:rFonts w:ascii="Arial" w:eastAsia="Arial" w:hAnsi="Arial" w:cs="Arial"/>
          <w:color w:val="000000"/>
          <w:sz w:val="20"/>
        </w:rPr>
        <w:t xml:space="preserve">860 F.3d at 720, 724, 726. </w:t>
      </w:r>
      <w:bookmarkStart w:id="566" w:name="Bookmark_I5WHY2KB2N1PP00010000400_2"/>
      <w:bookmarkStart w:id="567" w:name="Bookmark_I5WHY2KB2N1PP10040000400"/>
      <w:bookmarkEnd w:id="566"/>
      <w:bookmarkEnd w:id="567"/>
      <w:r>
        <w:rPr>
          <w:rFonts w:ascii="Arial" w:eastAsia="Arial" w:hAnsi="Arial" w:cs="Arial"/>
          <w:color w:val="000000"/>
          <w:sz w:val="20"/>
        </w:rPr>
        <w:t xml:space="preserve">Although we did not make our reasoning explicit, we implied that the injunction aided every class member because it improved his likelihood of achieving the legally mandated outcome. </w:t>
      </w:r>
      <w:r>
        <w:rPr>
          <w:rFonts w:ascii="Arial" w:eastAsia="Arial" w:hAnsi="Arial" w:cs="Arial"/>
          <w:i/>
          <w:color w:val="000000"/>
          <w:sz w:val="20"/>
        </w:rPr>
        <w:t xml:space="preserve">See </w:t>
      </w:r>
      <w:bookmarkStart w:id="568" w:name="Bookmark_I5WHY2KB28T48K0050000400"/>
      <w:bookmarkEnd w:id="568"/>
      <w:r>
        <w:rPr>
          <w:rFonts w:ascii="Arial" w:eastAsia="Arial" w:hAnsi="Arial" w:cs="Arial"/>
          <w:i/>
          <w:color w:val="000000"/>
          <w:sz w:val="20"/>
        </w:rPr>
        <w:t>id.</w:t>
      </w:r>
      <w:r>
        <w:rPr>
          <w:rFonts w:ascii="Arial" w:eastAsia="Arial" w:hAnsi="Arial" w:cs="Arial"/>
          <w:color w:val="000000"/>
          <w:sz w:val="20"/>
        </w:rPr>
        <w:t xml:space="preserve"> at 724 ("single injunction" requiring "District to meet its statutory deadline 95 percent of the time and to improve its performance by 10 percent in the first year and 5 percent each year thereafter" is sufficient remedy where "20 percent of preschoolers referred for a disability evaluation received an eligibility determination </w:t>
      </w:r>
      <w:r>
        <w:rPr>
          <w:rFonts w:ascii="Arial" w:eastAsia="Arial" w:hAnsi="Arial" w:cs="Arial"/>
          <w:i/>
          <w:color w:val="000000"/>
          <w:sz w:val="20"/>
        </w:rPr>
        <w:t>after</w:t>
      </w:r>
      <w:r>
        <w:rPr>
          <w:rFonts w:ascii="Arial" w:eastAsia="Arial" w:hAnsi="Arial" w:cs="Arial"/>
          <w:color w:val="000000"/>
          <w:sz w:val="20"/>
        </w:rPr>
        <w:t xml:space="preserve"> the statutory deadline, if [a]t all"); </w:t>
      </w:r>
      <w:bookmarkStart w:id="569" w:name="Bookmark_I5WHY2KB2N1PP00020000400"/>
      <w:bookmarkEnd w:id="569"/>
      <w:r>
        <w:rPr>
          <w:rFonts w:ascii="Arial" w:eastAsia="Arial" w:hAnsi="Arial" w:cs="Arial"/>
          <w:i/>
          <w:color w:val="000000"/>
          <w:sz w:val="20"/>
        </w:rPr>
        <w:t>id.</w:t>
      </w:r>
      <w:r>
        <w:rPr>
          <w:rFonts w:ascii="Arial" w:eastAsia="Arial" w:hAnsi="Arial" w:cs="Arial"/>
          <w:color w:val="000000"/>
          <w:sz w:val="20"/>
        </w:rPr>
        <w:t xml:space="preserve"> at 724-25 ("single injunction requiring annual </w:t>
      </w:r>
      <w:r>
        <w:rPr>
          <w:rFonts w:ascii="Arial" w:eastAsia="Arial" w:hAnsi="Arial" w:cs="Arial"/>
          <w:i/>
          <w:color w:val="000000"/>
          <w:sz w:val="20"/>
        </w:rPr>
        <w:t>improvement</w:t>
      </w:r>
      <w:r>
        <w:rPr>
          <w:rFonts w:ascii="Arial" w:eastAsia="Arial" w:hAnsi="Arial" w:cs="Arial"/>
          <w:color w:val="000000"/>
          <w:sz w:val="20"/>
        </w:rPr>
        <w:t xml:space="preserve">" is sufficient under Rule 23(b)(2) (emphasis added)); </w:t>
      </w:r>
      <w:bookmarkStart w:id="570" w:name="Bookmark_I5WHY2KB2N1PP00040000400"/>
      <w:bookmarkEnd w:id="570"/>
      <w:r>
        <w:rPr>
          <w:rFonts w:ascii="Arial" w:eastAsia="Arial" w:hAnsi="Arial" w:cs="Arial"/>
          <w:i/>
          <w:color w:val="000000"/>
          <w:sz w:val="20"/>
        </w:rPr>
        <w:t>id</w:t>
      </w:r>
      <w:r>
        <w:rPr>
          <w:rFonts w:ascii="Arial" w:eastAsia="Arial" w:hAnsi="Arial" w:cs="Arial"/>
          <w:color w:val="000000"/>
          <w:sz w:val="20"/>
        </w:rPr>
        <w:t xml:space="preserve"> at 726 ("district court's comprehensive order," requiring less than 100 per cent compliance with statutory mandate, can "provide relief to each member of the class" (second quoting </w:t>
      </w:r>
      <w:bookmarkStart w:id="571" w:name="Bookmark_I5WHY2KB2N1PP10010000400"/>
      <w:bookmarkEnd w:id="571"/>
      <w:r>
        <w:rPr>
          <w:rFonts w:ascii="Arial" w:eastAsia="Arial" w:hAnsi="Arial" w:cs="Arial"/>
          <w:i/>
          <w:color w:val="000000"/>
          <w:sz w:val="20"/>
        </w:rPr>
        <w:t>Wal-Mart</w:t>
      </w:r>
      <w:r>
        <w:rPr>
          <w:rFonts w:ascii="Arial" w:eastAsia="Arial" w:hAnsi="Arial" w:cs="Arial"/>
          <w:color w:val="000000"/>
          <w:sz w:val="20"/>
        </w:rPr>
        <w:t xml:space="preserve">, 564 U.S. at 360)). </w:t>
      </w:r>
      <w:bookmarkStart w:id="572" w:name="Bookmark_I5WHY2KB2N1PP10040000400_2"/>
      <w:bookmarkEnd w:id="572"/>
      <w:r>
        <w:rPr>
          <w:rFonts w:ascii="Arial" w:eastAsia="Arial" w:hAnsi="Arial" w:cs="Arial"/>
          <w:color w:val="000000"/>
          <w:sz w:val="20"/>
        </w:rPr>
        <w:t xml:space="preserve">We note, moreover, that the Supreme Court has called "[c]ivil rights cases against parties charged with unlawful, class-based discrimination" like this one, "'prime examples' of what (b)(2) is meant to capture." </w:t>
      </w:r>
      <w:bookmarkStart w:id="573" w:name="Bookmark_I5WHY2KB2N1PP10030000400"/>
      <w:bookmarkEnd w:id="573"/>
      <w:r>
        <w:rPr>
          <w:rFonts w:ascii="Arial" w:eastAsia="Arial" w:hAnsi="Arial" w:cs="Arial"/>
          <w:i/>
          <w:color w:val="000000"/>
          <w:sz w:val="20"/>
        </w:rPr>
        <w:t>Wal-Mart</w:t>
      </w:r>
      <w:r>
        <w:rPr>
          <w:rFonts w:ascii="Arial" w:eastAsia="Arial" w:hAnsi="Arial" w:cs="Arial"/>
          <w:color w:val="000000"/>
          <w:sz w:val="20"/>
        </w:rPr>
        <w:t xml:space="preserve">, 564 U.S. at 361 (alteration in original) (quoting </w:t>
      </w:r>
      <w:bookmarkStart w:id="574" w:name="Bookmark_I5WHY2KB2N1PP10050000400"/>
      <w:bookmarkEnd w:id="574"/>
      <w:r>
        <w:rPr>
          <w:rFonts w:ascii="Arial" w:eastAsia="Arial" w:hAnsi="Arial" w:cs="Arial"/>
          <w:i/>
          <w:color w:val="000000"/>
          <w:sz w:val="20"/>
        </w:rPr>
        <w:t>Amchem Prods., Inc. v. Windsor</w:t>
      </w:r>
      <w:r>
        <w:rPr>
          <w:rFonts w:ascii="Arial" w:eastAsia="Arial" w:hAnsi="Arial" w:cs="Arial"/>
          <w:color w:val="000000"/>
          <w:sz w:val="20"/>
        </w:rPr>
        <w:t xml:space="preserve">, 521 U.S. 591, 614, 117 S. Ct. 2231, 138 L. Ed. 2d 689 (1997)); </w:t>
      </w:r>
      <w:r>
        <w:rPr>
          <w:rFonts w:ascii="Arial" w:eastAsia="Arial" w:hAnsi="Arial" w:cs="Arial"/>
          <w:i/>
          <w:color w:val="000000"/>
          <w:sz w:val="20"/>
        </w:rPr>
        <w:t xml:space="preserve">see also </w:t>
      </w:r>
      <w:bookmarkStart w:id="575" w:name="Bookmark_I5WHY2KB2SF7MC0020000400"/>
      <w:bookmarkEnd w:id="575"/>
      <w:r>
        <w:rPr>
          <w:rFonts w:ascii="Arial" w:eastAsia="Arial" w:hAnsi="Arial" w:cs="Arial"/>
          <w:i/>
          <w:color w:val="000000"/>
          <w:sz w:val="20"/>
        </w:rPr>
        <w:t>DL II</w:t>
      </w:r>
      <w:r>
        <w:rPr>
          <w:rFonts w:ascii="Arial" w:eastAsia="Arial" w:hAnsi="Arial" w:cs="Arial"/>
          <w:color w:val="000000"/>
          <w:sz w:val="20"/>
        </w:rPr>
        <w:t>, 860 F.3d at 726 ("Rule 23(b)(2) exists so that parties and courts, especially in civil rights cases like this, can avoid piecemeal litigation [***28]  when common claims arise from systemic harms that demand injunctive relief.").</w:t>
      </w:r>
    </w:p>
    <w:p w:rsidR="00E456CD" w:rsidRDefault="00000000">
      <w:pPr>
        <w:pStyle w:val="Normal3"/>
        <w:widowControl w:val="0"/>
        <w:spacing w:before="200" w:line="260" w:lineRule="atLeast"/>
        <w:jc w:val="both"/>
      </w:pPr>
      <w:bookmarkStart w:id="576" w:name="Bookmark_para_42"/>
      <w:bookmarkEnd w:id="576"/>
      <w:r>
        <w:rPr>
          <w:rFonts w:ascii="Arial" w:eastAsia="Arial" w:hAnsi="Arial" w:cs="Arial"/>
          <w:color w:val="000000"/>
          <w:sz w:val="20"/>
        </w:rPr>
        <w:t>Plaintiffs claim that their transition to the community is legally mandated. Because the proposed injunction would provide, at least in part, each member of the class an increased opportunity to obtain that outcome, Rule 23(b)(2) is satisfied on the current record.</w:t>
      </w:r>
    </w:p>
    <w:p w:rsidR="00E456CD" w:rsidRDefault="00000000">
      <w:pPr>
        <w:pStyle w:val="Normal3"/>
        <w:widowControl w:val="0"/>
        <w:spacing w:before="240" w:line="260" w:lineRule="atLeast"/>
      </w:pPr>
      <w:r>
        <w:br/>
      </w:r>
      <w:r>
        <w:rPr>
          <w:rFonts w:ascii="Arial" w:eastAsia="Arial" w:hAnsi="Arial" w:cs="Arial"/>
          <w:b/>
          <w:color w:val="000000"/>
          <w:sz w:val="20"/>
        </w:rPr>
        <w:t xml:space="preserve">C. </w:t>
      </w:r>
      <w:r>
        <w:rPr>
          <w:rFonts w:ascii="Arial" w:eastAsia="Arial" w:hAnsi="Arial" w:cs="Arial"/>
          <w:b/>
          <w:smallCaps/>
          <w:color w:val="000000"/>
          <w:sz w:val="20"/>
        </w:rPr>
        <w:t>Remand Instructions</w:t>
      </w:r>
    </w:p>
    <w:p w:rsidR="00E456CD" w:rsidRDefault="00000000">
      <w:pPr>
        <w:pStyle w:val="Normal3"/>
        <w:widowControl w:val="0"/>
        <w:spacing w:before="200" w:line="260" w:lineRule="atLeast"/>
        <w:jc w:val="both"/>
      </w:pPr>
      <w:bookmarkStart w:id="577" w:name="Bookmark_para_43"/>
      <w:bookmarkEnd w:id="577"/>
      <w:r>
        <w:rPr>
          <w:rFonts w:ascii="Arial" w:eastAsia="Arial" w:hAnsi="Arial" w:cs="Arial"/>
          <w:color w:val="000000"/>
          <w:sz w:val="20"/>
        </w:rPr>
        <w:t xml:space="preserve">Thus, this litigation boils down to resolution of the third </w:t>
      </w:r>
      <w:r>
        <w:rPr>
          <w:rFonts w:ascii="Arial" w:eastAsia="Arial" w:hAnsi="Arial" w:cs="Arial"/>
          <w:i/>
          <w:color w:val="000000"/>
          <w:sz w:val="20"/>
        </w:rPr>
        <w:t>Olmstead</w:t>
      </w:r>
      <w:r>
        <w:rPr>
          <w:rFonts w:ascii="Arial" w:eastAsia="Arial" w:hAnsi="Arial" w:cs="Arial"/>
          <w:color w:val="000000"/>
          <w:sz w:val="20"/>
        </w:rPr>
        <w:t xml:space="preserve"> question: are the requested accommodations reasonable? If the answer to that question is yes with respect to the entire class, Plaintiffs are entitled to judgment in their favor.</w:t>
      </w:r>
      <w:r>
        <w:rPr>
          <w:rFonts w:ascii="Arial" w:eastAsia="Arial" w:hAnsi="Arial" w:cs="Arial"/>
          <w:vertAlign w:val="superscript"/>
        </w:rPr>
        <w:footnoteReference w:customMarkFollows="1" w:id="49"/>
        <w:t>10</w:t>
      </w:r>
      <w:r>
        <w:rPr>
          <w:rFonts w:ascii="Arial" w:eastAsia="Arial" w:hAnsi="Arial" w:cs="Arial"/>
          <w:color w:val="000000"/>
          <w:sz w:val="20"/>
        </w:rPr>
        <w:t xml:space="preserve"> If the answer to that question is no with respect to the entire class, the District is entitled to judgment in its favor. In addition, if common proof will not lead to a common answer to that question for each member of the class, the class should be modified or decertified for failure to comply with Rule 23(a)(2). And if the requested injunction will not provide relief to each member of the class, the class should be modified or decertified for failure to comply with Rule 23(b)(2).</w:t>
      </w:r>
    </w:p>
    <w:p w:rsidR="00E456CD" w:rsidRDefault="00000000">
      <w:pPr>
        <w:pStyle w:val="Normal3"/>
        <w:widowControl w:val="0"/>
        <w:spacing w:before="200" w:line="260" w:lineRule="atLeast"/>
        <w:jc w:val="both"/>
      </w:pPr>
      <w:bookmarkStart w:id="586" w:name="Bookmark_para_44"/>
      <w:bookmarkStart w:id="587" w:name="Bookmark_I5WHY2KB2HM6V60030000400"/>
      <w:bookmarkEnd w:id="586"/>
      <w:bookmarkEnd w:id="587"/>
      <w:r>
        <w:rPr>
          <w:rFonts w:ascii="Arial" w:eastAsia="Arial" w:hAnsi="Arial" w:cs="Arial"/>
          <w:color w:val="000000"/>
          <w:sz w:val="20"/>
        </w:rPr>
        <w:t>This case turns on whether the District can establish that the plaintiffs' requested  [*1084]   [**169]  accommodations are in fact unreasonable [***29]  (either because the District has an adequate "</w:t>
      </w:r>
      <w:r>
        <w:rPr>
          <w:rFonts w:ascii="Arial" w:eastAsia="Arial" w:hAnsi="Arial" w:cs="Arial"/>
          <w:i/>
          <w:color w:val="000000"/>
          <w:sz w:val="20"/>
        </w:rPr>
        <w:t>Olmstead</w:t>
      </w:r>
      <w:r>
        <w:rPr>
          <w:rFonts w:ascii="Arial" w:eastAsia="Arial" w:hAnsi="Arial" w:cs="Arial"/>
          <w:color w:val="000000"/>
          <w:sz w:val="20"/>
        </w:rPr>
        <w:t xml:space="preserve"> Plan" in place, in which case every requested accommodation is categorically unreasonable, or because each individual accommodation is so costly that it would be unreasonable to require the District to transfer its limited resources from other disabled individuals). </w:t>
      </w:r>
      <w:bookmarkStart w:id="588" w:name="Bookmark_I5WHY2KB2HM6V60050000400"/>
      <w:bookmarkEnd w:id="588"/>
      <w:r>
        <w:rPr>
          <w:rFonts w:ascii="Arial" w:eastAsia="Arial" w:hAnsi="Arial" w:cs="Arial"/>
          <w:color w:val="000000"/>
          <w:sz w:val="20"/>
        </w:rPr>
        <w:t xml:space="preserve">As discussed </w:t>
      </w:r>
      <w:r>
        <w:rPr>
          <w:rFonts w:ascii="Arial" w:eastAsia="Arial" w:hAnsi="Arial" w:cs="Arial"/>
          <w:i/>
          <w:color w:val="000000"/>
          <w:sz w:val="20"/>
        </w:rPr>
        <w:t>supra</w:t>
      </w:r>
      <w:r>
        <w:rPr>
          <w:rFonts w:ascii="Arial" w:eastAsia="Arial" w:hAnsi="Arial" w:cs="Arial"/>
          <w:color w:val="000000"/>
          <w:sz w:val="20"/>
        </w:rPr>
        <w:t xml:space="preserve">, pp. 13-14, the District can meet its burden to establish the requested accommodations are unreasonable in one of two ways. The District can establish that it has a "comprehensive, effectively working plan" for transitioning the individuals to the community and a "waiting list [for transition to the community] that move[s] at a reasonable pace," </w:t>
      </w:r>
      <w:r>
        <w:rPr>
          <w:rFonts w:ascii="Arial" w:eastAsia="Arial" w:hAnsi="Arial" w:cs="Arial"/>
          <w:i/>
          <w:color w:val="000000"/>
          <w:sz w:val="20"/>
        </w:rPr>
        <w:t>i.e.</w:t>
      </w:r>
      <w:r>
        <w:rPr>
          <w:rFonts w:ascii="Arial" w:eastAsia="Arial" w:hAnsi="Arial" w:cs="Arial"/>
          <w:color w:val="000000"/>
          <w:sz w:val="20"/>
        </w:rPr>
        <w:t>, an adequate "</w:t>
      </w:r>
      <w:r>
        <w:rPr>
          <w:rFonts w:ascii="Arial" w:eastAsia="Arial" w:hAnsi="Arial" w:cs="Arial"/>
          <w:i/>
          <w:color w:val="000000"/>
          <w:sz w:val="20"/>
        </w:rPr>
        <w:t>Olmstead</w:t>
      </w:r>
      <w:r>
        <w:rPr>
          <w:rFonts w:ascii="Arial" w:eastAsia="Arial" w:hAnsi="Arial" w:cs="Arial"/>
          <w:color w:val="000000"/>
          <w:sz w:val="20"/>
        </w:rPr>
        <w:t xml:space="preserve"> Plan." </w:t>
      </w:r>
      <w:bookmarkStart w:id="589" w:name="Bookmark_I5WHY2KB2HM6V60020000400"/>
      <w:bookmarkEnd w:id="589"/>
      <w:r>
        <w:rPr>
          <w:rFonts w:ascii="Arial" w:eastAsia="Arial" w:hAnsi="Arial" w:cs="Arial"/>
          <w:i/>
          <w:color w:val="000000"/>
          <w:sz w:val="20"/>
        </w:rPr>
        <w:t>Olmstead</w:t>
      </w:r>
      <w:r>
        <w:rPr>
          <w:rFonts w:ascii="Arial" w:eastAsia="Arial" w:hAnsi="Arial" w:cs="Arial"/>
          <w:color w:val="000000"/>
          <w:sz w:val="20"/>
        </w:rPr>
        <w:t>, 527 U.S. at 605-06. If it cannot demonstrate the existence of an adequate "</w:t>
      </w:r>
      <w:r>
        <w:rPr>
          <w:rFonts w:ascii="Arial" w:eastAsia="Arial" w:hAnsi="Arial" w:cs="Arial"/>
          <w:i/>
          <w:color w:val="000000"/>
          <w:sz w:val="20"/>
        </w:rPr>
        <w:t>Olmstead</w:t>
      </w:r>
      <w:r>
        <w:rPr>
          <w:rFonts w:ascii="Arial" w:eastAsia="Arial" w:hAnsi="Arial" w:cs="Arial"/>
          <w:color w:val="000000"/>
          <w:sz w:val="20"/>
        </w:rPr>
        <w:t xml:space="preserve"> Plan," the District can establish, </w:t>
      </w:r>
      <w:r>
        <w:rPr>
          <w:rFonts w:ascii="Arial" w:eastAsia="Arial" w:hAnsi="Arial" w:cs="Arial"/>
          <w:i/>
          <w:color w:val="000000"/>
          <w:sz w:val="20"/>
        </w:rPr>
        <w:t>seriatim</w:t>
      </w:r>
      <w:r>
        <w:rPr>
          <w:rFonts w:ascii="Arial" w:eastAsia="Arial" w:hAnsi="Arial" w:cs="Arial"/>
          <w:color w:val="000000"/>
          <w:sz w:val="20"/>
        </w:rPr>
        <w:t xml:space="preserve">, that each of the four provisions of Plaintiffs' requested injunction would be so costly as to require an </w:t>
      </w:r>
      <w:r>
        <w:rPr>
          <w:rFonts w:ascii="Arial" w:eastAsia="Arial" w:hAnsi="Arial" w:cs="Arial"/>
          <w:i/>
          <w:color w:val="000000"/>
          <w:sz w:val="20"/>
        </w:rPr>
        <w:t>unreasonable</w:t>
      </w:r>
      <w:r>
        <w:rPr>
          <w:rFonts w:ascii="Arial" w:eastAsia="Arial" w:hAnsi="Arial" w:cs="Arial"/>
          <w:color w:val="000000"/>
          <w:sz w:val="20"/>
        </w:rPr>
        <w:t xml:space="preserve"> transfer of the District's limited resources from other disabled individuals. </w:t>
      </w:r>
      <w:bookmarkStart w:id="590" w:name="Bookmark_I5WHY2KB2HM6V60050000400_2"/>
      <w:bookmarkStart w:id="591" w:name="Bookmark_I5WHY2KB2HM6V60040000400"/>
      <w:bookmarkEnd w:id="590"/>
      <w:bookmarkEnd w:id="591"/>
      <w:r>
        <w:rPr>
          <w:rFonts w:ascii="Arial" w:eastAsia="Arial" w:hAnsi="Arial" w:cs="Arial"/>
          <w:i/>
          <w:color w:val="000000"/>
          <w:sz w:val="20"/>
        </w:rPr>
        <w:t>Id.</w:t>
      </w:r>
      <w:r>
        <w:rPr>
          <w:rFonts w:ascii="Arial" w:eastAsia="Arial" w:hAnsi="Arial" w:cs="Arial"/>
          <w:color w:val="000000"/>
          <w:sz w:val="20"/>
        </w:rPr>
        <w:t xml:space="preserve"> at 604.</w:t>
      </w:r>
    </w:p>
    <w:p w:rsidR="00E456CD" w:rsidRDefault="00000000">
      <w:pPr>
        <w:pStyle w:val="Normal3"/>
        <w:widowControl w:val="0"/>
        <w:spacing w:before="200" w:line="260" w:lineRule="atLeast"/>
        <w:jc w:val="both"/>
      </w:pPr>
      <w:bookmarkStart w:id="592" w:name="Bookmark_para_45"/>
      <w:bookmarkStart w:id="593" w:name="Bookmark_I5WHY2KB28T48R0020000400"/>
      <w:bookmarkEnd w:id="592"/>
      <w:bookmarkEnd w:id="593"/>
      <w:r>
        <w:rPr>
          <w:rFonts w:ascii="Arial" w:eastAsia="Arial" w:hAnsi="Arial" w:cs="Arial"/>
          <w:color w:val="000000"/>
          <w:sz w:val="20"/>
        </w:rPr>
        <w:t>The district court has not yet concluded, in clear terms and under the correct burden of proof, that the District's "</w:t>
      </w:r>
      <w:r>
        <w:rPr>
          <w:rFonts w:ascii="Arial" w:eastAsia="Arial" w:hAnsi="Arial" w:cs="Arial"/>
          <w:i/>
          <w:color w:val="000000"/>
          <w:sz w:val="20"/>
        </w:rPr>
        <w:t>Olmstead</w:t>
      </w:r>
      <w:r>
        <w:rPr>
          <w:rFonts w:ascii="Arial" w:eastAsia="Arial" w:hAnsi="Arial" w:cs="Arial"/>
          <w:color w:val="000000"/>
          <w:sz w:val="20"/>
        </w:rPr>
        <w:t xml:space="preserve"> Plan" is adequate. </w:t>
      </w:r>
      <w:bookmarkStart w:id="594" w:name="Bookmark_I5WHY2KB28T48R0040000400"/>
      <w:bookmarkEnd w:id="594"/>
      <w:r>
        <w:rPr>
          <w:rFonts w:ascii="Arial" w:eastAsia="Arial" w:hAnsi="Arial" w:cs="Arial"/>
          <w:color w:val="000000"/>
          <w:sz w:val="20"/>
        </w:rPr>
        <w:t xml:space="preserve">In fact, the district court has consistently [***30]  held throughout this litigation that the District </w:t>
      </w:r>
      <w:r>
        <w:rPr>
          <w:rFonts w:ascii="Arial" w:eastAsia="Arial" w:hAnsi="Arial" w:cs="Arial"/>
          <w:i/>
          <w:color w:val="000000"/>
          <w:sz w:val="20"/>
        </w:rPr>
        <w:t>does not</w:t>
      </w:r>
      <w:r>
        <w:rPr>
          <w:rFonts w:ascii="Arial" w:eastAsia="Arial" w:hAnsi="Arial" w:cs="Arial"/>
          <w:color w:val="000000"/>
          <w:sz w:val="20"/>
        </w:rPr>
        <w:t xml:space="preserve"> have an adequate "</w:t>
      </w:r>
      <w:r>
        <w:rPr>
          <w:rFonts w:ascii="Arial" w:eastAsia="Arial" w:hAnsi="Arial" w:cs="Arial"/>
          <w:i/>
          <w:color w:val="000000"/>
          <w:sz w:val="20"/>
        </w:rPr>
        <w:t>Olmstead</w:t>
      </w:r>
      <w:r>
        <w:rPr>
          <w:rFonts w:ascii="Arial" w:eastAsia="Arial" w:hAnsi="Arial" w:cs="Arial"/>
          <w:color w:val="000000"/>
          <w:sz w:val="20"/>
        </w:rPr>
        <w:t xml:space="preserve"> Plan" in place. </w:t>
      </w:r>
      <w:bookmarkStart w:id="595" w:name="Bookmark_I5WHY2KB2D6NSK0030000400"/>
      <w:bookmarkEnd w:id="595"/>
      <w:r>
        <w:rPr>
          <w:rFonts w:ascii="Arial" w:eastAsia="Arial" w:hAnsi="Arial" w:cs="Arial"/>
          <w:color w:val="000000"/>
          <w:sz w:val="20"/>
        </w:rPr>
        <w:t xml:space="preserve">In 2012, the district court concluded that "[a] public entity cannot rely on its </w:t>
      </w:r>
      <w:r>
        <w:rPr>
          <w:rFonts w:ascii="Arial" w:eastAsia="Arial" w:hAnsi="Arial" w:cs="Arial"/>
          <w:i/>
          <w:color w:val="000000"/>
          <w:sz w:val="20"/>
        </w:rPr>
        <w:t>Olmstead</w:t>
      </w:r>
      <w:r>
        <w:rPr>
          <w:rFonts w:ascii="Arial" w:eastAsia="Arial" w:hAnsi="Arial" w:cs="Arial"/>
          <w:color w:val="000000"/>
          <w:sz w:val="20"/>
        </w:rPr>
        <w:t xml:space="preserve"> plan as part of its defense unless it can prove that its plan comprehensively and effectively addresses the needless segregation of the group at issue in the case." </w:t>
      </w:r>
      <w:bookmarkStart w:id="596" w:name="Bookmark_I5WHY2KB28T48R0010000400"/>
      <w:bookmarkEnd w:id="596"/>
      <w:r>
        <w:rPr>
          <w:rFonts w:ascii="Arial" w:eastAsia="Arial" w:hAnsi="Arial" w:cs="Arial"/>
          <w:i/>
          <w:color w:val="000000"/>
          <w:sz w:val="20"/>
        </w:rPr>
        <w:t>Day</w:t>
      </w:r>
      <w:r>
        <w:rPr>
          <w:rFonts w:ascii="Arial" w:eastAsia="Arial" w:hAnsi="Arial" w:cs="Arial"/>
          <w:color w:val="000000"/>
          <w:sz w:val="20"/>
        </w:rPr>
        <w:t xml:space="preserve">, 894 F. Supp. 2d at 27. </w:t>
      </w:r>
      <w:bookmarkStart w:id="597" w:name="Bookmark_I5WHY2KB2D6NSK0030000400_2"/>
      <w:bookmarkStart w:id="598" w:name="Bookmark_I5WHY2KB28T48R0040000400_2"/>
      <w:bookmarkStart w:id="599" w:name="Bookmark_I5WHY2KB28T48S0020000400"/>
      <w:bookmarkEnd w:id="597"/>
      <w:bookmarkEnd w:id="598"/>
      <w:bookmarkEnd w:id="599"/>
      <w:r>
        <w:rPr>
          <w:rFonts w:ascii="Arial" w:eastAsia="Arial" w:hAnsi="Arial" w:cs="Arial"/>
          <w:color w:val="000000"/>
          <w:sz w:val="20"/>
        </w:rPr>
        <w:t xml:space="preserve">"Given the fact that, at the time, there were at least 526 physically disabled individuals living in nursing facilities who expressed an interest in living in the community, the undisputed facts demonstrated that the District's </w:t>
      </w:r>
      <w:r>
        <w:rPr>
          <w:rFonts w:ascii="Arial" w:eastAsia="Arial" w:hAnsi="Arial" w:cs="Arial"/>
          <w:i/>
          <w:color w:val="000000"/>
          <w:sz w:val="20"/>
        </w:rPr>
        <w:t>Olmstead</w:t>
      </w:r>
      <w:r>
        <w:rPr>
          <w:rFonts w:ascii="Arial" w:eastAsia="Arial" w:hAnsi="Arial" w:cs="Arial"/>
          <w:color w:val="000000"/>
          <w:sz w:val="20"/>
        </w:rPr>
        <w:t xml:space="preserve"> Plan had not been effective." </w:t>
      </w:r>
      <w:bookmarkStart w:id="600" w:name="Bookmark_I5WHY2KB28T48R0030000400"/>
      <w:bookmarkEnd w:id="600"/>
      <w:r>
        <w:rPr>
          <w:rFonts w:ascii="Arial" w:eastAsia="Arial" w:hAnsi="Arial" w:cs="Arial"/>
          <w:i/>
          <w:color w:val="000000"/>
          <w:sz w:val="20"/>
        </w:rPr>
        <w:t>Brown</w:t>
      </w:r>
      <w:r>
        <w:rPr>
          <w:rFonts w:ascii="Arial" w:eastAsia="Arial" w:hAnsi="Arial" w:cs="Arial"/>
          <w:color w:val="000000"/>
          <w:sz w:val="20"/>
        </w:rPr>
        <w:t xml:space="preserve">, 322 F.R.D. at 58 (citing </w:t>
      </w:r>
      <w:bookmarkStart w:id="601" w:name="Bookmark_I5WHY2KB28T48R0050000400"/>
      <w:bookmarkEnd w:id="601"/>
      <w:r>
        <w:rPr>
          <w:rFonts w:ascii="Arial" w:eastAsia="Arial" w:hAnsi="Arial" w:cs="Arial"/>
          <w:i/>
          <w:color w:val="000000"/>
          <w:sz w:val="20"/>
        </w:rPr>
        <w:t>Day</w:t>
      </w:r>
      <w:r>
        <w:rPr>
          <w:rFonts w:ascii="Arial" w:eastAsia="Arial" w:hAnsi="Arial" w:cs="Arial"/>
          <w:color w:val="000000"/>
          <w:sz w:val="20"/>
        </w:rPr>
        <w:t xml:space="preserve">, 894 F. Supp. 2d at 29). </w:t>
      </w:r>
      <w:bookmarkStart w:id="602" w:name="Bookmark_I5WHY2KB28T48S0020000400_2"/>
      <w:bookmarkEnd w:id="602"/>
      <w:r>
        <w:rPr>
          <w:rFonts w:ascii="Arial" w:eastAsia="Arial" w:hAnsi="Arial" w:cs="Arial"/>
          <w:color w:val="000000"/>
          <w:sz w:val="20"/>
        </w:rPr>
        <w:t xml:space="preserve">In 2014, the district court held that "the District ha[d] yet to demonstrate that its </w:t>
      </w:r>
      <w:r>
        <w:rPr>
          <w:rFonts w:ascii="Arial" w:eastAsia="Arial" w:hAnsi="Arial" w:cs="Arial"/>
          <w:i/>
          <w:color w:val="000000"/>
          <w:sz w:val="20"/>
        </w:rPr>
        <w:t>Olmstead</w:t>
      </w:r>
      <w:r>
        <w:rPr>
          <w:rFonts w:ascii="Arial" w:eastAsia="Arial" w:hAnsi="Arial" w:cs="Arial"/>
          <w:color w:val="000000"/>
          <w:sz w:val="20"/>
        </w:rPr>
        <w:t xml:space="preserve"> Plan [wa]s an 'effectively working plan for placing qualified persons with . . . disabilities in less restrictive settings, [with] a waiting list that move[d] at a reasonable pace not controlled by the State's endeavors to keep its institutions fully populated.'" </w:t>
      </w:r>
      <w:bookmarkStart w:id="603" w:name="Bookmark_I5WHY2KB2D6NSK0020000400"/>
      <w:bookmarkEnd w:id="603"/>
      <w:r>
        <w:rPr>
          <w:rFonts w:ascii="Arial" w:eastAsia="Arial" w:hAnsi="Arial" w:cs="Arial"/>
          <w:i/>
          <w:color w:val="000000"/>
          <w:sz w:val="20"/>
        </w:rPr>
        <w:t>Thorpe</w:t>
      </w:r>
      <w:r>
        <w:rPr>
          <w:rFonts w:ascii="Arial" w:eastAsia="Arial" w:hAnsi="Arial" w:cs="Arial"/>
          <w:color w:val="000000"/>
          <w:sz w:val="20"/>
        </w:rPr>
        <w:t xml:space="preserve">, 303 F.R.D. at 138 (third alteration in original) (quoting </w:t>
      </w:r>
      <w:bookmarkStart w:id="604" w:name="Bookmark_I5WHY2KB2D6NSK0040000400"/>
      <w:bookmarkEnd w:id="604"/>
      <w:r>
        <w:rPr>
          <w:rFonts w:ascii="Arial" w:eastAsia="Arial" w:hAnsi="Arial" w:cs="Arial"/>
          <w:i/>
          <w:color w:val="000000"/>
          <w:sz w:val="20"/>
        </w:rPr>
        <w:t>Olmstead</w:t>
      </w:r>
      <w:r>
        <w:rPr>
          <w:rFonts w:ascii="Arial" w:eastAsia="Arial" w:hAnsi="Arial" w:cs="Arial"/>
          <w:color w:val="000000"/>
          <w:sz w:val="20"/>
        </w:rPr>
        <w:t xml:space="preserve">, 527 U.S. at 605-06). </w:t>
      </w:r>
      <w:bookmarkStart w:id="605" w:name="Bookmark_I5WHY2KB28T48S0020000400_3"/>
      <w:bookmarkEnd w:id="605"/>
      <w:r>
        <w:rPr>
          <w:rFonts w:ascii="Arial" w:eastAsia="Arial" w:hAnsi="Arial" w:cs="Arial"/>
          <w:color w:val="000000"/>
          <w:sz w:val="20"/>
        </w:rPr>
        <w:t xml:space="preserve">And in the order </w:t>
      </w:r>
      <w:r>
        <w:rPr>
          <w:rFonts w:ascii="Arial" w:eastAsia="Arial" w:hAnsi="Arial" w:cs="Arial"/>
          <w:i/>
          <w:color w:val="000000"/>
          <w:sz w:val="20"/>
        </w:rPr>
        <w:t>sub judice</w:t>
      </w:r>
      <w:r>
        <w:rPr>
          <w:rFonts w:ascii="Arial" w:eastAsia="Arial" w:hAnsi="Arial" w:cs="Arial"/>
          <w:color w:val="000000"/>
          <w:sz w:val="20"/>
        </w:rPr>
        <w:t xml:space="preserve">, the district court did not find that the District's plan is "effectively working" or that its waiting list "moves at a reasonable [***31]  pace" within </w:t>
      </w:r>
      <w:r>
        <w:rPr>
          <w:rFonts w:ascii="Arial" w:eastAsia="Arial" w:hAnsi="Arial" w:cs="Arial"/>
          <w:i/>
          <w:color w:val="000000"/>
          <w:sz w:val="20"/>
        </w:rPr>
        <w:t>Olmstead</w:t>
      </w:r>
      <w:r>
        <w:rPr>
          <w:rFonts w:ascii="Arial" w:eastAsia="Arial" w:hAnsi="Arial" w:cs="Arial"/>
          <w:color w:val="000000"/>
          <w:sz w:val="20"/>
        </w:rPr>
        <w:t>'s language.</w:t>
      </w:r>
      <w:r>
        <w:rPr>
          <w:rFonts w:ascii="Arial" w:eastAsia="Arial" w:hAnsi="Arial" w:cs="Arial"/>
          <w:vertAlign w:val="superscript"/>
        </w:rPr>
        <w:footnoteReference w:customMarkFollows="1" w:id="50"/>
        <w:t>11</w:t>
      </w:r>
      <w:r>
        <w:rPr>
          <w:rFonts w:ascii="Arial" w:eastAsia="Arial" w:hAnsi="Arial" w:cs="Arial"/>
          <w:color w:val="000000"/>
          <w:sz w:val="20"/>
        </w:rPr>
        <w:t xml:space="preserve"> In fact, it stated that "[t]he District has little to be proud of regarding its historic inability to comply with </w:t>
      </w:r>
      <w:r>
        <w:rPr>
          <w:rFonts w:ascii="Arial" w:eastAsia="Arial" w:hAnsi="Arial" w:cs="Arial"/>
          <w:i/>
          <w:color w:val="000000"/>
          <w:sz w:val="20"/>
        </w:rPr>
        <w:t>Olmstead</w:t>
      </w:r>
      <w:r>
        <w:rPr>
          <w:rFonts w:ascii="Arial" w:eastAsia="Arial" w:hAnsi="Arial" w:cs="Arial"/>
          <w:color w:val="000000"/>
          <w:sz w:val="20"/>
        </w:rPr>
        <w:t xml:space="preserve">'s integration mandate." </w:t>
      </w:r>
      <w:bookmarkStart w:id="613" w:name="Bookmark_I5WHY2KB28T48S0010000400"/>
      <w:bookmarkEnd w:id="613"/>
      <w:r>
        <w:rPr>
          <w:rFonts w:ascii="Arial" w:eastAsia="Arial" w:hAnsi="Arial" w:cs="Arial"/>
          <w:i/>
          <w:color w:val="000000"/>
          <w:sz w:val="20"/>
        </w:rPr>
        <w:t>Brown</w:t>
      </w:r>
      <w:r>
        <w:rPr>
          <w:rFonts w:ascii="Arial" w:eastAsia="Arial" w:hAnsi="Arial" w:cs="Arial"/>
          <w:color w:val="000000"/>
          <w:sz w:val="20"/>
        </w:rPr>
        <w:t>, 322 F.R.D. at 96. Thus, the District has not yet demonstrated that it has an adequate "</w:t>
      </w:r>
      <w:r>
        <w:rPr>
          <w:rFonts w:ascii="Arial" w:eastAsia="Arial" w:hAnsi="Arial" w:cs="Arial"/>
          <w:i/>
          <w:color w:val="000000"/>
          <w:sz w:val="20"/>
        </w:rPr>
        <w:t>Olmstead</w:t>
      </w:r>
      <w:r>
        <w:rPr>
          <w:rFonts w:ascii="Arial" w:eastAsia="Arial" w:hAnsi="Arial" w:cs="Arial"/>
          <w:color w:val="000000"/>
          <w:sz w:val="20"/>
        </w:rPr>
        <w:t xml:space="preserve"> Plan" in place and so has not shown that all requested accommodations are categorically unreasonable. The district court is, of course,  [*1085]   [**170]  free to find on remand that the District now has an adequate "</w:t>
      </w:r>
      <w:r>
        <w:rPr>
          <w:rFonts w:ascii="Arial" w:eastAsia="Arial" w:hAnsi="Arial" w:cs="Arial"/>
          <w:i/>
          <w:color w:val="000000"/>
          <w:sz w:val="20"/>
        </w:rPr>
        <w:t>Olmstead</w:t>
      </w:r>
      <w:r>
        <w:rPr>
          <w:rFonts w:ascii="Arial" w:eastAsia="Arial" w:hAnsi="Arial" w:cs="Arial"/>
          <w:color w:val="000000"/>
          <w:sz w:val="20"/>
        </w:rPr>
        <w:t xml:space="preserve"> Plan" in place.</w:t>
      </w:r>
      <w:r>
        <w:rPr>
          <w:rFonts w:ascii="Arial" w:eastAsia="Arial" w:hAnsi="Arial" w:cs="Arial"/>
          <w:vertAlign w:val="superscript"/>
        </w:rPr>
        <w:footnoteReference w:customMarkFollows="1" w:id="51"/>
        <w:t>12</w:t>
      </w:r>
    </w:p>
    <w:p w:rsidR="00E456CD" w:rsidRDefault="00000000">
      <w:pPr>
        <w:pStyle w:val="Normal3"/>
        <w:widowControl w:val="0"/>
        <w:spacing w:before="200" w:line="260" w:lineRule="atLeast"/>
        <w:jc w:val="both"/>
      </w:pPr>
      <w:bookmarkStart w:id="615" w:name="Bookmark_para_46"/>
      <w:bookmarkEnd w:id="615"/>
      <w:r>
        <w:rPr>
          <w:rFonts w:ascii="Arial" w:eastAsia="Arial" w:hAnsi="Arial" w:cs="Arial"/>
          <w:color w:val="000000"/>
          <w:sz w:val="20"/>
        </w:rPr>
        <w:t>If the District still lacks an adequate "</w:t>
      </w:r>
      <w:r>
        <w:rPr>
          <w:rFonts w:ascii="Arial" w:eastAsia="Arial" w:hAnsi="Arial" w:cs="Arial"/>
          <w:i/>
          <w:color w:val="000000"/>
          <w:sz w:val="20"/>
        </w:rPr>
        <w:t>Olmstead</w:t>
      </w:r>
      <w:r>
        <w:rPr>
          <w:rFonts w:ascii="Arial" w:eastAsia="Arial" w:hAnsi="Arial" w:cs="Arial"/>
          <w:color w:val="000000"/>
          <w:sz w:val="20"/>
        </w:rPr>
        <w:t xml:space="preserve"> Plan," its burden is to demonstrate that each accommodation requested by Plaintiffs would be so costly as to require an unreasonable transfer of the District's limited resources from other disabled individuals. Because the district court did not identify this showing as the District's burden, the District did not attempt to meet it. The District will have the opportunity to do so on remand.</w:t>
      </w:r>
      <w:r>
        <w:rPr>
          <w:rFonts w:ascii="Arial" w:eastAsia="Arial" w:hAnsi="Arial" w:cs="Arial"/>
          <w:vertAlign w:val="superscript"/>
        </w:rPr>
        <w:footnoteReference w:customMarkFollows="1" w:id="52"/>
        <w:t>13</w:t>
      </w:r>
    </w:p>
    <w:p w:rsidR="00E456CD" w:rsidRDefault="00000000">
      <w:pPr>
        <w:pStyle w:val="Normal3"/>
        <w:widowControl w:val="0"/>
        <w:spacing w:before="200" w:line="260" w:lineRule="atLeast"/>
        <w:jc w:val="both"/>
      </w:pPr>
      <w:bookmarkStart w:id="621" w:name="Bookmark_para_47"/>
      <w:bookmarkEnd w:id="621"/>
      <w:r>
        <w:rPr>
          <w:rFonts w:ascii="Arial" w:eastAsia="Arial" w:hAnsi="Arial" w:cs="Arial"/>
          <w:color w:val="000000"/>
          <w:sz w:val="20"/>
        </w:rPr>
        <w:t>If at any point on remand, the district court concludes that the relevant questions will have different answers for different members of the class, it can modify or decertify the class under Rule 23(a)(2). Likewise, if the district court concludes [***32]  that the single, requested injunction will not provide all members of the class with a better opportunity to transition to the community, it can modify or decertify the class under Rule 23(b)(2).</w:t>
      </w:r>
    </w:p>
    <w:p w:rsidR="00E456CD" w:rsidRDefault="00000000">
      <w:pPr>
        <w:pStyle w:val="Normal3"/>
        <w:widowControl w:val="0"/>
        <w:spacing w:before="200" w:line="260" w:lineRule="atLeast"/>
        <w:jc w:val="both"/>
      </w:pPr>
      <w:bookmarkStart w:id="622" w:name="Bookmark_para_48"/>
      <w:bookmarkEnd w:id="622"/>
      <w:r>
        <w:rPr>
          <w:rFonts w:ascii="Arial" w:eastAsia="Arial" w:hAnsi="Arial" w:cs="Arial"/>
          <w:color w:val="000000"/>
          <w:sz w:val="20"/>
        </w:rPr>
        <w:t>We recognize and appreciate the significant time and effort the district court has expended on this case, which presents complicated legal issues. That time and effort has not been wasted. On remand, the district court is free to apply certain facts it has already found to the legal standards articulated in this opinion.</w:t>
      </w:r>
      <w:r>
        <w:rPr>
          <w:rFonts w:ascii="Arial" w:eastAsia="Arial" w:hAnsi="Arial" w:cs="Arial"/>
          <w:vertAlign w:val="superscript"/>
        </w:rPr>
        <w:footnoteReference w:customMarkFollows="1" w:id="53"/>
        <w:t>14</w:t>
      </w:r>
      <w:r>
        <w:rPr>
          <w:rFonts w:ascii="Arial" w:eastAsia="Arial" w:hAnsi="Arial" w:cs="Arial"/>
          <w:color w:val="000000"/>
          <w:sz w:val="20"/>
        </w:rPr>
        <w:t xml:space="preserve"> It need not start over completely.</w:t>
      </w:r>
    </w:p>
    <w:p w:rsidR="00E456CD" w:rsidRDefault="00000000">
      <w:pPr>
        <w:pStyle w:val="Normal3"/>
        <w:widowControl w:val="0"/>
        <w:spacing w:before="240" w:line="260" w:lineRule="atLeast"/>
      </w:pPr>
      <w:r>
        <w:br/>
      </w:r>
      <w:r>
        <w:rPr>
          <w:rFonts w:ascii="Arial" w:eastAsia="Arial" w:hAnsi="Arial" w:cs="Arial"/>
          <w:color w:val="000000"/>
          <w:sz w:val="20"/>
        </w:rPr>
        <w:t> [*1086]   [**171] </w:t>
      </w:r>
      <w:r>
        <w:rPr>
          <w:rFonts w:ascii="Arial" w:eastAsia="Arial" w:hAnsi="Arial" w:cs="Arial"/>
          <w:b/>
          <w:color w:val="000000"/>
          <w:sz w:val="20"/>
        </w:rPr>
        <w:t xml:space="preserve"> III. </w:t>
      </w:r>
      <w:r>
        <w:rPr>
          <w:rFonts w:ascii="Arial" w:eastAsia="Arial" w:hAnsi="Arial" w:cs="Arial"/>
          <w:b/>
          <w:smallCaps/>
          <w:color w:val="000000"/>
          <w:sz w:val="20"/>
        </w:rPr>
        <w:t>Response to Concurrence</w:t>
      </w:r>
    </w:p>
    <w:p w:rsidR="00E456CD" w:rsidRDefault="00000000">
      <w:pPr>
        <w:pStyle w:val="Normal3"/>
        <w:widowControl w:val="0"/>
        <w:spacing w:before="200" w:line="260" w:lineRule="atLeast"/>
        <w:jc w:val="both"/>
      </w:pPr>
      <w:bookmarkStart w:id="626" w:name="Bookmark_para_49"/>
      <w:bookmarkEnd w:id="626"/>
      <w:r>
        <w:rPr>
          <w:rFonts w:ascii="Arial" w:eastAsia="Arial" w:hAnsi="Arial" w:cs="Arial"/>
          <w:color w:val="000000"/>
          <w:sz w:val="20"/>
        </w:rPr>
        <w:t>Respectfully, we have some concerns about the concurring opinion. First, in our view, the concurring opinion miscomprehends the nature of an "adequate '</w:t>
      </w:r>
      <w:r>
        <w:rPr>
          <w:rFonts w:ascii="Arial" w:eastAsia="Arial" w:hAnsi="Arial" w:cs="Arial"/>
          <w:i/>
          <w:color w:val="000000"/>
          <w:sz w:val="20"/>
        </w:rPr>
        <w:t>Olmstead</w:t>
      </w:r>
      <w:r>
        <w:rPr>
          <w:rFonts w:ascii="Arial" w:eastAsia="Arial" w:hAnsi="Arial" w:cs="Arial"/>
          <w:color w:val="000000"/>
          <w:sz w:val="20"/>
        </w:rPr>
        <w:t xml:space="preserve"> Plan'" and, thus, our opinion. Second, in attempting to distinguish the standard enunciated by the Supreme Court in </w:t>
      </w:r>
      <w:r>
        <w:rPr>
          <w:rFonts w:ascii="Arial" w:eastAsia="Arial" w:hAnsi="Arial" w:cs="Arial"/>
          <w:i/>
          <w:color w:val="000000"/>
          <w:sz w:val="20"/>
        </w:rPr>
        <w:t>Olmstead</w:t>
      </w:r>
      <w:r>
        <w:rPr>
          <w:rFonts w:ascii="Arial" w:eastAsia="Arial" w:hAnsi="Arial" w:cs="Arial"/>
          <w:color w:val="000000"/>
          <w:sz w:val="20"/>
        </w:rPr>
        <w:t xml:space="preserve">, the concurring opinion relies on distinctions between this case and </w:t>
      </w:r>
      <w:r>
        <w:rPr>
          <w:rFonts w:ascii="Arial" w:eastAsia="Arial" w:hAnsi="Arial" w:cs="Arial"/>
          <w:i/>
          <w:color w:val="000000"/>
          <w:sz w:val="20"/>
        </w:rPr>
        <w:t>Olmstead</w:t>
      </w:r>
      <w:r>
        <w:rPr>
          <w:rFonts w:ascii="Arial" w:eastAsia="Arial" w:hAnsi="Arial" w:cs="Arial"/>
          <w:color w:val="000000"/>
          <w:sz w:val="20"/>
        </w:rPr>
        <w:t xml:space="preserve"> that are inapposite.</w:t>
      </w:r>
    </w:p>
    <w:p w:rsidR="00E456CD" w:rsidRDefault="00000000">
      <w:pPr>
        <w:pStyle w:val="Normal3"/>
        <w:widowControl w:val="0"/>
        <w:spacing w:before="200" w:line="260" w:lineRule="atLeast"/>
        <w:jc w:val="both"/>
      </w:pPr>
      <w:bookmarkStart w:id="627" w:name="Bookmark_para_50"/>
      <w:bookmarkEnd w:id="627"/>
      <w:r>
        <w:rPr>
          <w:rFonts w:ascii="Arial" w:eastAsia="Arial" w:hAnsi="Arial" w:cs="Arial"/>
          <w:color w:val="000000"/>
          <w:sz w:val="20"/>
        </w:rPr>
        <w:t>It is important to emphasize that we view an "adequate '</w:t>
      </w:r>
      <w:r>
        <w:rPr>
          <w:rFonts w:ascii="Arial" w:eastAsia="Arial" w:hAnsi="Arial" w:cs="Arial"/>
          <w:i/>
          <w:color w:val="000000"/>
          <w:sz w:val="20"/>
        </w:rPr>
        <w:t>Olmstead</w:t>
      </w:r>
      <w:r>
        <w:rPr>
          <w:rFonts w:ascii="Arial" w:eastAsia="Arial" w:hAnsi="Arial" w:cs="Arial"/>
          <w:color w:val="000000"/>
          <w:sz w:val="20"/>
        </w:rPr>
        <w:t xml:space="preserve"> Plan'" differently from our colleague. </w:t>
      </w:r>
      <w:bookmarkStart w:id="628" w:name="Bookmark_LNHNREFclscc13"/>
      <w:bookmarkEnd w:id="628"/>
      <w:r>
        <w:rPr>
          <w:rFonts w:ascii="Arial" w:eastAsia="Arial" w:hAnsi="Arial" w:cs="Arial"/>
          <w:color w:val="000000"/>
          <w:sz w:val="20"/>
        </w:rPr>
        <w:t>An "adequate '</w:t>
      </w:r>
      <w:r>
        <w:rPr>
          <w:rFonts w:ascii="Arial" w:eastAsia="Arial" w:hAnsi="Arial" w:cs="Arial"/>
          <w:i/>
          <w:color w:val="000000"/>
          <w:sz w:val="20"/>
        </w:rPr>
        <w:t>Olmstead</w:t>
      </w:r>
      <w:r>
        <w:rPr>
          <w:rFonts w:ascii="Arial" w:eastAsia="Arial" w:hAnsi="Arial" w:cs="Arial"/>
          <w:color w:val="000000"/>
          <w:sz w:val="20"/>
        </w:rPr>
        <w:t xml:space="preserve"> Plan'" is a legal standard. </w:t>
      </w:r>
      <w:r>
        <w:rPr>
          <w:rFonts w:ascii="Arial" w:eastAsia="Arial" w:hAnsi="Arial" w:cs="Arial"/>
          <w:i/>
          <w:color w:val="000000"/>
          <w:sz w:val="20"/>
        </w:rPr>
        <w:t>Any</w:t>
      </w:r>
      <w:r>
        <w:rPr>
          <w:rFonts w:ascii="Arial" w:eastAsia="Arial" w:hAnsi="Arial" w:cs="Arial"/>
          <w:color w:val="000000"/>
          <w:sz w:val="20"/>
        </w:rPr>
        <w:t xml:space="preserve"> plan that is "comprehensive," "effectively working," and contains a waiting list that [***33]  moves at a "reasonable" pace is an "adequate '</w:t>
      </w:r>
      <w:r>
        <w:rPr>
          <w:rFonts w:ascii="Arial" w:eastAsia="Arial" w:hAnsi="Arial" w:cs="Arial"/>
          <w:i/>
          <w:color w:val="000000"/>
          <w:sz w:val="20"/>
        </w:rPr>
        <w:t>Olmstead</w:t>
      </w:r>
      <w:r>
        <w:rPr>
          <w:rFonts w:ascii="Arial" w:eastAsia="Arial" w:hAnsi="Arial" w:cs="Arial"/>
          <w:color w:val="000000"/>
          <w:sz w:val="20"/>
        </w:rPr>
        <w:t xml:space="preserve"> Plan.'" </w:t>
      </w:r>
      <w:r>
        <w:rPr>
          <w:rFonts w:ascii="Arial" w:eastAsia="Arial" w:hAnsi="Arial" w:cs="Arial"/>
          <w:i/>
          <w:color w:val="000000"/>
          <w:sz w:val="20"/>
        </w:rPr>
        <w:t>See supra</w:t>
      </w:r>
      <w:r>
        <w:rPr>
          <w:rFonts w:ascii="Arial" w:eastAsia="Arial" w:hAnsi="Arial" w:cs="Arial"/>
          <w:color w:val="000000"/>
          <w:sz w:val="20"/>
        </w:rPr>
        <w:t>, p. 14. And the district court has discretion in applying the "comprehensive," "effective" and "reasonable" standards. Our opinion therefore affords both the District and the district court far more leeway than the concurrence apparently believes.</w:t>
      </w:r>
    </w:p>
    <w:p w:rsidR="00E456CD" w:rsidRDefault="00000000">
      <w:pPr>
        <w:pStyle w:val="Normal3"/>
        <w:widowControl w:val="0"/>
        <w:spacing w:before="200" w:line="260" w:lineRule="atLeast"/>
        <w:jc w:val="both"/>
      </w:pPr>
      <w:bookmarkStart w:id="629" w:name="Bookmark_para_51"/>
      <w:bookmarkEnd w:id="629"/>
      <w:r>
        <w:rPr>
          <w:rFonts w:ascii="Arial" w:eastAsia="Arial" w:hAnsi="Arial" w:cs="Arial"/>
          <w:color w:val="000000"/>
          <w:sz w:val="20"/>
        </w:rPr>
        <w:t xml:space="preserve">We are especially troubled by the concurrence's suggestion that we propose "to measure success of the ADA claims based primarily on the number of completed or pending placements of disabled individuals in outside housing." Concurring Op. 10. This is not an accurate characterization of the majority opinion. For example, the district court could find, consistent with our opinion, that, in light of the lack of available public housing, the placement of only one individual in a given year </w:t>
      </w:r>
      <w:r>
        <w:rPr>
          <w:rFonts w:ascii="Arial" w:eastAsia="Arial" w:hAnsi="Arial" w:cs="Arial"/>
          <w:i/>
          <w:color w:val="000000"/>
          <w:sz w:val="20"/>
        </w:rPr>
        <w:t>could be</w:t>
      </w:r>
      <w:r>
        <w:rPr>
          <w:rFonts w:ascii="Arial" w:eastAsia="Arial" w:hAnsi="Arial" w:cs="Arial"/>
          <w:color w:val="000000"/>
          <w:sz w:val="20"/>
        </w:rPr>
        <w:t xml:space="preserve"> a "reasonable pace" of movement from the District's waiting list. If the district court were to deem the District's plan "comprehensive" and "effectively working," the District would then have an "adequate '</w:t>
      </w:r>
      <w:r>
        <w:rPr>
          <w:rFonts w:ascii="Arial" w:eastAsia="Arial" w:hAnsi="Arial" w:cs="Arial"/>
          <w:i/>
          <w:color w:val="000000"/>
          <w:sz w:val="20"/>
        </w:rPr>
        <w:t>Olmstead</w:t>
      </w:r>
      <w:r>
        <w:rPr>
          <w:rFonts w:ascii="Arial" w:eastAsia="Arial" w:hAnsi="Arial" w:cs="Arial"/>
          <w:color w:val="000000"/>
          <w:sz w:val="20"/>
        </w:rPr>
        <w:t xml:space="preserve"> Plan'" in place. The concurrence need not strain too hard to imagine a case "where a plan producing relatively few successful annual placements . . . can be called 'effectively [***34]  working,'" </w:t>
      </w:r>
      <w:r>
        <w:rPr>
          <w:rFonts w:ascii="Arial" w:eastAsia="Arial" w:hAnsi="Arial" w:cs="Arial"/>
          <w:i/>
          <w:color w:val="000000"/>
          <w:sz w:val="20"/>
        </w:rPr>
        <w:t>id.</w:t>
      </w:r>
      <w:r>
        <w:rPr>
          <w:rFonts w:ascii="Arial" w:eastAsia="Arial" w:hAnsi="Arial" w:cs="Arial"/>
          <w:color w:val="000000"/>
          <w:sz w:val="20"/>
        </w:rPr>
        <w:t xml:space="preserve"> at 10-11, for this might be such a case. In short, the concurrence's central criticism—that we "unduly cabin the discretion that the District should have in crafting services for individuals with disabilities," </w:t>
      </w:r>
      <w:r>
        <w:rPr>
          <w:rFonts w:ascii="Arial" w:eastAsia="Arial" w:hAnsi="Arial" w:cs="Arial"/>
          <w:i/>
          <w:color w:val="000000"/>
          <w:sz w:val="20"/>
        </w:rPr>
        <w:t>id.</w:t>
      </w:r>
      <w:r>
        <w:rPr>
          <w:rFonts w:ascii="Arial" w:eastAsia="Arial" w:hAnsi="Arial" w:cs="Arial"/>
          <w:color w:val="000000"/>
          <w:sz w:val="20"/>
        </w:rPr>
        <w:t xml:space="preserve"> at 7, and that we make "speed and success of placements" the "exclusive" determinant of ADA liability, </w:t>
      </w:r>
      <w:r>
        <w:rPr>
          <w:rFonts w:ascii="Arial" w:eastAsia="Arial" w:hAnsi="Arial" w:cs="Arial"/>
          <w:i/>
          <w:color w:val="000000"/>
          <w:sz w:val="20"/>
        </w:rPr>
        <w:t>id.</w:t>
      </w:r>
      <w:r>
        <w:rPr>
          <w:rFonts w:ascii="Arial" w:eastAsia="Arial" w:hAnsi="Arial" w:cs="Arial"/>
          <w:color w:val="000000"/>
          <w:sz w:val="20"/>
        </w:rPr>
        <w:t xml:space="preserve"> at 10—is mistaken.</w:t>
      </w:r>
    </w:p>
    <w:p w:rsidR="00E456CD" w:rsidRDefault="00000000">
      <w:pPr>
        <w:pStyle w:val="Normal3"/>
        <w:widowControl w:val="0"/>
        <w:spacing w:before="200" w:line="260" w:lineRule="atLeast"/>
        <w:jc w:val="both"/>
      </w:pPr>
      <w:bookmarkStart w:id="630" w:name="Bookmark_para_52"/>
      <w:bookmarkEnd w:id="630"/>
      <w:r>
        <w:rPr>
          <w:rFonts w:ascii="Arial" w:eastAsia="Arial" w:hAnsi="Arial" w:cs="Arial"/>
          <w:color w:val="000000"/>
          <w:sz w:val="20"/>
        </w:rPr>
        <w:t xml:space="preserve">In our view, the approach suggested by the concurring opinion does not offer a viable framework for addressing the issues in this case. The concurrence first suggests that this case and </w:t>
      </w:r>
      <w:r>
        <w:rPr>
          <w:rFonts w:ascii="Arial" w:eastAsia="Arial" w:hAnsi="Arial" w:cs="Arial"/>
          <w:i/>
          <w:color w:val="000000"/>
          <w:sz w:val="20"/>
        </w:rPr>
        <w:t>Olmstead</w:t>
      </w:r>
      <w:r>
        <w:rPr>
          <w:rFonts w:ascii="Arial" w:eastAsia="Arial" w:hAnsi="Arial" w:cs="Arial"/>
          <w:color w:val="000000"/>
          <w:sz w:val="20"/>
        </w:rPr>
        <w:t xml:space="preserve"> are "apples and pears." </w:t>
      </w:r>
      <w:r>
        <w:rPr>
          <w:rFonts w:ascii="Arial" w:eastAsia="Arial" w:hAnsi="Arial" w:cs="Arial"/>
          <w:i/>
          <w:color w:val="000000"/>
          <w:sz w:val="20"/>
        </w:rPr>
        <w:t>Id.</w:t>
      </w:r>
      <w:r>
        <w:rPr>
          <w:rFonts w:ascii="Arial" w:eastAsia="Arial" w:hAnsi="Arial" w:cs="Arial"/>
          <w:color w:val="000000"/>
          <w:sz w:val="20"/>
        </w:rPr>
        <w:t xml:space="preserve"> at 1. Specifically, it claims that three distinctions between this case and </w:t>
      </w:r>
      <w:r>
        <w:rPr>
          <w:rFonts w:ascii="Arial" w:eastAsia="Arial" w:hAnsi="Arial" w:cs="Arial"/>
          <w:i/>
          <w:color w:val="000000"/>
          <w:sz w:val="20"/>
        </w:rPr>
        <w:t>Olmstead</w:t>
      </w:r>
      <w:r>
        <w:rPr>
          <w:rFonts w:ascii="Arial" w:eastAsia="Arial" w:hAnsi="Arial" w:cs="Arial"/>
          <w:color w:val="000000"/>
          <w:sz w:val="20"/>
        </w:rPr>
        <w:t xml:space="preserve"> make the standard set forth in that case inapplicable here. </w:t>
      </w:r>
      <w:r>
        <w:rPr>
          <w:rFonts w:ascii="Arial" w:eastAsia="Arial" w:hAnsi="Arial" w:cs="Arial"/>
          <w:i/>
          <w:color w:val="000000"/>
          <w:sz w:val="20"/>
        </w:rPr>
        <w:t>Id.</w:t>
      </w:r>
      <w:r>
        <w:rPr>
          <w:rFonts w:ascii="Arial" w:eastAsia="Arial" w:hAnsi="Arial" w:cs="Arial"/>
          <w:color w:val="000000"/>
          <w:sz w:val="20"/>
        </w:rPr>
        <w:t xml:space="preserve"> at 7-9. The concurring opinion says that, in light of "three distinctions relevant to the ADA analysis," "we must measure [the District's] services by using a different yardstick from what the </w:t>
      </w:r>
      <w:r>
        <w:rPr>
          <w:rFonts w:ascii="Arial" w:eastAsia="Arial" w:hAnsi="Arial" w:cs="Arial"/>
          <w:i/>
          <w:color w:val="000000"/>
          <w:sz w:val="20"/>
        </w:rPr>
        <w:t>Olmstead</w:t>
      </w:r>
      <w:r>
        <w:rPr>
          <w:rFonts w:ascii="Arial" w:eastAsia="Arial" w:hAnsi="Arial" w:cs="Arial"/>
          <w:color w:val="000000"/>
          <w:sz w:val="20"/>
        </w:rPr>
        <w:t xml:space="preserve"> plurality envisaged for Georgia" in order "[t]o determine whether the District is satisfying its ADA obligations." </w:t>
      </w:r>
      <w:r>
        <w:rPr>
          <w:rFonts w:ascii="Arial" w:eastAsia="Arial" w:hAnsi="Arial" w:cs="Arial"/>
          <w:i/>
          <w:color w:val="000000"/>
          <w:sz w:val="20"/>
        </w:rPr>
        <w:t>Id.</w:t>
      </w:r>
      <w:r>
        <w:rPr>
          <w:rFonts w:ascii="Arial" w:eastAsia="Arial" w:hAnsi="Arial" w:cs="Arial"/>
          <w:color w:val="000000"/>
          <w:sz w:val="20"/>
        </w:rPr>
        <w:t xml:space="preserve"> at 8-9. The concurrence first points out that "we are dealing with a class action." </w:t>
      </w:r>
      <w:r>
        <w:rPr>
          <w:rFonts w:ascii="Arial" w:eastAsia="Arial" w:hAnsi="Arial" w:cs="Arial"/>
          <w:i/>
          <w:color w:val="000000"/>
          <w:sz w:val="20"/>
        </w:rPr>
        <w:t>Id.</w:t>
      </w:r>
      <w:r>
        <w:rPr>
          <w:rFonts w:ascii="Arial" w:eastAsia="Arial" w:hAnsi="Arial" w:cs="Arial"/>
          <w:color w:val="000000"/>
          <w:sz w:val="20"/>
        </w:rPr>
        <w:t xml:space="preserve"> at 8. True enough. But </w:t>
      </w:r>
      <w:bookmarkStart w:id="631" w:name="Bookmark_LNHNREFclscc14"/>
      <w:bookmarkEnd w:id="631"/>
      <w:r>
        <w:rPr>
          <w:rFonts w:ascii="Arial" w:eastAsia="Arial" w:hAnsi="Arial" w:cs="Arial"/>
          <w:color w:val="000000"/>
          <w:sz w:val="20"/>
        </w:rPr>
        <w:t xml:space="preserve">"general rules of practice and procedure" prescribed by the Supreme Court—such as Rule 23 of the Federal Rules of Civil Procedure—"shall not abridge, enlarge [***35]  or modify any substantive right." Rules Enabling Act, 28 U.S.C. § 2072(a)-(b). Thus, the fact that this is a class action is </w:t>
      </w:r>
      <w:r>
        <w:rPr>
          <w:rFonts w:ascii="Arial" w:eastAsia="Arial" w:hAnsi="Arial" w:cs="Arial"/>
          <w:i/>
          <w:color w:val="000000"/>
          <w:sz w:val="20"/>
        </w:rPr>
        <w:t>not</w:t>
      </w:r>
      <w:r>
        <w:rPr>
          <w:rFonts w:ascii="Arial" w:eastAsia="Arial" w:hAnsi="Arial" w:cs="Arial"/>
          <w:color w:val="000000"/>
          <w:sz w:val="20"/>
        </w:rPr>
        <w:t xml:space="preserve"> "relevant to the ADA analysis." Concurring Op. 8. </w:t>
      </w:r>
      <w:bookmarkStart w:id="632" w:name="Bookmark_I5WHY2KC2D6NSN0020000400"/>
      <w:bookmarkEnd w:id="632"/>
      <w:r>
        <w:rPr>
          <w:rFonts w:ascii="Arial" w:eastAsia="Arial" w:hAnsi="Arial" w:cs="Arial"/>
          <w:color w:val="000000"/>
          <w:sz w:val="20"/>
        </w:rPr>
        <w:t xml:space="preserve">Indeed, in discussing the Rules Enabling Act, the concurrence never once contends that Plaintiffs can be asked to meet a different substantive liability standard because they have chosen to proceed as a class. </w:t>
      </w:r>
      <w:r>
        <w:rPr>
          <w:rFonts w:ascii="Arial" w:eastAsia="Arial" w:hAnsi="Arial" w:cs="Arial"/>
          <w:i/>
          <w:color w:val="000000"/>
          <w:sz w:val="20"/>
        </w:rPr>
        <w:t>Id.</w:t>
      </w:r>
      <w:r>
        <w:rPr>
          <w:rFonts w:ascii="Arial" w:eastAsia="Arial" w:hAnsi="Arial" w:cs="Arial"/>
          <w:color w:val="000000"/>
          <w:sz w:val="20"/>
        </w:rPr>
        <w:t xml:space="preserve"> at 17-19. Nor could it. </w:t>
      </w:r>
      <w:r>
        <w:rPr>
          <w:rFonts w:ascii="Arial" w:eastAsia="Arial" w:hAnsi="Arial" w:cs="Arial"/>
          <w:i/>
          <w:color w:val="000000"/>
          <w:sz w:val="20"/>
        </w:rPr>
        <w:t xml:space="preserve">See </w:t>
      </w:r>
      <w:bookmarkStart w:id="633" w:name="Bookmark_I5WHY2KC2D6NSN0010000400"/>
      <w:bookmarkEnd w:id="633"/>
      <w:r>
        <w:rPr>
          <w:rFonts w:ascii="Arial" w:eastAsia="Arial" w:hAnsi="Arial" w:cs="Arial"/>
          <w:i/>
          <w:color w:val="000000"/>
          <w:sz w:val="20"/>
        </w:rPr>
        <w:t>Tyson Foods, Inc. v. Bouaphakeo</w:t>
      </w:r>
      <w:r>
        <w:rPr>
          <w:rFonts w:ascii="Arial" w:eastAsia="Arial" w:hAnsi="Arial" w:cs="Arial"/>
          <w:color w:val="000000"/>
          <w:sz w:val="20"/>
        </w:rPr>
        <w:t>, 136 S. Ct. 1036, 1048, 194 L. Ed. 2d 124 (2016) ("[It] would have violated the Rules Enabling Act [to] giv[e] plaintiffs  [*1087]   [**172]  and defendants different rights in a class proceeding than they could have asserted in an individual action.").</w:t>
      </w:r>
    </w:p>
    <w:p w:rsidR="00E456CD" w:rsidRDefault="00000000">
      <w:pPr>
        <w:pStyle w:val="Normal3"/>
        <w:widowControl w:val="0"/>
        <w:spacing w:before="200" w:line="260" w:lineRule="atLeast"/>
        <w:jc w:val="both"/>
      </w:pPr>
      <w:bookmarkStart w:id="634" w:name="Bookmark_para_53"/>
      <w:bookmarkStart w:id="635" w:name="Bookmark_I5WHY2KC2D6NSN0040000400"/>
      <w:bookmarkEnd w:id="634"/>
      <w:bookmarkEnd w:id="635"/>
      <w:r>
        <w:rPr>
          <w:rFonts w:ascii="Arial" w:eastAsia="Arial" w:hAnsi="Arial" w:cs="Arial"/>
          <w:color w:val="000000"/>
          <w:sz w:val="20"/>
        </w:rPr>
        <w:t xml:space="preserve">The concurrence next says that, because "the </w:t>
      </w:r>
      <w:r>
        <w:rPr>
          <w:rFonts w:ascii="Arial" w:eastAsia="Arial" w:hAnsi="Arial" w:cs="Arial"/>
          <w:i/>
          <w:color w:val="000000"/>
          <w:sz w:val="20"/>
        </w:rPr>
        <w:t>Olmstead</w:t>
      </w:r>
      <w:r>
        <w:rPr>
          <w:rFonts w:ascii="Arial" w:eastAsia="Arial" w:hAnsi="Arial" w:cs="Arial"/>
          <w:color w:val="000000"/>
          <w:sz w:val="20"/>
        </w:rPr>
        <w:t xml:space="preserve"> plaintiffs sought placements in group homes, but our class members hope to reside in their own private homes[,] [w]e are . . . dealing with a whole new level of transition." Concurring Op. 8. The concurrence provides no basis for treating the distinction between group homes and private homes as meaningful. </w:t>
      </w:r>
      <w:r>
        <w:rPr>
          <w:rFonts w:ascii="Arial" w:eastAsia="Arial" w:hAnsi="Arial" w:cs="Arial"/>
          <w:i/>
          <w:color w:val="000000"/>
          <w:sz w:val="20"/>
        </w:rPr>
        <w:t>Olmstead</w:t>
      </w:r>
      <w:r>
        <w:rPr>
          <w:rFonts w:ascii="Arial" w:eastAsia="Arial" w:hAnsi="Arial" w:cs="Arial"/>
          <w:color w:val="000000"/>
          <w:sz w:val="20"/>
        </w:rPr>
        <w:t xml:space="preserve"> drew the line between "institutions" and "community settings," </w:t>
      </w:r>
      <w:bookmarkStart w:id="636" w:name="Bookmark_I5WHY2KC2D6NSN0030000400"/>
      <w:bookmarkEnd w:id="636"/>
      <w:r>
        <w:rPr>
          <w:rFonts w:ascii="Arial" w:eastAsia="Arial" w:hAnsi="Arial" w:cs="Arial"/>
          <w:color w:val="000000"/>
          <w:sz w:val="20"/>
        </w:rPr>
        <w:t xml:space="preserve">527 U.S. at 587. </w:t>
      </w:r>
      <w:r>
        <w:rPr>
          <w:rFonts w:ascii="Arial" w:eastAsia="Arial" w:hAnsi="Arial" w:cs="Arial"/>
          <w:i/>
          <w:color w:val="000000"/>
          <w:sz w:val="20"/>
        </w:rPr>
        <w:t>Olmstead</w:t>
      </w:r>
      <w:r>
        <w:rPr>
          <w:rFonts w:ascii="Arial" w:eastAsia="Arial" w:hAnsi="Arial" w:cs="Arial"/>
          <w:color w:val="000000"/>
          <w:sz w:val="20"/>
        </w:rPr>
        <w:t xml:space="preserve"> said: "we confront the question whether the proscription of discrimination may require placement of persons with mental disabilities in community settings rather than in institutions." [***36]  </w:t>
      </w:r>
      <w:r>
        <w:rPr>
          <w:rFonts w:ascii="Arial" w:eastAsia="Arial" w:hAnsi="Arial" w:cs="Arial"/>
          <w:i/>
          <w:color w:val="000000"/>
          <w:sz w:val="20"/>
        </w:rPr>
        <w:t>Id.</w:t>
      </w:r>
      <w:r>
        <w:rPr>
          <w:rFonts w:ascii="Arial" w:eastAsia="Arial" w:hAnsi="Arial" w:cs="Arial"/>
          <w:color w:val="000000"/>
          <w:sz w:val="20"/>
        </w:rPr>
        <w:t xml:space="preserve"> And the concurrence nowhere disputes that group homes and private homes are both "community settings."</w:t>
      </w:r>
    </w:p>
    <w:p w:rsidR="00E456CD" w:rsidRDefault="00000000">
      <w:pPr>
        <w:pStyle w:val="Normal3"/>
        <w:widowControl w:val="0"/>
        <w:spacing w:before="200" w:line="260" w:lineRule="atLeast"/>
        <w:jc w:val="both"/>
      </w:pPr>
      <w:bookmarkStart w:id="637" w:name="Bookmark_para_54"/>
      <w:bookmarkEnd w:id="637"/>
      <w:r>
        <w:rPr>
          <w:rFonts w:ascii="Arial" w:eastAsia="Arial" w:hAnsi="Arial" w:cs="Arial"/>
          <w:color w:val="000000"/>
          <w:sz w:val="20"/>
        </w:rPr>
        <w:t xml:space="preserve">Finally, and "most importantly," the concurrence says, "the District does not control the housing where the plaintiff class members hope to be placed, as Georgia did in </w:t>
      </w:r>
      <w:r>
        <w:rPr>
          <w:rFonts w:ascii="Arial" w:eastAsia="Arial" w:hAnsi="Arial" w:cs="Arial"/>
          <w:i/>
          <w:color w:val="000000"/>
          <w:sz w:val="20"/>
        </w:rPr>
        <w:t>Olmstead</w:t>
      </w:r>
      <w:r>
        <w:rPr>
          <w:rFonts w:ascii="Arial" w:eastAsia="Arial" w:hAnsi="Arial" w:cs="Arial"/>
          <w:color w:val="000000"/>
          <w:sz w:val="20"/>
        </w:rPr>
        <w:t xml:space="preserve">." Concurring Op. 8. Although we agree that this fact is relevant, the </w:t>
      </w:r>
      <w:r>
        <w:rPr>
          <w:rFonts w:ascii="Arial" w:eastAsia="Arial" w:hAnsi="Arial" w:cs="Arial"/>
          <w:i/>
          <w:color w:val="000000"/>
          <w:sz w:val="20"/>
        </w:rPr>
        <w:t>Olmstead</w:t>
      </w:r>
      <w:r>
        <w:rPr>
          <w:rFonts w:ascii="Arial" w:eastAsia="Arial" w:hAnsi="Arial" w:cs="Arial"/>
          <w:color w:val="000000"/>
          <w:sz w:val="20"/>
        </w:rPr>
        <w:t xml:space="preserve"> standard takes it into consideration. The lack of housing is relevant to whether the pace of movement from the waiting list is "reasonable," which, in turn, is relevant to whether the District has an "adequate '</w:t>
      </w:r>
      <w:r>
        <w:rPr>
          <w:rFonts w:ascii="Arial" w:eastAsia="Arial" w:hAnsi="Arial" w:cs="Arial"/>
          <w:i/>
          <w:color w:val="000000"/>
          <w:sz w:val="20"/>
        </w:rPr>
        <w:t>Olmstead</w:t>
      </w:r>
      <w:r>
        <w:rPr>
          <w:rFonts w:ascii="Arial" w:eastAsia="Arial" w:hAnsi="Arial" w:cs="Arial"/>
          <w:color w:val="000000"/>
          <w:sz w:val="20"/>
        </w:rPr>
        <w:t xml:space="preserve"> Plan'" in place. We need not fashion a new legal standard to account for a fact that the existing standard already considers. In our view, this case and </w:t>
      </w:r>
      <w:r>
        <w:rPr>
          <w:rFonts w:ascii="Arial" w:eastAsia="Arial" w:hAnsi="Arial" w:cs="Arial"/>
          <w:i/>
          <w:color w:val="000000"/>
          <w:sz w:val="20"/>
        </w:rPr>
        <w:t>Olmstead</w:t>
      </w:r>
      <w:r>
        <w:rPr>
          <w:rFonts w:ascii="Arial" w:eastAsia="Arial" w:hAnsi="Arial" w:cs="Arial"/>
          <w:color w:val="000000"/>
          <w:sz w:val="20"/>
        </w:rPr>
        <w:t xml:space="preserve"> are both apples.</w:t>
      </w:r>
    </w:p>
    <w:p w:rsidR="00E456CD" w:rsidRDefault="00000000">
      <w:pPr>
        <w:pStyle w:val="Normal3"/>
        <w:widowControl w:val="0"/>
        <w:spacing w:before="200" w:line="260" w:lineRule="atLeast"/>
        <w:jc w:val="both"/>
      </w:pPr>
      <w:bookmarkStart w:id="638" w:name="Bookmark_para_55"/>
      <w:bookmarkEnd w:id="638"/>
      <w:r>
        <w:rPr>
          <w:rFonts w:ascii="Arial" w:eastAsia="Arial" w:hAnsi="Arial" w:cs="Arial"/>
          <w:color w:val="000000"/>
          <w:sz w:val="20"/>
        </w:rPr>
        <w:t xml:space="preserve">Having eschewed the applicable </w:t>
      </w:r>
      <w:r>
        <w:rPr>
          <w:rFonts w:ascii="Arial" w:eastAsia="Arial" w:hAnsi="Arial" w:cs="Arial"/>
          <w:i/>
          <w:color w:val="000000"/>
          <w:sz w:val="20"/>
        </w:rPr>
        <w:t>Olmstead</w:t>
      </w:r>
      <w:r>
        <w:rPr>
          <w:rFonts w:ascii="Arial" w:eastAsia="Arial" w:hAnsi="Arial" w:cs="Arial"/>
          <w:color w:val="000000"/>
          <w:sz w:val="20"/>
        </w:rPr>
        <w:t xml:space="preserve"> standard, the concurrence endorses the standard articulated by the district court. In particular, the concurrence says that the District must prove by a preponderance of the evidence "that there is no systemic deficiency related to the six characteristics" the district court identified as dispositive. </w:t>
      </w:r>
      <w:r>
        <w:rPr>
          <w:rFonts w:ascii="Arial" w:eastAsia="Arial" w:hAnsi="Arial" w:cs="Arial"/>
          <w:i/>
          <w:color w:val="000000"/>
          <w:sz w:val="20"/>
        </w:rPr>
        <w:t>Id.</w:t>
      </w:r>
      <w:r>
        <w:rPr>
          <w:rFonts w:ascii="Arial" w:eastAsia="Arial" w:hAnsi="Arial" w:cs="Arial"/>
          <w:color w:val="000000"/>
          <w:sz w:val="20"/>
        </w:rPr>
        <w:t xml:space="preserve"> at 17. However, the concurrence does not adequately explain its preference for the district court's six-factor [***37]  approach. It concludes that the district court "reasonably derived these six characteristics from at least five settlement agreements in analogous ADA failure-to-accommodate cases." </w:t>
      </w:r>
      <w:r>
        <w:rPr>
          <w:rFonts w:ascii="Arial" w:eastAsia="Arial" w:hAnsi="Arial" w:cs="Arial"/>
          <w:i/>
          <w:color w:val="000000"/>
          <w:sz w:val="20"/>
        </w:rPr>
        <w:t>Id.</w:t>
      </w:r>
      <w:r>
        <w:rPr>
          <w:rFonts w:ascii="Arial" w:eastAsia="Arial" w:hAnsi="Arial" w:cs="Arial"/>
          <w:color w:val="000000"/>
          <w:sz w:val="20"/>
        </w:rPr>
        <w:t xml:space="preserve"> at 13. But we cannot square the standard the district court derived from its settlement-agreement-survey with the standard enunciated in </w:t>
      </w:r>
      <w:r>
        <w:rPr>
          <w:rFonts w:ascii="Arial" w:eastAsia="Arial" w:hAnsi="Arial" w:cs="Arial"/>
          <w:i/>
          <w:color w:val="000000"/>
          <w:sz w:val="20"/>
        </w:rPr>
        <w:t>Olmstead</w:t>
      </w:r>
      <w:r>
        <w:rPr>
          <w:rFonts w:ascii="Arial" w:eastAsia="Arial" w:hAnsi="Arial" w:cs="Arial"/>
          <w:color w:val="000000"/>
          <w:sz w:val="20"/>
        </w:rPr>
        <w:t xml:space="preserve">. Even assuming the six-factor approach is a useful starting point, the concurrence does not adequately explain why the District must establish that it lacks a "concrete, systemic deficiency" related to those six factors to avoid liability. </w:t>
      </w:r>
      <w:r>
        <w:rPr>
          <w:rFonts w:ascii="Arial" w:eastAsia="Arial" w:hAnsi="Arial" w:cs="Arial"/>
          <w:i/>
          <w:color w:val="000000"/>
          <w:sz w:val="20"/>
        </w:rPr>
        <w:t>Id.</w:t>
      </w:r>
      <w:r>
        <w:rPr>
          <w:rFonts w:ascii="Arial" w:eastAsia="Arial" w:hAnsi="Arial" w:cs="Arial"/>
          <w:color w:val="000000"/>
          <w:sz w:val="20"/>
        </w:rPr>
        <w:t xml:space="preserve"> at 17. Ultimately, the concurrence makes a valiant effort to make sense of the litigation history of this case, but its approach finds no support in </w:t>
      </w:r>
      <w:r>
        <w:rPr>
          <w:rFonts w:ascii="Arial" w:eastAsia="Arial" w:hAnsi="Arial" w:cs="Arial"/>
          <w:i/>
          <w:color w:val="000000"/>
          <w:sz w:val="20"/>
        </w:rPr>
        <w:t>Olmstead</w:t>
      </w:r>
      <w:r>
        <w:rPr>
          <w:rFonts w:ascii="Arial" w:eastAsia="Arial" w:hAnsi="Arial" w:cs="Arial"/>
          <w:color w:val="000000"/>
          <w:sz w:val="20"/>
        </w:rPr>
        <w:t>. We therefore respectfully disagree with its suggested resolution of this case.</w:t>
      </w:r>
    </w:p>
    <w:p w:rsidR="00E456CD" w:rsidRDefault="00000000">
      <w:pPr>
        <w:pStyle w:val="Normal3"/>
        <w:widowControl w:val="0"/>
        <w:spacing w:before="200" w:line="260" w:lineRule="atLeast"/>
        <w:jc w:val="both"/>
      </w:pPr>
      <w:bookmarkStart w:id="639" w:name="Bookmark_para_56"/>
      <w:bookmarkStart w:id="640" w:name="Bookmark_I5WHY2KC2SF7MN0010000400"/>
      <w:bookmarkEnd w:id="639"/>
      <w:bookmarkEnd w:id="640"/>
      <w:r>
        <w:rPr>
          <w:rFonts w:ascii="Arial" w:eastAsia="Arial" w:hAnsi="Arial" w:cs="Arial"/>
          <w:color w:val="000000"/>
          <w:sz w:val="20"/>
        </w:rPr>
        <w:t xml:space="preserve">One final note. The concurrence's lengthy causation analysis does not represent the opinion of the court. As the concurrence recognizes, treating individuals in institutions when they wish to and could be treated in the community </w:t>
      </w:r>
      <w:r>
        <w:rPr>
          <w:rFonts w:ascii="Arial" w:eastAsia="Arial" w:hAnsi="Arial" w:cs="Arial"/>
          <w:i/>
          <w:color w:val="000000"/>
          <w:sz w:val="20"/>
        </w:rPr>
        <w:t>is</w:t>
      </w:r>
      <w:r>
        <w:rPr>
          <w:rFonts w:ascii="Arial" w:eastAsia="Arial" w:hAnsi="Arial" w:cs="Arial"/>
          <w:color w:val="000000"/>
          <w:sz w:val="20"/>
        </w:rPr>
        <w:t xml:space="preserve"> discrimination </w:t>
      </w:r>
      <w:r>
        <w:rPr>
          <w:rFonts w:ascii="Arial" w:eastAsia="Arial" w:hAnsi="Arial" w:cs="Arial"/>
          <w:i/>
          <w:color w:val="000000"/>
          <w:sz w:val="20"/>
        </w:rPr>
        <w:t>because of</w:t>
      </w:r>
      <w:r>
        <w:rPr>
          <w:rFonts w:ascii="Arial" w:eastAsia="Arial" w:hAnsi="Arial" w:cs="Arial"/>
          <w:color w:val="000000"/>
          <w:sz w:val="20"/>
        </w:rPr>
        <w:t xml:space="preserve"> disability. </w:t>
      </w:r>
      <w:r>
        <w:rPr>
          <w:rFonts w:ascii="Arial" w:eastAsia="Arial" w:hAnsi="Arial" w:cs="Arial"/>
          <w:i/>
          <w:color w:val="000000"/>
          <w:sz w:val="20"/>
        </w:rPr>
        <w:t>Id.</w:t>
      </w:r>
      <w:r>
        <w:rPr>
          <w:rFonts w:ascii="Arial" w:eastAsia="Arial" w:hAnsi="Arial" w:cs="Arial"/>
          <w:color w:val="000000"/>
          <w:sz w:val="20"/>
        </w:rPr>
        <w:t xml:space="preserve"> at 27 (citing </w:t>
      </w:r>
      <w:bookmarkStart w:id="641" w:name="Bookmark_I5WHY2KC2D6NSN0050000400"/>
      <w:bookmarkEnd w:id="641"/>
      <w:r>
        <w:rPr>
          <w:rFonts w:ascii="Arial" w:eastAsia="Arial" w:hAnsi="Arial" w:cs="Arial"/>
          <w:i/>
          <w:color w:val="000000"/>
          <w:sz w:val="20"/>
        </w:rPr>
        <w:t>Olmstead</w:t>
      </w:r>
      <w:r>
        <w:rPr>
          <w:rFonts w:ascii="Arial" w:eastAsia="Arial" w:hAnsi="Arial" w:cs="Arial"/>
          <w:color w:val="000000"/>
          <w:sz w:val="20"/>
        </w:rPr>
        <w:t xml:space="preserve">, 527 U.S. at 601). Members of the class have thus already proven causation. </w:t>
      </w:r>
      <w:r>
        <w:rPr>
          <w:rFonts w:ascii="Arial" w:eastAsia="Arial" w:hAnsi="Arial" w:cs="Arial"/>
          <w:i/>
          <w:color w:val="000000"/>
          <w:sz w:val="20"/>
        </w:rPr>
        <w:t>See supra</w:t>
      </w:r>
      <w:r>
        <w:rPr>
          <w:rFonts w:ascii="Arial" w:eastAsia="Arial" w:hAnsi="Arial" w:cs="Arial"/>
          <w:color w:val="000000"/>
          <w:sz w:val="20"/>
        </w:rPr>
        <w:t xml:space="preserve">, pp. 4-5 (class definition). The only remaining question is whether the [***38]  requested accommodations are reasonable. </w:t>
      </w:r>
      <w:r>
        <w:rPr>
          <w:rFonts w:ascii="Arial" w:eastAsia="Arial" w:hAnsi="Arial" w:cs="Arial"/>
          <w:i/>
          <w:color w:val="000000"/>
          <w:sz w:val="20"/>
        </w:rPr>
        <w:t>See supra</w:t>
      </w:r>
      <w:r>
        <w:rPr>
          <w:rFonts w:ascii="Arial" w:eastAsia="Arial" w:hAnsi="Arial" w:cs="Arial"/>
          <w:color w:val="000000"/>
          <w:sz w:val="20"/>
        </w:rPr>
        <w:t>, Section II.C (remand instructions).</w:t>
      </w:r>
    </w:p>
    <w:p w:rsidR="00E456CD" w:rsidRDefault="00000000">
      <w:pPr>
        <w:pStyle w:val="Normal3"/>
        <w:widowControl w:val="0"/>
        <w:spacing w:before="200" w:line="260" w:lineRule="atLeast"/>
        <w:jc w:val="both"/>
      </w:pPr>
      <w:bookmarkStart w:id="642" w:name="Bookmark_para_57"/>
      <w:bookmarkEnd w:id="642"/>
      <w:r>
        <w:rPr>
          <w:rFonts w:ascii="Arial" w:eastAsia="Arial" w:hAnsi="Arial" w:cs="Arial"/>
          <w:b/>
          <w:color w:val="000000"/>
          <w:sz w:val="20"/>
        </w:rPr>
        <w:t>* * *</w:t>
      </w:r>
    </w:p>
    <w:p w:rsidR="00E456CD" w:rsidRDefault="00000000">
      <w:pPr>
        <w:pStyle w:val="Normal3"/>
        <w:widowControl w:val="0"/>
        <w:spacing w:before="200" w:line="260" w:lineRule="atLeast"/>
        <w:jc w:val="both"/>
      </w:pPr>
      <w:bookmarkStart w:id="643" w:name="Bookmark_para_58"/>
      <w:bookmarkEnd w:id="643"/>
      <w:r>
        <w:rPr>
          <w:rFonts w:ascii="Arial" w:eastAsia="Arial" w:hAnsi="Arial" w:cs="Arial"/>
          <w:color w:val="000000"/>
          <w:sz w:val="20"/>
        </w:rPr>
        <w:t>For the foregoing reasons, we reverse the district court's judgment and remand the case for further proceedings consistent with this opinion.</w:t>
      </w:r>
    </w:p>
    <w:p w:rsidR="00E456CD" w:rsidRDefault="00000000">
      <w:pPr>
        <w:pStyle w:val="Normal3"/>
        <w:widowControl w:val="0"/>
        <w:spacing w:before="200" w:line="260" w:lineRule="atLeast"/>
        <w:jc w:val="both"/>
      </w:pPr>
      <w:bookmarkStart w:id="644" w:name="Bookmark_para_59"/>
      <w:bookmarkEnd w:id="644"/>
      <w:r>
        <w:rPr>
          <w:rFonts w:ascii="Arial" w:eastAsia="Arial" w:hAnsi="Arial" w:cs="Arial"/>
          <w:i/>
          <w:color w:val="000000"/>
          <w:sz w:val="20"/>
        </w:rPr>
        <w:t>So ordered</w:t>
      </w:r>
      <w:r>
        <w:rPr>
          <w:rFonts w:ascii="Arial" w:eastAsia="Arial" w:hAnsi="Arial" w:cs="Arial"/>
          <w:color w:val="000000"/>
          <w:sz w:val="20"/>
        </w:rPr>
        <w:t>.</w:t>
      </w:r>
    </w:p>
    <w:p w:rsidR="00E456CD" w:rsidRDefault="00000000">
      <w:pPr>
        <w:pStyle w:val="Normal3"/>
        <w:widowControl w:val="0"/>
        <w:spacing w:before="240" w:line="260" w:lineRule="atLeast"/>
      </w:pPr>
      <w:bookmarkStart w:id="645" w:name="Concur_by"/>
      <w:bookmarkEnd w:id="645"/>
      <w:r>
        <w:rPr>
          <w:rFonts w:ascii="Arial" w:eastAsia="Arial" w:hAnsi="Arial" w:cs="Arial"/>
          <w:b/>
          <w:color w:val="000000"/>
          <w:sz w:val="20"/>
        </w:rPr>
        <w:t>Concur by:</w:t>
      </w:r>
      <w:r>
        <w:rPr>
          <w:rFonts w:ascii="Arial" w:eastAsia="Arial" w:hAnsi="Arial" w:cs="Arial"/>
          <w:color w:val="000000"/>
          <w:sz w:val="20"/>
        </w:rPr>
        <w:t> WILKINS</w:t>
      </w:r>
    </w:p>
    <w:p w:rsidR="00E456CD" w:rsidRDefault="00000000">
      <w:pPr>
        <w:pStyle w:val="Normal3"/>
        <w:keepNext/>
        <w:widowControl w:val="0"/>
        <w:spacing w:before="240" w:line="340" w:lineRule="atLeast"/>
      </w:pPr>
      <w:bookmarkStart w:id="646" w:name="Concur"/>
      <w:bookmarkEnd w:id="646"/>
      <w:r>
        <w:rPr>
          <w:rFonts w:ascii="Arial" w:eastAsia="Arial" w:hAnsi="Arial" w:cs="Arial"/>
          <w:b/>
          <w:color w:val="000000"/>
          <w:sz w:val="28"/>
        </w:rPr>
        <w:t>Concur</w:t>
      </w:r>
    </w:p>
    <w:p w:rsidR="00E456CD" w:rsidRDefault="00E22289">
      <w:pPr>
        <w:pStyle w:val="Normal3"/>
        <w:spacing w:line="60" w:lineRule="exact"/>
      </w:pPr>
      <w:r>
        <w:rPr>
          <w:noProof/>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24955264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EC38D"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
      </w:pPr>
    </w:p>
    <w:p w:rsidR="00E456CD" w:rsidRDefault="00000000">
      <w:pPr>
        <w:pStyle w:val="Normal3"/>
        <w:widowControl w:val="0"/>
        <w:spacing w:before="200" w:line="260" w:lineRule="atLeast"/>
        <w:jc w:val="both"/>
      </w:pPr>
      <w:bookmarkStart w:id="647" w:name="Bookmark_para_60"/>
      <w:bookmarkEnd w:id="647"/>
      <w:r>
        <w:rPr>
          <w:rFonts w:ascii="Arial" w:eastAsia="Arial" w:hAnsi="Arial" w:cs="Arial"/>
          <w:color w:val="000000"/>
          <w:sz w:val="20"/>
        </w:rPr>
        <w:t xml:space="preserve"> [*1088]  </w:t>
      </w:r>
      <w:bookmarkStart w:id="648" w:name="Bookmark_I5H1TNSSPSD000063S7000KY"/>
      <w:bookmarkStart w:id="649" w:name="Bookmark_I5WHY2KC2SF7MN0030000400"/>
      <w:bookmarkEnd w:id="648"/>
      <w:bookmarkEnd w:id="649"/>
      <w:r>
        <w:rPr>
          <w:rFonts w:ascii="Arial" w:eastAsia="Arial" w:hAnsi="Arial" w:cs="Arial"/>
          <w:color w:val="000000"/>
          <w:sz w:val="20"/>
        </w:rPr>
        <w:t xml:space="preserve"> [**173]  </w:t>
      </w:r>
      <w:r>
        <w:rPr>
          <w:rFonts w:ascii="Arial" w:eastAsia="Arial" w:hAnsi="Arial" w:cs="Arial"/>
          <w:smallCaps/>
          <w:color w:val="000000"/>
          <w:sz w:val="20"/>
        </w:rPr>
        <w:t>Wilkins</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xml:space="preserve">, concurring in the judgment: I agree with the two bottom-line holdings of the majority opinion: (1) that the District Court erred in "requir[ing] Plaintiffs to meet a burden they should not have been made to shoulder"; and (2) that the class definition comports with Rule 23 of the Federal Rules of Civil Procedure. Majority Op. 15, 21, 23. But I cannot join the opinion because I disagree with how it analyzes a key precedent - </w:t>
      </w:r>
      <w:bookmarkStart w:id="650" w:name="Bookmark_I5WHY2KC2SF7MN0020000400"/>
      <w:bookmarkEnd w:id="650"/>
      <w:r>
        <w:rPr>
          <w:rFonts w:ascii="Arial" w:eastAsia="Arial" w:hAnsi="Arial" w:cs="Arial"/>
          <w:i/>
          <w:color w:val="000000"/>
          <w:sz w:val="20"/>
        </w:rPr>
        <w:t>Olmstead v. L.C. ex rel. Zimring</w:t>
      </w:r>
      <w:r>
        <w:rPr>
          <w:rFonts w:ascii="Arial" w:eastAsia="Arial" w:hAnsi="Arial" w:cs="Arial"/>
          <w:color w:val="000000"/>
          <w:sz w:val="20"/>
        </w:rPr>
        <w:t>, 527 U.S. 581, 119 S. Ct. 2176, 144 L. Ed. 2d 540 (1999) - and how it instructs the District Court on remand.</w:t>
      </w:r>
    </w:p>
    <w:p w:rsidR="00E456CD" w:rsidRDefault="00000000">
      <w:pPr>
        <w:pStyle w:val="Normal3"/>
        <w:widowControl w:val="0"/>
        <w:spacing w:before="200" w:line="260" w:lineRule="atLeast"/>
        <w:jc w:val="both"/>
      </w:pPr>
      <w:bookmarkStart w:id="651" w:name="Bookmark_para_61"/>
      <w:bookmarkStart w:id="652" w:name="Bookmark_I5H1TNT3THB000063S70002M"/>
      <w:bookmarkStart w:id="653" w:name="Bookmark_I5WHY2KC2SF7MN0050000400"/>
      <w:bookmarkEnd w:id="651"/>
      <w:bookmarkEnd w:id="652"/>
      <w:bookmarkEnd w:id="653"/>
      <w:r>
        <w:rPr>
          <w:rFonts w:ascii="Arial" w:eastAsia="Arial" w:hAnsi="Arial" w:cs="Arial"/>
          <w:color w:val="000000"/>
          <w:sz w:val="20"/>
        </w:rPr>
        <w:t xml:space="preserve">The majority considers this class action a simple application of </w:t>
      </w:r>
      <w:bookmarkStart w:id="654" w:name="Bookmark_I5WHY2KC2SF7MN0040000400"/>
      <w:bookmarkEnd w:id="654"/>
      <w:r>
        <w:rPr>
          <w:rFonts w:ascii="Arial" w:eastAsia="Arial" w:hAnsi="Arial" w:cs="Arial"/>
          <w:i/>
          <w:color w:val="000000"/>
          <w:sz w:val="20"/>
        </w:rPr>
        <w:t>Olmstead</w:t>
      </w:r>
      <w:r>
        <w:rPr>
          <w:rFonts w:ascii="Arial" w:eastAsia="Arial" w:hAnsi="Arial" w:cs="Arial"/>
          <w:color w:val="000000"/>
          <w:sz w:val="20"/>
        </w:rPr>
        <w:t xml:space="preserve">. I don't think it's quite that simple. I recognize that the instant case and </w:t>
      </w:r>
      <w:r>
        <w:rPr>
          <w:rFonts w:ascii="Arial" w:eastAsia="Arial" w:hAnsi="Arial" w:cs="Arial"/>
          <w:i/>
          <w:color w:val="000000"/>
          <w:sz w:val="20"/>
        </w:rPr>
        <w:t>Olmstead</w:t>
      </w:r>
      <w:r>
        <w:rPr>
          <w:rFonts w:ascii="Arial" w:eastAsia="Arial" w:hAnsi="Arial" w:cs="Arial"/>
          <w:color w:val="000000"/>
          <w:sz w:val="20"/>
        </w:rPr>
        <w:t xml:space="preserve"> both address community-based treatment and assert failure-to-accommodate claims under Title II of the Americans with Disabilities Act of 1990 (ADA), Pub. L. No. 101-336, 104 Stat. 327, 337-53 (codified as amended in scattered sections of 42 U.S.C.), and § 504 of the Rehabilitation Act of 1973 (Rehabilitation Act), Pub. L. No. 93-112, 87 Stat. 355, 394 (codified as amended in 29 U.S.C. § 794). But upon closer inspection, the claims [***39]  are apples and pears. I believe that failing to heed these differences takes the majority opinion slightly, but materially, off course.</w:t>
      </w:r>
    </w:p>
    <w:p w:rsidR="00E456CD" w:rsidRDefault="00000000">
      <w:pPr>
        <w:pStyle w:val="Normal3"/>
        <w:widowControl w:val="0"/>
        <w:spacing w:before="120" w:line="260" w:lineRule="atLeast"/>
      </w:pPr>
      <w:r>
        <w:rPr>
          <w:rFonts w:ascii="Arial" w:eastAsia="Arial" w:hAnsi="Arial" w:cs="Arial"/>
          <w:color w:val="000000"/>
          <w:sz w:val="20"/>
        </w:rPr>
        <w:t>I.</w:t>
      </w:r>
    </w:p>
    <w:p w:rsidR="00E456CD" w:rsidRDefault="00000000">
      <w:pPr>
        <w:pStyle w:val="Normal3"/>
        <w:widowControl w:val="0"/>
        <w:spacing w:before="200" w:line="260" w:lineRule="atLeast"/>
        <w:jc w:val="both"/>
      </w:pPr>
      <w:bookmarkStart w:id="655" w:name="Bookmark_para_62"/>
      <w:bookmarkEnd w:id="655"/>
      <w:r>
        <w:rPr>
          <w:rFonts w:ascii="Arial" w:eastAsia="Arial" w:hAnsi="Arial" w:cs="Arial"/>
          <w:color w:val="000000"/>
          <w:sz w:val="20"/>
        </w:rPr>
        <w:t xml:space="preserve">I start with an overview of the relevant legal authorities: the ADA, Rehabilitation Act, their implementing regulations, and </w:t>
      </w:r>
      <w:r>
        <w:rPr>
          <w:rFonts w:ascii="Arial" w:eastAsia="Arial" w:hAnsi="Arial" w:cs="Arial"/>
          <w:i/>
          <w:color w:val="000000"/>
          <w:sz w:val="20"/>
        </w:rPr>
        <w:t>Olmstead</w:t>
      </w:r>
      <w:r>
        <w:rPr>
          <w:rFonts w:ascii="Arial" w:eastAsia="Arial" w:hAnsi="Arial" w:cs="Arial"/>
          <w:color w:val="000000"/>
          <w:sz w:val="20"/>
        </w:rPr>
        <w:t xml:space="preserve">. My colleagues and I agree that the substantive standard for the ADA and Rehabilitation Act claims is the same (with one major exception noted below), </w:t>
      </w:r>
      <w:r>
        <w:rPr>
          <w:rFonts w:ascii="Arial" w:eastAsia="Arial" w:hAnsi="Arial" w:cs="Arial"/>
          <w:i/>
          <w:color w:val="000000"/>
          <w:sz w:val="20"/>
        </w:rPr>
        <w:t>see</w:t>
      </w:r>
      <w:r>
        <w:rPr>
          <w:rFonts w:ascii="Arial" w:eastAsia="Arial" w:hAnsi="Arial" w:cs="Arial"/>
          <w:color w:val="000000"/>
          <w:sz w:val="20"/>
        </w:rPr>
        <w:t xml:space="preserve"> Majority Op. 11 n.6, and thus I focus primarily on the former.</w:t>
      </w:r>
    </w:p>
    <w:p w:rsidR="00E456CD" w:rsidRDefault="00000000">
      <w:pPr>
        <w:pStyle w:val="Normal3"/>
        <w:widowControl w:val="0"/>
        <w:spacing w:before="200" w:line="260" w:lineRule="atLeast"/>
        <w:jc w:val="both"/>
      </w:pPr>
      <w:bookmarkStart w:id="656" w:name="Bookmark_para_63"/>
      <w:bookmarkEnd w:id="656"/>
      <w:r>
        <w:rPr>
          <w:rFonts w:ascii="Arial" w:eastAsia="Arial" w:hAnsi="Arial" w:cs="Arial"/>
          <w:color w:val="000000"/>
          <w:sz w:val="20"/>
        </w:rPr>
        <w:t xml:space="preserve">Title II provides that "no qualified individual with a disability shall, by reason of such disability, be excluded from participation in" government programs. 42 U.S.C. § 12132. Because Title II protects any disabled individual who can meet the "essential eligibility requirements" of those programs with the help of "reasonable modifications to rules, policies, or practices," the ADA requires the government to provide such modifications. </w:t>
      </w:r>
      <w:r>
        <w:rPr>
          <w:rFonts w:ascii="Arial" w:eastAsia="Arial" w:hAnsi="Arial" w:cs="Arial"/>
          <w:i/>
          <w:color w:val="000000"/>
          <w:sz w:val="20"/>
        </w:rPr>
        <w:t>See id.</w:t>
      </w:r>
      <w:r>
        <w:rPr>
          <w:rFonts w:ascii="Arial" w:eastAsia="Arial" w:hAnsi="Arial" w:cs="Arial"/>
          <w:color w:val="000000"/>
          <w:sz w:val="20"/>
        </w:rPr>
        <w:t xml:space="preserve"> § 12131(2).</w:t>
      </w:r>
    </w:p>
    <w:p w:rsidR="00E456CD" w:rsidRDefault="00000000">
      <w:pPr>
        <w:pStyle w:val="Normal3"/>
        <w:widowControl w:val="0"/>
        <w:spacing w:before="200" w:line="260" w:lineRule="atLeast"/>
        <w:jc w:val="both"/>
      </w:pPr>
      <w:bookmarkStart w:id="657" w:name="Bookmark_para_64"/>
      <w:bookmarkStart w:id="658" w:name="Bookmark_I5H1TNSSS4T000063S7000M0"/>
      <w:bookmarkStart w:id="659" w:name="Bookmark_I5H1TNSSTM3000063S7000M1"/>
      <w:bookmarkStart w:id="660" w:name="Bookmark_I5WHY2KJ2D6NTF0020000400"/>
      <w:bookmarkStart w:id="661" w:name="Bookmark_I5H1TNSSW1R000063S7000M2"/>
      <w:bookmarkStart w:id="662" w:name="Bookmark_I5H1TNSSXD8000063S7000HB"/>
      <w:bookmarkStart w:id="663" w:name="Bookmark_I5WHY2KK2SF7NH0010000400"/>
      <w:bookmarkEnd w:id="657"/>
      <w:bookmarkEnd w:id="658"/>
      <w:bookmarkEnd w:id="659"/>
      <w:bookmarkEnd w:id="660"/>
      <w:bookmarkEnd w:id="661"/>
      <w:bookmarkEnd w:id="662"/>
      <w:bookmarkEnd w:id="663"/>
      <w:r>
        <w:rPr>
          <w:rFonts w:ascii="Arial" w:eastAsia="Arial" w:hAnsi="Arial" w:cs="Arial"/>
          <w:color w:val="000000"/>
          <w:sz w:val="20"/>
        </w:rPr>
        <w:t xml:space="preserve">In a failure-to-accommodate claim under Title II, the plaintiff must first present a specific "reasonable accommodation." </w:t>
      </w:r>
      <w:r>
        <w:rPr>
          <w:rFonts w:ascii="Arial" w:eastAsia="Arial" w:hAnsi="Arial" w:cs="Arial"/>
          <w:i/>
          <w:color w:val="000000"/>
          <w:sz w:val="20"/>
        </w:rPr>
        <w:t xml:space="preserve">See </w:t>
      </w:r>
      <w:bookmarkStart w:id="664" w:name="Bookmark_I5WHY2KJ2D6NTF0010000400"/>
      <w:bookmarkEnd w:id="664"/>
      <w:r>
        <w:rPr>
          <w:rFonts w:ascii="Arial" w:eastAsia="Arial" w:hAnsi="Arial" w:cs="Arial"/>
          <w:i/>
          <w:color w:val="000000"/>
          <w:sz w:val="20"/>
        </w:rPr>
        <w:t>U.S. Airways, Inc. v. Barnett</w:t>
      </w:r>
      <w:r>
        <w:rPr>
          <w:rFonts w:ascii="Arial" w:eastAsia="Arial" w:hAnsi="Arial" w:cs="Arial"/>
          <w:color w:val="000000"/>
          <w:sz w:val="20"/>
        </w:rPr>
        <w:t xml:space="preserve">, 535 U.S. 391, 401-02, 122 S. Ct. 1516, 152 L. Ed. 2d 589 (2002); </w:t>
      </w:r>
      <w:r>
        <w:rPr>
          <w:rFonts w:ascii="Arial" w:eastAsia="Arial" w:hAnsi="Arial" w:cs="Arial"/>
          <w:i/>
          <w:color w:val="000000"/>
          <w:sz w:val="20"/>
        </w:rPr>
        <w:t xml:space="preserve">see also </w:t>
      </w:r>
      <w:bookmarkStart w:id="665" w:name="Bookmark_I5WHY2KJ2D6NTF0030000400"/>
      <w:bookmarkEnd w:id="665"/>
      <w:r>
        <w:rPr>
          <w:rFonts w:ascii="Arial" w:eastAsia="Arial" w:hAnsi="Arial" w:cs="Arial"/>
          <w:i/>
          <w:color w:val="000000"/>
          <w:sz w:val="20"/>
        </w:rPr>
        <w:t>Barth v. Gelb</w:t>
      </w:r>
      <w:r>
        <w:rPr>
          <w:rFonts w:ascii="Arial" w:eastAsia="Arial" w:hAnsi="Arial" w:cs="Arial"/>
          <w:color w:val="000000"/>
          <w:sz w:val="20"/>
        </w:rPr>
        <w:t xml:space="preserve">, 2 F.3d 1180, 1186-87, 303 U.S. App. D.C. 211 (D.C. Cir. 1993) (Rehabilitation Act). </w:t>
      </w:r>
      <w:bookmarkStart w:id="666" w:name="Bookmark_I5H1TNST015000063S7000HC"/>
      <w:bookmarkStart w:id="667" w:name="Bookmark_I5WHY2KK2SF7NH0050000400"/>
      <w:bookmarkEnd w:id="666"/>
      <w:bookmarkEnd w:id="667"/>
      <w:r>
        <w:rPr>
          <w:rFonts w:ascii="Arial" w:eastAsia="Arial" w:hAnsi="Arial" w:cs="Arial"/>
          <w:color w:val="000000"/>
          <w:sz w:val="20"/>
        </w:rPr>
        <w:t xml:space="preserve">She may show that her accommodation is reasonable "on its face, </w:t>
      </w:r>
      <w:r>
        <w:rPr>
          <w:rFonts w:ascii="Arial" w:eastAsia="Arial" w:hAnsi="Arial" w:cs="Arial"/>
          <w:i/>
          <w:color w:val="000000"/>
          <w:sz w:val="20"/>
        </w:rPr>
        <w:t>i.e.</w:t>
      </w:r>
      <w:r>
        <w:rPr>
          <w:rFonts w:ascii="Arial" w:eastAsia="Arial" w:hAnsi="Arial" w:cs="Arial"/>
          <w:color w:val="000000"/>
          <w:sz w:val="20"/>
        </w:rPr>
        <w:t xml:space="preserve">, ordinarily or in the run of cases," or "on the particular [***40]  facts." </w:t>
      </w:r>
      <w:bookmarkStart w:id="668" w:name="Bookmark_I5WHY2KJ2D6NTF0050000400"/>
      <w:bookmarkEnd w:id="668"/>
      <w:r>
        <w:rPr>
          <w:rFonts w:ascii="Arial" w:eastAsia="Arial" w:hAnsi="Arial" w:cs="Arial"/>
          <w:i/>
          <w:color w:val="000000"/>
          <w:sz w:val="20"/>
        </w:rPr>
        <w:t>U.S. Airways</w:t>
      </w:r>
      <w:r>
        <w:rPr>
          <w:rFonts w:ascii="Arial" w:eastAsia="Arial" w:hAnsi="Arial" w:cs="Arial"/>
          <w:color w:val="000000"/>
          <w:sz w:val="20"/>
        </w:rPr>
        <w:t xml:space="preserve">, 535 U.S. at 401, 405; </w:t>
      </w:r>
      <w:r>
        <w:rPr>
          <w:rFonts w:ascii="Arial" w:eastAsia="Arial" w:hAnsi="Arial" w:cs="Arial"/>
          <w:i/>
          <w:color w:val="000000"/>
          <w:sz w:val="20"/>
        </w:rPr>
        <w:t xml:space="preserve">see also </w:t>
      </w:r>
      <w:bookmarkStart w:id="669" w:name="Bookmark_I5WHY2KK2SF7NH0020000400"/>
      <w:bookmarkEnd w:id="669"/>
      <w:r>
        <w:rPr>
          <w:rFonts w:ascii="Arial" w:eastAsia="Arial" w:hAnsi="Arial" w:cs="Arial"/>
          <w:i/>
          <w:color w:val="000000"/>
          <w:sz w:val="20"/>
        </w:rPr>
        <w:t>Barth</w:t>
      </w:r>
      <w:r>
        <w:rPr>
          <w:rFonts w:ascii="Arial" w:eastAsia="Arial" w:hAnsi="Arial" w:cs="Arial"/>
          <w:color w:val="000000"/>
          <w:sz w:val="20"/>
        </w:rPr>
        <w:t xml:space="preserve">, 2 F.3d at 1187. Only after the plaintiff makes her </w:t>
      </w:r>
      <w:r>
        <w:rPr>
          <w:rFonts w:ascii="Arial" w:eastAsia="Arial" w:hAnsi="Arial" w:cs="Arial"/>
          <w:i/>
          <w:color w:val="000000"/>
          <w:sz w:val="20"/>
        </w:rPr>
        <w:t>prima facie</w:t>
      </w:r>
      <w:r>
        <w:rPr>
          <w:rFonts w:ascii="Arial" w:eastAsia="Arial" w:hAnsi="Arial" w:cs="Arial"/>
          <w:color w:val="000000"/>
          <w:sz w:val="20"/>
        </w:rPr>
        <w:t xml:space="preserve"> showing does the burden shift to the defendant to prove that the accommodation would create an undue hardship or, in this case, a fundamental alteration. </w:t>
      </w:r>
      <w:bookmarkStart w:id="670" w:name="Bookmark_I5WHY2KK2SF7NH0050000400_2"/>
      <w:bookmarkEnd w:id="670"/>
      <w:r>
        <w:rPr>
          <w:rFonts w:ascii="Arial" w:eastAsia="Arial" w:hAnsi="Arial" w:cs="Arial"/>
          <w:i/>
          <w:color w:val="000000"/>
          <w:sz w:val="20"/>
        </w:rPr>
        <w:t xml:space="preserve">See </w:t>
      </w:r>
      <w:bookmarkStart w:id="671" w:name="Bookmark_I5WHY2KK2SF7NH0040000400"/>
      <w:bookmarkEnd w:id="671"/>
      <w:r>
        <w:rPr>
          <w:rFonts w:ascii="Arial" w:eastAsia="Arial" w:hAnsi="Arial" w:cs="Arial"/>
          <w:i/>
          <w:color w:val="000000"/>
          <w:sz w:val="20"/>
        </w:rPr>
        <w:t>U.S. Airways</w:t>
      </w:r>
      <w:r>
        <w:rPr>
          <w:rFonts w:ascii="Arial" w:eastAsia="Arial" w:hAnsi="Arial" w:cs="Arial"/>
          <w:color w:val="000000"/>
          <w:sz w:val="20"/>
        </w:rPr>
        <w:t>, 535 U.S. at 402.</w:t>
      </w:r>
    </w:p>
    <w:p w:rsidR="00E456CD" w:rsidRDefault="00000000">
      <w:pPr>
        <w:pStyle w:val="Normal3"/>
        <w:widowControl w:val="0"/>
        <w:spacing w:before="200" w:line="260" w:lineRule="atLeast"/>
        <w:jc w:val="both"/>
      </w:pPr>
      <w:bookmarkStart w:id="672" w:name="Bookmark_para_65"/>
      <w:bookmarkEnd w:id="672"/>
      <w:r>
        <w:rPr>
          <w:rFonts w:ascii="Arial" w:eastAsia="Arial" w:hAnsi="Arial" w:cs="Arial"/>
          <w:color w:val="000000"/>
          <w:sz w:val="20"/>
        </w:rPr>
        <w:t xml:space="preserve">The burden-shifting regime is consistent with the text of the relevant Title II regulation. The regulation provides that "[a] public entity shall make reasonable modifications in policies, practices, or procedures when the modifications are necessary to avoid discrimination on the basis of disability, unless the public entity can demonstrate that making the modifications would fundamentally alter the nature of the service, program, or activity." 28 C.F.R. § 35.130(b)(7)(i). As a textual matter, § 35.130(b)(7)(i) places the burden on the government to demonstrate fundamental alteration but does not expressly do so with respect to the showing of reasonable modifications and their necessity. </w:t>
      </w:r>
      <w:bookmarkStart w:id="673" w:name="Bookmark_I5H1TNST32J000063S7000HF"/>
      <w:bookmarkStart w:id="674" w:name="Bookmark_I5WHY2KK2SF7NJ0020000400"/>
      <w:bookmarkEnd w:id="673"/>
      <w:bookmarkEnd w:id="674"/>
      <w:r>
        <w:rPr>
          <w:rFonts w:ascii="Arial" w:eastAsia="Arial" w:hAnsi="Arial" w:cs="Arial"/>
          <w:color w:val="000000"/>
          <w:sz w:val="20"/>
        </w:rPr>
        <w:t xml:space="preserve">I interpret  [*1089]   [**174]  the omission as intentional. The regulation therefore imposes on plaintiffs the burden of initially proffering a reasonable accommodation and its necessity. </w:t>
      </w:r>
      <w:r>
        <w:rPr>
          <w:rFonts w:ascii="Arial" w:eastAsia="Arial" w:hAnsi="Arial" w:cs="Arial"/>
          <w:i/>
          <w:color w:val="000000"/>
          <w:sz w:val="20"/>
        </w:rPr>
        <w:t xml:space="preserve">Accord </w:t>
      </w:r>
      <w:bookmarkStart w:id="675" w:name="Bookmark_I5WHY2KK2SF7NJ0010000400"/>
      <w:bookmarkEnd w:id="675"/>
      <w:r>
        <w:rPr>
          <w:rFonts w:ascii="Arial" w:eastAsia="Arial" w:hAnsi="Arial" w:cs="Arial"/>
          <w:i/>
          <w:color w:val="000000"/>
          <w:sz w:val="20"/>
        </w:rPr>
        <w:t>Frederick L. v. Dep't of Pub. Welfare</w:t>
      </w:r>
      <w:r>
        <w:rPr>
          <w:rFonts w:ascii="Arial" w:eastAsia="Arial" w:hAnsi="Arial" w:cs="Arial"/>
          <w:color w:val="000000"/>
          <w:sz w:val="20"/>
        </w:rPr>
        <w:t>, 364 F.3d 487, 492 n.4 (3d Cir. 2004).</w:t>
      </w:r>
    </w:p>
    <w:p w:rsidR="00E456CD" w:rsidRDefault="00000000">
      <w:pPr>
        <w:pStyle w:val="Normal3"/>
        <w:widowControl w:val="0"/>
        <w:spacing w:before="200" w:line="260" w:lineRule="atLeast"/>
        <w:jc w:val="both"/>
      </w:pPr>
      <w:bookmarkStart w:id="676" w:name="Bookmark_para_66"/>
      <w:bookmarkEnd w:id="676"/>
      <w:r>
        <w:rPr>
          <w:rFonts w:ascii="Arial" w:eastAsia="Arial" w:hAnsi="Arial" w:cs="Arial"/>
          <w:color w:val="000000"/>
          <w:sz w:val="20"/>
        </w:rPr>
        <w:t xml:space="preserve">Enter </w:t>
      </w:r>
      <w:r>
        <w:rPr>
          <w:rFonts w:ascii="Arial" w:eastAsia="Arial" w:hAnsi="Arial" w:cs="Arial"/>
          <w:i/>
          <w:color w:val="000000"/>
          <w:sz w:val="20"/>
        </w:rPr>
        <w:t>Olmstead</w:t>
      </w:r>
      <w:r>
        <w:rPr>
          <w:rFonts w:ascii="Arial" w:eastAsia="Arial" w:hAnsi="Arial" w:cs="Arial"/>
          <w:color w:val="000000"/>
          <w:sz w:val="20"/>
        </w:rPr>
        <w:t xml:space="preserve">. Two individual plaintiffs resided in Georgia-run hospitals and sought a specific accommodation: successful placement in state-contracted, [***41]  community-based group homes. </w:t>
      </w:r>
      <w:bookmarkStart w:id="677" w:name="Bookmark_I5H1TNST4HW000063S7000HG"/>
      <w:bookmarkStart w:id="678" w:name="Bookmark_I5WHY2KK2SF7NJ0040000400"/>
      <w:bookmarkEnd w:id="677"/>
      <w:bookmarkEnd w:id="678"/>
      <w:r>
        <w:rPr>
          <w:rFonts w:ascii="Arial" w:eastAsia="Arial" w:hAnsi="Arial" w:cs="Arial"/>
          <w:color w:val="000000"/>
          <w:sz w:val="20"/>
        </w:rPr>
        <w:t xml:space="preserve">The Eleventh Circuit identified as an ADA violation Georgia's failure to place them in group homes and remanded for further consideration of the fundamental alteration defense. In affirming the Eleventh Circuit's judgment of ADA liability, </w:t>
      </w:r>
      <w:r>
        <w:rPr>
          <w:rFonts w:ascii="Arial" w:eastAsia="Arial" w:hAnsi="Arial" w:cs="Arial"/>
          <w:i/>
          <w:color w:val="000000"/>
          <w:sz w:val="20"/>
        </w:rPr>
        <w:t>Olmstead</w:t>
      </w:r>
      <w:r>
        <w:rPr>
          <w:rFonts w:ascii="Arial" w:eastAsia="Arial" w:hAnsi="Arial" w:cs="Arial"/>
          <w:color w:val="000000"/>
          <w:sz w:val="20"/>
        </w:rPr>
        <w:t xml:space="preserve"> holds as a matter of law that an individual plaintiff who demonstrates (1) the state's approval of a group-home placement and (2) her desire to receive group-home care makes a </w:t>
      </w:r>
      <w:r>
        <w:rPr>
          <w:rFonts w:ascii="Arial" w:eastAsia="Arial" w:hAnsi="Arial" w:cs="Arial"/>
          <w:i/>
          <w:color w:val="000000"/>
          <w:sz w:val="20"/>
        </w:rPr>
        <w:t>prima facie</w:t>
      </w:r>
      <w:r>
        <w:rPr>
          <w:rFonts w:ascii="Arial" w:eastAsia="Arial" w:hAnsi="Arial" w:cs="Arial"/>
          <w:color w:val="000000"/>
          <w:sz w:val="20"/>
        </w:rPr>
        <w:t xml:space="preserve"> showing that successful placement is a facially reasonable and necessary accommodation. </w:t>
      </w:r>
      <w:r>
        <w:rPr>
          <w:rFonts w:ascii="Arial" w:eastAsia="Arial" w:hAnsi="Arial" w:cs="Arial"/>
          <w:i/>
          <w:color w:val="000000"/>
          <w:sz w:val="20"/>
        </w:rPr>
        <w:t>See</w:t>
      </w:r>
      <w:r>
        <w:rPr>
          <w:rFonts w:ascii="Arial" w:eastAsia="Arial" w:hAnsi="Arial" w:cs="Arial"/>
          <w:color w:val="000000"/>
          <w:sz w:val="20"/>
        </w:rPr>
        <w:t xml:space="preserve"> </w:t>
      </w:r>
      <w:bookmarkStart w:id="679" w:name="Bookmark_I5WHY2KK2SF7NJ0030000400"/>
      <w:bookmarkEnd w:id="679"/>
      <w:r>
        <w:rPr>
          <w:rFonts w:ascii="Arial" w:eastAsia="Arial" w:hAnsi="Arial" w:cs="Arial"/>
          <w:color w:val="000000"/>
          <w:sz w:val="20"/>
        </w:rPr>
        <w:t xml:space="preserve">527 U.S. at 587, 607 (plurality opinion) (focusing on reasonableness of "placement"). My colleagues appear to agree. </w:t>
      </w:r>
      <w:r>
        <w:rPr>
          <w:rFonts w:ascii="Arial" w:eastAsia="Arial" w:hAnsi="Arial" w:cs="Arial"/>
          <w:i/>
          <w:color w:val="000000"/>
          <w:sz w:val="20"/>
        </w:rPr>
        <w:t>See</w:t>
      </w:r>
      <w:r>
        <w:rPr>
          <w:rFonts w:ascii="Arial" w:eastAsia="Arial" w:hAnsi="Arial" w:cs="Arial"/>
          <w:color w:val="000000"/>
          <w:sz w:val="20"/>
        </w:rPr>
        <w:t xml:space="preserve"> Majority Op. 11-13.</w:t>
      </w:r>
    </w:p>
    <w:p w:rsidR="00E456CD" w:rsidRDefault="00000000">
      <w:pPr>
        <w:pStyle w:val="Normal3"/>
        <w:widowControl w:val="0"/>
        <w:spacing w:before="200" w:line="260" w:lineRule="atLeast"/>
        <w:jc w:val="both"/>
      </w:pPr>
      <w:bookmarkStart w:id="680" w:name="Bookmark_para_67"/>
      <w:bookmarkStart w:id="681" w:name="Bookmark_I5H1TNST5Y8000063S7000M8"/>
      <w:bookmarkStart w:id="682" w:name="Bookmark_I5H1TNST7B6000063S7000M9"/>
      <w:bookmarkStart w:id="683" w:name="Bookmark_I5WHY2KK28T49S0010000400"/>
      <w:bookmarkEnd w:id="680"/>
      <w:bookmarkEnd w:id="681"/>
      <w:bookmarkEnd w:id="682"/>
      <w:bookmarkEnd w:id="683"/>
      <w:r>
        <w:rPr>
          <w:rFonts w:ascii="Arial" w:eastAsia="Arial" w:hAnsi="Arial" w:cs="Arial"/>
          <w:color w:val="000000"/>
          <w:sz w:val="20"/>
        </w:rPr>
        <w:t xml:space="preserve">After affirming the </w:t>
      </w:r>
      <w:r>
        <w:rPr>
          <w:rFonts w:ascii="Arial" w:eastAsia="Arial" w:hAnsi="Arial" w:cs="Arial"/>
          <w:i/>
          <w:color w:val="000000"/>
          <w:sz w:val="20"/>
        </w:rPr>
        <w:t>prima facie</w:t>
      </w:r>
      <w:r>
        <w:rPr>
          <w:rFonts w:ascii="Arial" w:eastAsia="Arial" w:hAnsi="Arial" w:cs="Arial"/>
          <w:color w:val="000000"/>
          <w:sz w:val="20"/>
        </w:rPr>
        <w:t xml:space="preserve"> determination, the Supreme Court vacated the Eleventh Circuit's judgment only as to the fundamental alteration defense, because the Court thought that the lower court gave erroneous instructions on remand. </w:t>
      </w:r>
      <w:bookmarkStart w:id="684" w:name="Bookmark_I5H1TNST8R6000063S7000MB"/>
      <w:bookmarkStart w:id="685" w:name="Bookmark_I5WHY2KK28T49S0050000400"/>
      <w:bookmarkEnd w:id="684"/>
      <w:bookmarkEnd w:id="685"/>
      <w:r>
        <w:rPr>
          <w:rFonts w:ascii="Arial" w:eastAsia="Arial" w:hAnsi="Arial" w:cs="Arial"/>
          <w:i/>
          <w:color w:val="000000"/>
          <w:sz w:val="20"/>
        </w:rPr>
        <w:t xml:space="preserve">See </w:t>
      </w:r>
      <w:bookmarkStart w:id="686" w:name="Bookmark_I5WHY2KK2SF7NJ0050000400"/>
      <w:bookmarkEnd w:id="686"/>
      <w:r>
        <w:rPr>
          <w:rFonts w:ascii="Arial" w:eastAsia="Arial" w:hAnsi="Arial" w:cs="Arial"/>
          <w:i/>
          <w:color w:val="000000"/>
          <w:sz w:val="20"/>
        </w:rPr>
        <w:t>Olmstead</w:t>
      </w:r>
      <w:r>
        <w:rPr>
          <w:rFonts w:ascii="Arial" w:eastAsia="Arial" w:hAnsi="Arial" w:cs="Arial"/>
          <w:color w:val="000000"/>
          <w:sz w:val="20"/>
        </w:rPr>
        <w:t xml:space="preserve">, 527 U.S. at 603-07 (plurality opinion); </w:t>
      </w:r>
      <w:bookmarkStart w:id="687" w:name="Bookmark_I5WHY2KK28T49S0020000400"/>
      <w:bookmarkEnd w:id="687"/>
      <w:r>
        <w:rPr>
          <w:rFonts w:ascii="Arial" w:eastAsia="Arial" w:hAnsi="Arial" w:cs="Arial"/>
          <w:i/>
          <w:color w:val="000000"/>
          <w:sz w:val="20"/>
        </w:rPr>
        <w:t>id.</w:t>
      </w:r>
      <w:r>
        <w:rPr>
          <w:rFonts w:ascii="Arial" w:eastAsia="Arial" w:hAnsi="Arial" w:cs="Arial"/>
          <w:color w:val="000000"/>
          <w:sz w:val="20"/>
        </w:rPr>
        <w:t xml:space="preserve"> at 607-08 (Stevens, J., concurring in part and concurring in the judgment). A plurality of the Supreme Court proceeded to outline the contours of Georgia's affirmative defense. </w:t>
      </w:r>
      <w:bookmarkStart w:id="688" w:name="Bookmark_I5WHY2KK28T49S0050000400_2"/>
      <w:bookmarkEnd w:id="688"/>
      <w:r>
        <w:rPr>
          <w:rFonts w:ascii="Arial" w:eastAsia="Arial" w:hAnsi="Arial" w:cs="Arial"/>
          <w:i/>
          <w:color w:val="000000"/>
          <w:sz w:val="20"/>
        </w:rPr>
        <w:t xml:space="preserve">See </w:t>
      </w:r>
      <w:bookmarkStart w:id="689" w:name="Bookmark_I5WHY2KK28T49S0040000400"/>
      <w:bookmarkEnd w:id="689"/>
      <w:r>
        <w:rPr>
          <w:rFonts w:ascii="Arial" w:eastAsia="Arial" w:hAnsi="Arial" w:cs="Arial"/>
          <w:i/>
          <w:color w:val="000000"/>
          <w:sz w:val="20"/>
        </w:rPr>
        <w:t>id.</w:t>
      </w:r>
      <w:r>
        <w:rPr>
          <w:rFonts w:ascii="Arial" w:eastAsia="Arial" w:hAnsi="Arial" w:cs="Arial"/>
          <w:color w:val="000000"/>
          <w:sz w:val="20"/>
        </w:rPr>
        <w:t xml:space="preserve"> at 603-06 (plurality opinion). My colleagues and I agree that the plurality opinion provides guidance [***42]  as to how any government defendant may prove a fundamental alteration in practice. But we diverge on how to interpret the opinion.</w:t>
      </w:r>
    </w:p>
    <w:p w:rsidR="00E456CD" w:rsidRDefault="00000000">
      <w:pPr>
        <w:pStyle w:val="Normal3"/>
        <w:widowControl w:val="0"/>
        <w:spacing w:before="120" w:line="260" w:lineRule="atLeast"/>
      </w:pPr>
      <w:r>
        <w:rPr>
          <w:rFonts w:ascii="Arial" w:eastAsia="Arial" w:hAnsi="Arial" w:cs="Arial"/>
          <w:color w:val="000000"/>
          <w:sz w:val="20"/>
        </w:rPr>
        <w:t>II.</w:t>
      </w:r>
    </w:p>
    <w:p w:rsidR="00E456CD" w:rsidRDefault="00000000">
      <w:pPr>
        <w:pStyle w:val="Normal3"/>
        <w:widowControl w:val="0"/>
        <w:spacing w:before="200" w:line="260" w:lineRule="atLeast"/>
        <w:jc w:val="both"/>
      </w:pPr>
      <w:bookmarkStart w:id="690" w:name="Bookmark_para_68"/>
      <w:bookmarkStart w:id="691" w:name="Bookmark_I5H1TNSTCJH000063S7000HM"/>
      <w:bookmarkStart w:id="692" w:name="Bookmark_I5WHY2KK28T49T0020000400"/>
      <w:bookmarkStart w:id="693" w:name="Bookmark_I5H1TNT3VXY000063S70002N"/>
      <w:bookmarkStart w:id="694" w:name="Bookmark_I5WHY2KK28T49T0040000400"/>
      <w:bookmarkEnd w:id="690"/>
      <w:bookmarkEnd w:id="691"/>
      <w:bookmarkEnd w:id="692"/>
      <w:bookmarkEnd w:id="693"/>
      <w:bookmarkEnd w:id="694"/>
      <w:r>
        <w:rPr>
          <w:rFonts w:ascii="Arial" w:eastAsia="Arial" w:hAnsi="Arial" w:cs="Arial"/>
          <w:color w:val="000000"/>
          <w:sz w:val="20"/>
        </w:rPr>
        <w:t xml:space="preserve">According to the majority, </w:t>
      </w:r>
      <w:r>
        <w:rPr>
          <w:rFonts w:ascii="Arial" w:eastAsia="Arial" w:hAnsi="Arial" w:cs="Arial"/>
          <w:i/>
          <w:color w:val="000000"/>
          <w:sz w:val="20"/>
        </w:rPr>
        <w:t>Olmstead</w:t>
      </w:r>
      <w:r>
        <w:rPr>
          <w:rFonts w:ascii="Arial" w:eastAsia="Arial" w:hAnsi="Arial" w:cs="Arial"/>
          <w:color w:val="000000"/>
          <w:sz w:val="20"/>
        </w:rPr>
        <w:t xml:space="preserve"> "effectively requires" the District to implement a so-called "</w:t>
      </w:r>
      <w:r>
        <w:rPr>
          <w:rFonts w:ascii="Arial" w:eastAsia="Arial" w:hAnsi="Arial" w:cs="Arial"/>
          <w:i/>
          <w:color w:val="000000"/>
          <w:sz w:val="20"/>
        </w:rPr>
        <w:t>Olmstead</w:t>
      </w:r>
      <w:r>
        <w:rPr>
          <w:rFonts w:ascii="Arial" w:eastAsia="Arial" w:hAnsi="Arial" w:cs="Arial"/>
          <w:color w:val="000000"/>
          <w:sz w:val="20"/>
        </w:rPr>
        <w:t xml:space="preserve"> Plan" because evidence of the plan would defeat the failure-to-accommodate claim here. Majority Op. 14. The </w:t>
      </w:r>
      <w:r>
        <w:rPr>
          <w:rFonts w:ascii="Arial" w:eastAsia="Arial" w:hAnsi="Arial" w:cs="Arial"/>
          <w:i/>
          <w:color w:val="000000"/>
          <w:sz w:val="20"/>
        </w:rPr>
        <w:t>Olmstead</w:t>
      </w:r>
      <w:r>
        <w:rPr>
          <w:rFonts w:ascii="Arial" w:eastAsia="Arial" w:hAnsi="Arial" w:cs="Arial"/>
          <w:color w:val="000000"/>
          <w:sz w:val="20"/>
        </w:rPr>
        <w:t xml:space="preserve"> Plan, as described in the Supreme Court case, is a "comprehensive, effectively working plan for placing qualified persons with . . . disabilities in less restrictive settings, and a waiting list that move[s] at a reasonable pace not controlled by the [government]'s endeavors to keep its institutions fully populated." </w:t>
      </w:r>
      <w:bookmarkStart w:id="695" w:name="Bookmark_I5WHY2KK28T49T0010000400"/>
      <w:bookmarkEnd w:id="695"/>
      <w:r>
        <w:rPr>
          <w:rFonts w:ascii="Arial" w:eastAsia="Arial" w:hAnsi="Arial" w:cs="Arial"/>
          <w:i/>
          <w:color w:val="000000"/>
          <w:sz w:val="20"/>
        </w:rPr>
        <w:t>Olmstead</w:t>
      </w:r>
      <w:r>
        <w:rPr>
          <w:rFonts w:ascii="Arial" w:eastAsia="Arial" w:hAnsi="Arial" w:cs="Arial"/>
          <w:color w:val="000000"/>
          <w:sz w:val="20"/>
        </w:rPr>
        <w:t xml:space="preserve">, 527 U.S. at 605-06 (plurality opinion). Unlike the majority opinion, I do not understand the </w:t>
      </w:r>
      <w:bookmarkStart w:id="696" w:name="Bookmark_I5WHY2KK28T49T0040000400_2"/>
      <w:bookmarkStart w:id="697" w:name="Bookmark_I5WHY2KK28T49T0020000400_2"/>
      <w:bookmarkStart w:id="698" w:name="Bookmark_I5WHY2KK28T49T0030000400"/>
      <w:bookmarkEnd w:id="696"/>
      <w:bookmarkEnd w:id="697"/>
      <w:bookmarkEnd w:id="698"/>
      <w:r>
        <w:rPr>
          <w:rFonts w:ascii="Arial" w:eastAsia="Arial" w:hAnsi="Arial" w:cs="Arial"/>
          <w:i/>
          <w:color w:val="000000"/>
          <w:sz w:val="20"/>
        </w:rPr>
        <w:t>Olmstead</w:t>
      </w:r>
      <w:r>
        <w:rPr>
          <w:rFonts w:ascii="Arial" w:eastAsia="Arial" w:hAnsi="Arial" w:cs="Arial"/>
          <w:color w:val="000000"/>
          <w:sz w:val="20"/>
        </w:rPr>
        <w:t xml:space="preserve"> plurality as dictating a particular type of "plan" that the government must execute to address every potential manifestation of disability discrimination in community-based treatment.</w:t>
      </w:r>
    </w:p>
    <w:p w:rsidR="00E456CD" w:rsidRDefault="00000000">
      <w:pPr>
        <w:pStyle w:val="Normal3"/>
        <w:widowControl w:val="0"/>
        <w:spacing w:before="200" w:line="260" w:lineRule="atLeast"/>
        <w:jc w:val="both"/>
      </w:pPr>
      <w:bookmarkStart w:id="699" w:name="Bookmark_para_69"/>
      <w:bookmarkStart w:id="700" w:name="Bookmark_I5H1TNSTGDS000063S7000HP"/>
      <w:bookmarkStart w:id="701" w:name="Bookmark_I5WHY2KK2N1PR60010000400"/>
      <w:bookmarkEnd w:id="699"/>
      <w:bookmarkEnd w:id="700"/>
      <w:bookmarkEnd w:id="701"/>
      <w:r>
        <w:rPr>
          <w:rFonts w:ascii="Arial" w:eastAsia="Arial" w:hAnsi="Arial" w:cs="Arial"/>
          <w:color w:val="000000"/>
          <w:sz w:val="20"/>
        </w:rPr>
        <w:t xml:space="preserve">The </w:t>
      </w:r>
      <w:r>
        <w:rPr>
          <w:rFonts w:ascii="Arial" w:eastAsia="Arial" w:hAnsi="Arial" w:cs="Arial"/>
          <w:i/>
          <w:color w:val="000000"/>
          <w:sz w:val="20"/>
        </w:rPr>
        <w:t>Olmstead</w:t>
      </w:r>
      <w:r>
        <w:rPr>
          <w:rFonts w:ascii="Arial" w:eastAsia="Arial" w:hAnsi="Arial" w:cs="Arial"/>
          <w:color w:val="000000"/>
          <w:sz w:val="20"/>
        </w:rPr>
        <w:t xml:space="preserve"> plurality instead proffered a different, more abstract legal standard for evaluating fundamental alteration defenses across a wide range of treatment-related failure-to-accommodate claims. In any such case, the defendant must establish some "inequit[y]" [***43]  that would result from "immediate[ly]" implementing the accommodation asserted by the plaintiff in the </w:t>
      </w:r>
      <w:r>
        <w:rPr>
          <w:rFonts w:ascii="Arial" w:eastAsia="Arial" w:hAnsi="Arial" w:cs="Arial"/>
          <w:i/>
          <w:color w:val="000000"/>
          <w:sz w:val="20"/>
        </w:rPr>
        <w:t>prima facie</w:t>
      </w:r>
      <w:r>
        <w:rPr>
          <w:rFonts w:ascii="Arial" w:eastAsia="Arial" w:hAnsi="Arial" w:cs="Arial"/>
          <w:color w:val="000000"/>
          <w:sz w:val="20"/>
        </w:rPr>
        <w:t xml:space="preserve"> showing. </w:t>
      </w:r>
      <w:r>
        <w:rPr>
          <w:rFonts w:ascii="Arial" w:eastAsia="Arial" w:hAnsi="Arial" w:cs="Arial"/>
          <w:i/>
          <w:color w:val="000000"/>
          <w:sz w:val="20"/>
        </w:rPr>
        <w:t xml:space="preserve">See </w:t>
      </w:r>
      <w:bookmarkStart w:id="702" w:name="Bookmark_I5WHY2KK28T49T0050000400"/>
      <w:bookmarkEnd w:id="702"/>
      <w:r>
        <w:rPr>
          <w:rFonts w:ascii="Arial" w:eastAsia="Arial" w:hAnsi="Arial" w:cs="Arial"/>
          <w:i/>
          <w:color w:val="000000"/>
          <w:sz w:val="20"/>
        </w:rPr>
        <w:t>id.</w:t>
      </w:r>
      <w:r>
        <w:rPr>
          <w:rFonts w:ascii="Arial" w:eastAsia="Arial" w:hAnsi="Arial" w:cs="Arial"/>
          <w:color w:val="000000"/>
          <w:sz w:val="20"/>
        </w:rPr>
        <w:t xml:space="preserve"> at 604 (plurality opinion) ("Sensibly construed, the fundamental-alteration component of the reasonable-modifications regulation would allow the State to show that, in the allocation of available resources, immediate relief for the plaintiffs would be inequitable, given the responsibility the State has undertaken for the care and treatment of a large and diverse population of persons with . . . disabilities.").</w:t>
      </w:r>
    </w:p>
    <w:p w:rsidR="00E456CD" w:rsidRDefault="00000000">
      <w:pPr>
        <w:pStyle w:val="Normal3"/>
        <w:widowControl w:val="0"/>
        <w:spacing w:before="200" w:line="260" w:lineRule="atLeast"/>
        <w:jc w:val="both"/>
      </w:pPr>
      <w:bookmarkStart w:id="703" w:name="Bookmark_para_70"/>
      <w:bookmarkStart w:id="704" w:name="Bookmark_I5H1TNSTHWG000063S7000MH"/>
      <w:bookmarkStart w:id="705" w:name="Bookmark_I5WHY2KK2N1PR60030000400"/>
      <w:bookmarkStart w:id="706" w:name="Bookmark_I5H1TNSTK83000063S7000MJ"/>
      <w:bookmarkStart w:id="707" w:name="Bookmark_I5WHY2KK2N1PR60050000400"/>
      <w:bookmarkEnd w:id="703"/>
      <w:bookmarkEnd w:id="704"/>
      <w:bookmarkEnd w:id="705"/>
      <w:bookmarkEnd w:id="706"/>
      <w:bookmarkEnd w:id="707"/>
      <w:r>
        <w:rPr>
          <w:rFonts w:ascii="Arial" w:eastAsia="Arial" w:hAnsi="Arial" w:cs="Arial"/>
          <w:color w:val="000000"/>
          <w:sz w:val="20"/>
        </w:rPr>
        <w:t xml:space="preserve">The plurality offered details as to how to apply the standard in practice. The inquiry is necessarily "case-by-case." </w:t>
      </w:r>
      <w:bookmarkStart w:id="708" w:name="Bookmark_I5WHY2KK2N1PR60020000400"/>
      <w:bookmarkEnd w:id="708"/>
      <w:r>
        <w:rPr>
          <w:rFonts w:ascii="Arial" w:eastAsia="Arial" w:hAnsi="Arial" w:cs="Arial"/>
          <w:i/>
          <w:color w:val="000000"/>
          <w:sz w:val="20"/>
        </w:rPr>
        <w:t>Id.</w:t>
      </w:r>
      <w:r>
        <w:rPr>
          <w:rFonts w:ascii="Arial" w:eastAsia="Arial" w:hAnsi="Arial" w:cs="Arial"/>
          <w:color w:val="000000"/>
          <w:sz w:val="20"/>
        </w:rPr>
        <w:t xml:space="preserve"> at 606 n.16 (plurality opinion)  [*1090]   [**175]  (quoting 28 C.F.R. § 42.511(c) (1998)). </w:t>
      </w:r>
      <w:bookmarkStart w:id="709" w:name="Bookmark_I5H1TNSTMM8000063S7000HS"/>
      <w:bookmarkStart w:id="710" w:name="Bookmark_I5WHY2KM2D6NTP0020000400"/>
      <w:bookmarkEnd w:id="709"/>
      <w:bookmarkEnd w:id="710"/>
      <w:r>
        <w:rPr>
          <w:rFonts w:ascii="Arial" w:eastAsia="Arial" w:hAnsi="Arial" w:cs="Arial"/>
          <w:color w:val="000000"/>
          <w:sz w:val="20"/>
        </w:rPr>
        <w:t xml:space="preserve">Just as the reasonableness of a proposed accommodation is "a contextual and fact-specific inquiry," </w:t>
      </w:r>
      <w:bookmarkStart w:id="711" w:name="Bookmark_I5WHY2KK2N1PR60040000400"/>
      <w:bookmarkEnd w:id="711"/>
      <w:r>
        <w:rPr>
          <w:rFonts w:ascii="Arial" w:eastAsia="Arial" w:hAnsi="Arial" w:cs="Arial"/>
          <w:i/>
          <w:color w:val="000000"/>
          <w:sz w:val="20"/>
        </w:rPr>
        <w:t>Solomon v. Vilsack</w:t>
      </w:r>
      <w:r>
        <w:rPr>
          <w:rFonts w:ascii="Arial" w:eastAsia="Arial" w:hAnsi="Arial" w:cs="Arial"/>
          <w:color w:val="000000"/>
          <w:sz w:val="20"/>
        </w:rPr>
        <w:t xml:space="preserve">, 763 F.3d 1, 9, 412 U.S. App. D.C. 127 (D.C. Cir. 2014), so too must the fundamental alteration defense depend on a fact-intensive inquiry. </w:t>
      </w:r>
      <w:bookmarkStart w:id="712" w:name="Bookmark_I5WHY2KM2D6NTP0020000400_2"/>
      <w:bookmarkEnd w:id="712"/>
      <w:r>
        <w:rPr>
          <w:rFonts w:ascii="Arial" w:eastAsia="Arial" w:hAnsi="Arial" w:cs="Arial"/>
          <w:color w:val="000000"/>
          <w:sz w:val="20"/>
        </w:rPr>
        <w:t xml:space="preserve">Cost to the government is relevant, but it is only one factor. </w:t>
      </w:r>
      <w:bookmarkStart w:id="713" w:name="Bookmark_I5H1TNSTRN9000063S7000HV"/>
      <w:bookmarkStart w:id="714" w:name="Bookmark_I5H1TNSTVKF000063S7000HX"/>
      <w:bookmarkStart w:id="715" w:name="Bookmark_I5WHY2KM2D6NTP0040000400"/>
      <w:bookmarkEnd w:id="713"/>
      <w:bookmarkEnd w:id="714"/>
      <w:bookmarkEnd w:id="715"/>
      <w:r>
        <w:rPr>
          <w:rFonts w:ascii="Arial" w:eastAsia="Arial" w:hAnsi="Arial" w:cs="Arial"/>
          <w:i/>
          <w:color w:val="000000"/>
          <w:sz w:val="20"/>
        </w:rPr>
        <w:t xml:space="preserve">See </w:t>
      </w:r>
      <w:bookmarkStart w:id="716" w:name="Bookmark_I5WHY2KM2D6NTP0010000400"/>
      <w:bookmarkEnd w:id="716"/>
      <w:r>
        <w:rPr>
          <w:rFonts w:ascii="Arial" w:eastAsia="Arial" w:hAnsi="Arial" w:cs="Arial"/>
          <w:i/>
          <w:color w:val="000000"/>
          <w:sz w:val="20"/>
        </w:rPr>
        <w:t>Olmstead</w:t>
      </w:r>
      <w:r>
        <w:rPr>
          <w:rFonts w:ascii="Arial" w:eastAsia="Arial" w:hAnsi="Arial" w:cs="Arial"/>
          <w:color w:val="000000"/>
          <w:sz w:val="20"/>
        </w:rPr>
        <w:t xml:space="preserve">, 527 U.S. at 604 (plurality opinion). </w:t>
      </w:r>
      <w:bookmarkStart w:id="717" w:name="Bookmark_I5WHY2KM2D6NTP0040000400_2"/>
      <w:bookmarkStart w:id="718" w:name="Bookmark_I5H1TNSTYCN000063S7000MT"/>
      <w:bookmarkStart w:id="719" w:name="Bookmark_I5WHY2KM28T49V0030000400"/>
      <w:bookmarkEnd w:id="717"/>
      <w:bookmarkEnd w:id="718"/>
      <w:bookmarkEnd w:id="719"/>
      <w:r>
        <w:rPr>
          <w:rFonts w:ascii="Arial" w:eastAsia="Arial" w:hAnsi="Arial" w:cs="Arial"/>
          <w:i/>
          <w:color w:val="000000"/>
          <w:sz w:val="20"/>
        </w:rPr>
        <w:t>But see</w:t>
      </w:r>
      <w:r>
        <w:rPr>
          <w:rFonts w:ascii="Arial" w:eastAsia="Arial" w:hAnsi="Arial" w:cs="Arial"/>
          <w:color w:val="000000"/>
          <w:sz w:val="20"/>
        </w:rPr>
        <w:t xml:space="preserve"> Majority Op. 14 (focusing solely on whether a proposed accommodation is too "costly"). Other potentially relevant factors include the amount of government resources devoted to disability treatment in general, </w:t>
      </w:r>
      <w:r>
        <w:rPr>
          <w:rFonts w:ascii="Arial" w:eastAsia="Arial" w:hAnsi="Arial" w:cs="Arial"/>
          <w:i/>
          <w:color w:val="000000"/>
          <w:sz w:val="20"/>
        </w:rPr>
        <w:t xml:space="preserve">see </w:t>
      </w:r>
      <w:bookmarkStart w:id="720" w:name="Bookmark_I5WHY2KM2D6NTP0030000400"/>
      <w:bookmarkEnd w:id="720"/>
      <w:r>
        <w:rPr>
          <w:rFonts w:ascii="Arial" w:eastAsia="Arial" w:hAnsi="Arial" w:cs="Arial"/>
          <w:i/>
          <w:color w:val="000000"/>
          <w:sz w:val="20"/>
        </w:rPr>
        <w:t>Olmstead</w:t>
      </w:r>
      <w:r>
        <w:rPr>
          <w:rFonts w:ascii="Arial" w:eastAsia="Arial" w:hAnsi="Arial" w:cs="Arial"/>
          <w:color w:val="000000"/>
          <w:sz w:val="20"/>
        </w:rPr>
        <w:t xml:space="preserve">, 527 U.S. at 606 n.16 (plurality [***44]  opinion), and potential harm to plaintiffs or other persons with disabilities caused by changes to current government programming, </w:t>
      </w:r>
      <w:r>
        <w:rPr>
          <w:rFonts w:ascii="Arial" w:eastAsia="Arial" w:hAnsi="Arial" w:cs="Arial"/>
          <w:i/>
          <w:color w:val="000000"/>
          <w:sz w:val="20"/>
        </w:rPr>
        <w:t xml:space="preserve">see </w:t>
      </w:r>
      <w:bookmarkStart w:id="721" w:name="Bookmark_I5WHY2KM2D6NTP0050000400"/>
      <w:bookmarkEnd w:id="721"/>
      <w:r>
        <w:rPr>
          <w:rFonts w:ascii="Arial" w:eastAsia="Arial" w:hAnsi="Arial" w:cs="Arial"/>
          <w:i/>
          <w:color w:val="000000"/>
          <w:sz w:val="20"/>
        </w:rPr>
        <w:t>id.</w:t>
      </w:r>
      <w:r>
        <w:rPr>
          <w:rFonts w:ascii="Arial" w:eastAsia="Arial" w:hAnsi="Arial" w:cs="Arial"/>
          <w:color w:val="000000"/>
          <w:sz w:val="20"/>
        </w:rPr>
        <w:t xml:space="preserve"> at 604-05 (plurality opinion) (noting that the government should neither "phase out institutions" that would "plac[e] patients in need of close care at risk," nor "move institutionalized patients into an inappropriate setting, such as a homeless shelter"). </w:t>
      </w:r>
      <w:bookmarkStart w:id="722" w:name="Bookmark_I5WHY2KM28T49V0030000400_2"/>
      <w:bookmarkEnd w:id="722"/>
      <w:r>
        <w:rPr>
          <w:rFonts w:ascii="Arial" w:eastAsia="Arial" w:hAnsi="Arial" w:cs="Arial"/>
          <w:color w:val="000000"/>
          <w:sz w:val="20"/>
        </w:rPr>
        <w:t xml:space="preserve">The plurality also emphasized that governments must be able, if they choose, to "maintain a range of facilities" and "administer services with an even hand." </w:t>
      </w:r>
      <w:bookmarkStart w:id="723" w:name="Bookmark_I5WHY2KM28T49V0020000400"/>
      <w:bookmarkEnd w:id="723"/>
      <w:r>
        <w:rPr>
          <w:rFonts w:ascii="Arial" w:eastAsia="Arial" w:hAnsi="Arial" w:cs="Arial"/>
          <w:i/>
          <w:color w:val="000000"/>
          <w:sz w:val="20"/>
        </w:rPr>
        <w:t>Id.</w:t>
      </w:r>
      <w:r>
        <w:rPr>
          <w:rFonts w:ascii="Arial" w:eastAsia="Arial" w:hAnsi="Arial" w:cs="Arial"/>
          <w:color w:val="000000"/>
          <w:sz w:val="20"/>
        </w:rPr>
        <w:t xml:space="preserve"> at 605 (plurality opinion).</w:t>
      </w:r>
    </w:p>
    <w:p w:rsidR="00E456CD" w:rsidRDefault="00000000">
      <w:pPr>
        <w:pStyle w:val="Normal3"/>
        <w:widowControl w:val="0"/>
        <w:spacing w:before="200" w:line="260" w:lineRule="atLeast"/>
        <w:jc w:val="both"/>
      </w:pPr>
      <w:bookmarkStart w:id="724" w:name="Bookmark_para_71"/>
      <w:bookmarkStart w:id="725" w:name="Bookmark_I5H1TNSV2C8000063S7000MW"/>
      <w:bookmarkStart w:id="726" w:name="Bookmark_I5H1TNSV3R0000063S7000J2"/>
      <w:bookmarkStart w:id="727" w:name="Bookmark_I5H1TNSV54V000063S7000J3"/>
      <w:bookmarkStart w:id="728" w:name="Bookmark_I5H1TNSV6JM000063S7000J4"/>
      <w:bookmarkStart w:id="729" w:name="Bookmark_I5WHY2KM28T49V0050000400"/>
      <w:bookmarkEnd w:id="724"/>
      <w:bookmarkEnd w:id="725"/>
      <w:bookmarkEnd w:id="726"/>
      <w:bookmarkEnd w:id="727"/>
      <w:bookmarkEnd w:id="728"/>
      <w:bookmarkEnd w:id="729"/>
      <w:r>
        <w:rPr>
          <w:rFonts w:ascii="Arial" w:eastAsia="Arial" w:hAnsi="Arial" w:cs="Arial"/>
          <w:color w:val="000000"/>
          <w:sz w:val="20"/>
        </w:rPr>
        <w:t xml:space="preserve">Despite the majority opinion's suggestions to the contrary, </w:t>
      </w:r>
      <w:r>
        <w:rPr>
          <w:rFonts w:ascii="Arial" w:eastAsia="Arial" w:hAnsi="Arial" w:cs="Arial"/>
          <w:i/>
          <w:color w:val="000000"/>
          <w:sz w:val="20"/>
        </w:rPr>
        <w:t>see</w:t>
      </w:r>
      <w:r>
        <w:rPr>
          <w:rFonts w:ascii="Arial" w:eastAsia="Arial" w:hAnsi="Arial" w:cs="Arial"/>
          <w:color w:val="000000"/>
          <w:sz w:val="20"/>
        </w:rPr>
        <w:t xml:space="preserve"> Majority Op. 13-14, 24, 28, the </w:t>
      </w:r>
      <w:r>
        <w:rPr>
          <w:rFonts w:ascii="Arial" w:eastAsia="Arial" w:hAnsi="Arial" w:cs="Arial"/>
          <w:i/>
          <w:color w:val="000000"/>
          <w:sz w:val="20"/>
        </w:rPr>
        <w:t>Olmstead</w:t>
      </w:r>
      <w:r>
        <w:rPr>
          <w:rFonts w:ascii="Arial" w:eastAsia="Arial" w:hAnsi="Arial" w:cs="Arial"/>
          <w:color w:val="000000"/>
          <w:sz w:val="20"/>
        </w:rPr>
        <w:t xml:space="preserve"> Plan described by the plurality is not an intrinsic part of the "fundamental alteration" standard. The plurality was offering it as an "example" of a plan that would work in Georgia. </w:t>
      </w:r>
      <w:r>
        <w:rPr>
          <w:rFonts w:ascii="Arial" w:eastAsia="Arial" w:hAnsi="Arial" w:cs="Arial"/>
          <w:i/>
          <w:color w:val="000000"/>
          <w:sz w:val="20"/>
        </w:rPr>
        <w:t xml:space="preserve">See </w:t>
      </w:r>
      <w:bookmarkStart w:id="730" w:name="Bookmark_I5WHY2KM28T49V0040000400"/>
      <w:bookmarkEnd w:id="730"/>
      <w:r>
        <w:rPr>
          <w:rFonts w:ascii="Arial" w:eastAsia="Arial" w:hAnsi="Arial" w:cs="Arial"/>
          <w:i/>
          <w:color w:val="000000"/>
          <w:sz w:val="20"/>
        </w:rPr>
        <w:t>Olmstead</w:t>
      </w:r>
      <w:r>
        <w:rPr>
          <w:rFonts w:ascii="Arial" w:eastAsia="Arial" w:hAnsi="Arial" w:cs="Arial"/>
          <w:color w:val="000000"/>
          <w:sz w:val="20"/>
        </w:rPr>
        <w:t xml:space="preserve">, 527 U.S. at 605-06 (plurality opinion) ("If, for example, the State were to demonstrate that it had a comprehensive, effectively working plan for placing qualified persons with mental disabilities in less restrictive settings, and a waiting list that moved at a reasonable pace not controlled by the State's endeavors to keep its institutions fully populated, the [***45]  reasonable-modifications standard would be met."); </w:t>
      </w:r>
      <w:r>
        <w:rPr>
          <w:rFonts w:ascii="Arial" w:eastAsia="Arial" w:hAnsi="Arial" w:cs="Arial"/>
          <w:i/>
          <w:color w:val="000000"/>
          <w:sz w:val="20"/>
        </w:rPr>
        <w:t xml:space="preserve">see also </w:t>
      </w:r>
      <w:bookmarkStart w:id="731" w:name="Bookmark_I5WHY2KM2N1PR80010000400"/>
      <w:bookmarkEnd w:id="731"/>
      <w:r>
        <w:rPr>
          <w:rFonts w:ascii="Arial" w:eastAsia="Arial" w:hAnsi="Arial" w:cs="Arial"/>
          <w:i/>
          <w:color w:val="000000"/>
          <w:sz w:val="20"/>
        </w:rPr>
        <w:t>id.</w:t>
      </w:r>
      <w:r>
        <w:rPr>
          <w:rFonts w:ascii="Arial" w:eastAsia="Arial" w:hAnsi="Arial" w:cs="Arial"/>
          <w:color w:val="000000"/>
          <w:sz w:val="20"/>
        </w:rPr>
        <w:t xml:space="preserve"> at 593-94 (defining Georgia state officials as "the State"); </w:t>
      </w:r>
      <w:bookmarkStart w:id="732" w:name="Bookmark_I5WHY2KM2N1PR80030000400"/>
      <w:bookmarkEnd w:id="732"/>
      <w:r>
        <w:rPr>
          <w:rFonts w:ascii="Arial" w:eastAsia="Arial" w:hAnsi="Arial" w:cs="Arial"/>
          <w:i/>
          <w:color w:val="000000"/>
          <w:sz w:val="20"/>
        </w:rPr>
        <w:t>id.</w:t>
      </w:r>
      <w:r>
        <w:rPr>
          <w:rFonts w:ascii="Arial" w:eastAsia="Arial" w:hAnsi="Arial" w:cs="Arial"/>
          <w:color w:val="000000"/>
          <w:sz w:val="20"/>
        </w:rPr>
        <w:t xml:space="preserve"> at 606 (plurality opinion) (citing to representations of government counsel as support for </w:t>
      </w:r>
      <w:r>
        <w:rPr>
          <w:rFonts w:ascii="Arial" w:eastAsia="Arial" w:hAnsi="Arial" w:cs="Arial"/>
          <w:i/>
          <w:color w:val="000000"/>
          <w:sz w:val="20"/>
        </w:rPr>
        <w:t>Olmstead</w:t>
      </w:r>
      <w:r>
        <w:rPr>
          <w:rFonts w:ascii="Arial" w:eastAsia="Arial" w:hAnsi="Arial" w:cs="Arial"/>
          <w:color w:val="000000"/>
          <w:sz w:val="20"/>
        </w:rPr>
        <w:t xml:space="preserve"> Plan); </w:t>
      </w:r>
      <w:bookmarkStart w:id="733" w:name="Bookmark_I5WHY2KM2N1PR80050000400"/>
      <w:bookmarkEnd w:id="733"/>
      <w:r>
        <w:rPr>
          <w:rFonts w:ascii="Arial" w:eastAsia="Arial" w:hAnsi="Arial" w:cs="Arial"/>
          <w:i/>
          <w:color w:val="000000"/>
          <w:sz w:val="20"/>
        </w:rPr>
        <w:t>Frederick L.</w:t>
      </w:r>
      <w:r>
        <w:rPr>
          <w:rFonts w:ascii="Arial" w:eastAsia="Arial" w:hAnsi="Arial" w:cs="Arial"/>
          <w:color w:val="000000"/>
          <w:sz w:val="20"/>
        </w:rPr>
        <w:t>, 364 F.3d at 498 (noting that the plurality was posing only a "hypothetical" example).</w:t>
      </w:r>
    </w:p>
    <w:p w:rsidR="00E456CD" w:rsidRDefault="00000000">
      <w:pPr>
        <w:pStyle w:val="Normal3"/>
        <w:widowControl w:val="0"/>
        <w:spacing w:before="200" w:line="260" w:lineRule="atLeast"/>
        <w:jc w:val="both"/>
      </w:pPr>
      <w:bookmarkStart w:id="734" w:name="Bookmark_para_72"/>
      <w:bookmarkStart w:id="735" w:name="Bookmark_I5H1TNSV81N000063S7000J5"/>
      <w:bookmarkStart w:id="736" w:name="Bookmark_I5WHY2KM2HM6WB0030000400"/>
      <w:bookmarkEnd w:id="734"/>
      <w:bookmarkEnd w:id="735"/>
      <w:bookmarkEnd w:id="736"/>
      <w:r>
        <w:rPr>
          <w:rFonts w:ascii="Arial" w:eastAsia="Arial" w:hAnsi="Arial" w:cs="Arial"/>
          <w:color w:val="000000"/>
          <w:sz w:val="20"/>
        </w:rPr>
        <w:t xml:space="preserve">Accordingly, the </w:t>
      </w:r>
      <w:r>
        <w:rPr>
          <w:rFonts w:ascii="Arial" w:eastAsia="Arial" w:hAnsi="Arial" w:cs="Arial"/>
          <w:i/>
          <w:color w:val="000000"/>
          <w:sz w:val="20"/>
        </w:rPr>
        <w:t>Olmstead</w:t>
      </w:r>
      <w:r>
        <w:rPr>
          <w:rFonts w:ascii="Arial" w:eastAsia="Arial" w:hAnsi="Arial" w:cs="Arial"/>
          <w:color w:val="000000"/>
          <w:sz w:val="20"/>
        </w:rPr>
        <w:t xml:space="preserve"> Plan hewed closely to </w:t>
      </w:r>
      <w:r>
        <w:rPr>
          <w:rFonts w:ascii="Arial" w:eastAsia="Arial" w:hAnsi="Arial" w:cs="Arial"/>
          <w:i/>
          <w:color w:val="000000"/>
          <w:sz w:val="20"/>
        </w:rPr>
        <w:t>Olmstead</w:t>
      </w:r>
      <w:r>
        <w:rPr>
          <w:rFonts w:ascii="Arial" w:eastAsia="Arial" w:hAnsi="Arial" w:cs="Arial"/>
          <w:color w:val="000000"/>
          <w:sz w:val="20"/>
        </w:rPr>
        <w:t xml:space="preserve">'s facts. </w:t>
      </w:r>
      <w:bookmarkStart w:id="737" w:name="Bookmark_I5H1TNSV9FB000063S7000N2"/>
      <w:bookmarkStart w:id="738" w:name="Bookmark_I5H1TNSVD9H000063S7000N4"/>
      <w:bookmarkStart w:id="739" w:name="Bookmark_I5H1TNSVH5B000063S7000J9"/>
      <w:bookmarkStart w:id="740" w:name="Bookmark_I5H1TNSVM1C000063S7000JC"/>
      <w:bookmarkStart w:id="741" w:name="Bookmark_I5H1TNSVR00000063S7000NB"/>
      <w:bookmarkStart w:id="742" w:name="Bookmark_I5WHY2KM2HM6WB0050000400"/>
      <w:bookmarkEnd w:id="737"/>
      <w:bookmarkEnd w:id="738"/>
      <w:bookmarkEnd w:id="739"/>
      <w:bookmarkEnd w:id="740"/>
      <w:bookmarkEnd w:id="741"/>
      <w:bookmarkEnd w:id="742"/>
      <w:r>
        <w:rPr>
          <w:rFonts w:ascii="Arial" w:eastAsia="Arial" w:hAnsi="Arial" w:cs="Arial"/>
          <w:color w:val="000000"/>
          <w:sz w:val="20"/>
        </w:rPr>
        <w:t xml:space="preserve">Consistent with the proposed accommodation of successful group-home placement in the state, the proposed </w:t>
      </w:r>
      <w:r>
        <w:rPr>
          <w:rFonts w:ascii="Arial" w:eastAsia="Arial" w:hAnsi="Arial" w:cs="Arial"/>
          <w:i/>
          <w:color w:val="000000"/>
          <w:sz w:val="20"/>
        </w:rPr>
        <w:t>Olmstead</w:t>
      </w:r>
      <w:r>
        <w:rPr>
          <w:rFonts w:ascii="Arial" w:eastAsia="Arial" w:hAnsi="Arial" w:cs="Arial"/>
          <w:color w:val="000000"/>
          <w:sz w:val="20"/>
        </w:rPr>
        <w:t xml:space="preserve"> Plan focused on "placing qualified persons with . . . disabilities in less restrictive settings" and required a "waiting line that moved at a reasonable pace." </w:t>
      </w:r>
      <w:bookmarkStart w:id="743" w:name="Bookmark_I5WHY2KM2HM6WB0020000400"/>
      <w:bookmarkEnd w:id="743"/>
      <w:r>
        <w:rPr>
          <w:rFonts w:ascii="Arial" w:eastAsia="Arial" w:hAnsi="Arial" w:cs="Arial"/>
          <w:i/>
          <w:color w:val="000000"/>
          <w:sz w:val="20"/>
        </w:rPr>
        <w:t>Olmstead</w:t>
      </w:r>
      <w:r>
        <w:rPr>
          <w:rFonts w:ascii="Arial" w:eastAsia="Arial" w:hAnsi="Arial" w:cs="Arial"/>
          <w:color w:val="000000"/>
          <w:sz w:val="20"/>
        </w:rPr>
        <w:t xml:space="preserve">, 527 U.S. at 606 (plurality opinion). The plurality emphasized the importance of a waitlist because Georgia had significant control over the group homes, all of which were maintained through state contracts. </w:t>
      </w:r>
      <w:bookmarkStart w:id="744" w:name="Bookmark_I5WHY2KM2HM6WB0050000400_2"/>
      <w:bookmarkEnd w:id="744"/>
      <w:r>
        <w:rPr>
          <w:rFonts w:ascii="Arial" w:eastAsia="Arial" w:hAnsi="Arial" w:cs="Arial"/>
          <w:i/>
          <w:color w:val="000000"/>
          <w:sz w:val="20"/>
        </w:rPr>
        <w:t>See</w:t>
      </w:r>
      <w:r>
        <w:rPr>
          <w:rFonts w:ascii="Arial" w:eastAsia="Arial" w:hAnsi="Arial" w:cs="Arial"/>
          <w:color w:val="000000"/>
          <w:sz w:val="20"/>
        </w:rPr>
        <w:t xml:space="preserve"> Brief for Petitioners at 8, </w:t>
      </w:r>
      <w:bookmarkStart w:id="745" w:name="Bookmark_I5WHY2KM2HM6WB0040000400"/>
      <w:bookmarkEnd w:id="745"/>
      <w:r>
        <w:rPr>
          <w:rFonts w:ascii="Arial" w:eastAsia="Arial" w:hAnsi="Arial" w:cs="Arial"/>
          <w:i/>
          <w:color w:val="000000"/>
          <w:sz w:val="20"/>
        </w:rPr>
        <w:t>Olmstead v. L.C. ex rel. Zimring</w:t>
      </w:r>
      <w:r>
        <w:rPr>
          <w:rFonts w:ascii="Arial" w:eastAsia="Arial" w:hAnsi="Arial" w:cs="Arial"/>
          <w:color w:val="000000"/>
          <w:sz w:val="20"/>
        </w:rPr>
        <w:t xml:space="preserve">, 527 U.S. 581, 119 S. Ct. 2176, 144 L. Ed. 2d 540 (1999) (No. 98-536), 1999 WL 54623; Brief for Respondents at 4-5, </w:t>
      </w:r>
      <w:bookmarkStart w:id="746" w:name="Bookmark_I5WHY2KM28T49X0010000400"/>
      <w:bookmarkEnd w:id="746"/>
      <w:r>
        <w:rPr>
          <w:rFonts w:ascii="Arial" w:eastAsia="Arial" w:hAnsi="Arial" w:cs="Arial"/>
          <w:i/>
          <w:color w:val="000000"/>
          <w:sz w:val="20"/>
        </w:rPr>
        <w:t>Olmstead v. L.C. ex rel. Zimring</w:t>
      </w:r>
      <w:r>
        <w:rPr>
          <w:rFonts w:ascii="Arial" w:eastAsia="Arial" w:hAnsi="Arial" w:cs="Arial"/>
          <w:color w:val="000000"/>
          <w:sz w:val="20"/>
        </w:rPr>
        <w:t xml:space="preserve">, 527 U.S. 581, 119 S. Ct. 2176, 144 L. Ed. 2d 540 (1999) (No. 98-536), 1999 WL 144128; </w:t>
      </w:r>
      <w:r>
        <w:rPr>
          <w:rFonts w:ascii="Arial" w:eastAsia="Arial" w:hAnsi="Arial" w:cs="Arial"/>
          <w:i/>
          <w:color w:val="000000"/>
          <w:sz w:val="20"/>
        </w:rPr>
        <w:t xml:space="preserve">see also </w:t>
      </w:r>
      <w:bookmarkStart w:id="747" w:name="Bookmark_I5WHY2KM28T49X0030000400"/>
      <w:bookmarkEnd w:id="747"/>
      <w:r>
        <w:rPr>
          <w:rFonts w:ascii="Arial" w:eastAsia="Arial" w:hAnsi="Arial" w:cs="Arial"/>
          <w:i/>
          <w:color w:val="000000"/>
          <w:sz w:val="20"/>
        </w:rPr>
        <w:t>L.C. ex rel. Zimring v. Olmstead</w:t>
      </w:r>
      <w:r>
        <w:rPr>
          <w:rFonts w:ascii="Arial" w:eastAsia="Arial" w:hAnsi="Arial" w:cs="Arial"/>
          <w:color w:val="000000"/>
          <w:sz w:val="20"/>
        </w:rPr>
        <w:t xml:space="preserve">, No. 1:95-cv-1210-MHS, 1997 U.S. Dist. LEXIS 3540, 1997 WL 148674, at *4 (N.D. Ga. Mar. 26, 1997) ("[T]here is no dispute that defendants already have existing programs providing community services to persons such as plaintiffs."), </w:t>
      </w:r>
      <w:r>
        <w:rPr>
          <w:rFonts w:ascii="Arial" w:eastAsia="Arial" w:hAnsi="Arial" w:cs="Arial"/>
          <w:i/>
          <w:color w:val="000000"/>
          <w:sz w:val="20"/>
        </w:rPr>
        <w:t>aff'd in part and remanded in part</w:t>
      </w:r>
      <w:r>
        <w:rPr>
          <w:rFonts w:ascii="Arial" w:eastAsia="Arial" w:hAnsi="Arial" w:cs="Arial"/>
          <w:color w:val="000000"/>
          <w:sz w:val="20"/>
        </w:rPr>
        <w:t xml:space="preserve">, </w:t>
      </w:r>
      <w:bookmarkStart w:id="748" w:name="Bookmark_I5WHY2KM28T49X0050000400"/>
      <w:bookmarkEnd w:id="748"/>
      <w:r>
        <w:rPr>
          <w:rFonts w:ascii="Arial" w:eastAsia="Arial" w:hAnsi="Arial" w:cs="Arial"/>
          <w:color w:val="000000"/>
          <w:sz w:val="20"/>
        </w:rPr>
        <w:t xml:space="preserve">138 F.3d 893 (11th Cir. 1998), </w:t>
      </w:r>
      <w:r>
        <w:rPr>
          <w:rFonts w:ascii="Arial" w:eastAsia="Arial" w:hAnsi="Arial" w:cs="Arial"/>
          <w:i/>
          <w:color w:val="000000"/>
          <w:sz w:val="20"/>
        </w:rPr>
        <w:t xml:space="preserve">aff'd in part and vacated in part sub nom., </w:t>
      </w:r>
      <w:bookmarkStart w:id="749" w:name="Bookmark_I5WHY2KM28T4B00020000400"/>
      <w:bookmarkEnd w:id="749"/>
      <w:r>
        <w:rPr>
          <w:rFonts w:ascii="Arial" w:eastAsia="Arial" w:hAnsi="Arial" w:cs="Arial"/>
          <w:i/>
          <w:color w:val="000000"/>
          <w:sz w:val="20"/>
        </w:rPr>
        <w:t>Olmstead v. L.C. ex rel. Zimring</w:t>
      </w:r>
      <w:r>
        <w:rPr>
          <w:rFonts w:ascii="Arial" w:eastAsia="Arial" w:hAnsi="Arial" w:cs="Arial"/>
          <w:color w:val="000000"/>
          <w:sz w:val="20"/>
        </w:rPr>
        <w:t xml:space="preserve">, 527 U.S. 581, 119 S. Ct. 2176, 144 L. Ed. 2d 540 (1999). </w:t>
      </w:r>
      <w:bookmarkStart w:id="750" w:name="Bookmark_I5H1TNSVTR9000063S7000ND"/>
      <w:bookmarkStart w:id="751" w:name="Bookmark_I5WHY2KM28T4B00050000400"/>
      <w:bookmarkEnd w:id="750"/>
      <w:bookmarkEnd w:id="751"/>
      <w:r>
        <w:rPr>
          <w:rFonts w:ascii="Arial" w:eastAsia="Arial" w:hAnsi="Arial" w:cs="Arial"/>
          <w:color w:val="000000"/>
          <w:sz w:val="20"/>
        </w:rPr>
        <w:t xml:space="preserve">And as the [***46]  case was presented to the Supreme Court, the justices were aware that Georgia had significant authority to manage and even increase the number of beds available at those facilities. </w:t>
      </w:r>
      <w:r>
        <w:rPr>
          <w:rFonts w:ascii="Arial" w:eastAsia="Arial" w:hAnsi="Arial" w:cs="Arial"/>
          <w:i/>
          <w:color w:val="000000"/>
          <w:sz w:val="20"/>
        </w:rPr>
        <w:t>See, e.g.</w:t>
      </w:r>
      <w:r>
        <w:rPr>
          <w:rFonts w:ascii="Arial" w:eastAsia="Arial" w:hAnsi="Arial" w:cs="Arial"/>
          <w:color w:val="000000"/>
          <w:sz w:val="20"/>
        </w:rPr>
        <w:t xml:space="preserve">, Oral Argument at 5 ("QUESTION: Your position is . . . that it's up to the State to decide what voluntary  [*1091]   [**176]  facilities it will make available for the . . . [individuals with disabilities], that if the State chooses to have only institutional facilities, it may do that. And if it chooses to have, in addition, community-based facilities, it may have them in addition, but it will be up to the State how many people it will . . . allow to go into those community-based facilities . . . ."), </w:t>
      </w:r>
      <w:bookmarkStart w:id="752" w:name="Bookmark_I5WHY2KM28T4B00040000400"/>
      <w:bookmarkEnd w:id="752"/>
      <w:r>
        <w:rPr>
          <w:rFonts w:ascii="Arial" w:eastAsia="Arial" w:hAnsi="Arial" w:cs="Arial"/>
          <w:i/>
          <w:color w:val="000000"/>
          <w:sz w:val="20"/>
        </w:rPr>
        <w:t>Olmstead v. L.C. ex rel. Zimring</w:t>
      </w:r>
      <w:r>
        <w:rPr>
          <w:rFonts w:ascii="Arial" w:eastAsia="Arial" w:hAnsi="Arial" w:cs="Arial"/>
          <w:color w:val="000000"/>
          <w:sz w:val="20"/>
        </w:rPr>
        <w:t xml:space="preserve">, 527 U.S. 581, 119 S. Ct. 2176, 144 L. Ed. 2d 540 (1999) (No. 98-536), 1999 WL 252681; </w:t>
      </w:r>
      <w:r>
        <w:rPr>
          <w:rFonts w:ascii="Arial" w:eastAsia="Arial" w:hAnsi="Arial" w:cs="Arial"/>
          <w:i/>
          <w:color w:val="000000"/>
          <w:sz w:val="20"/>
        </w:rPr>
        <w:t>id.</w:t>
      </w:r>
      <w:r>
        <w:rPr>
          <w:rFonts w:ascii="Arial" w:eastAsia="Arial" w:hAnsi="Arial" w:cs="Arial"/>
          <w:color w:val="000000"/>
          <w:sz w:val="20"/>
        </w:rPr>
        <w:t xml:space="preserve"> at 35 ("QUESTION: Can we go back one step to have . . . this basic question clear? In your view, under the statute, is the State required to have any community-based facilities? Suppose the State says, some people we know are going to need institutionalization. We're going to provide just one room. Is there any obligation under the ADA for the State to do more than have institutional care?"); </w:t>
      </w:r>
      <w:r>
        <w:rPr>
          <w:rFonts w:ascii="Arial" w:eastAsia="Arial" w:hAnsi="Arial" w:cs="Arial"/>
          <w:i/>
          <w:color w:val="000000"/>
          <w:sz w:val="20"/>
        </w:rPr>
        <w:t>id.</w:t>
      </w:r>
      <w:r>
        <w:rPr>
          <w:rFonts w:ascii="Arial" w:eastAsia="Arial" w:hAnsi="Arial" w:cs="Arial"/>
          <w:color w:val="000000"/>
          <w:sz w:val="20"/>
        </w:rPr>
        <w:t xml:space="preserve"> at 44-45 ("QUESTION: Suppose the State said we have 500 spaces in the . . . community-based facility. There are 532 people who qualify. . [***47]  . . [I]s the State then required to create another community-based facility to take care of the 32 who don't fit into the space available?"</w:t>
      </w:r>
      <w:bookmarkStart w:id="753" w:name="Bookmark_I5H1TNSVW5S000063S7000JH"/>
      <w:bookmarkStart w:id="754" w:name="Bookmark_I5WHY2KN2D6NTX0020000400"/>
      <w:bookmarkEnd w:id="753"/>
      <w:bookmarkEnd w:id="754"/>
      <w:r>
        <w:rPr>
          <w:rFonts w:ascii="Arial" w:eastAsia="Arial" w:hAnsi="Arial" w:cs="Arial"/>
          <w:color w:val="000000"/>
          <w:sz w:val="20"/>
        </w:rPr>
        <w:t xml:space="preserve">). Because Georgia had adequate capability to ensure a well-functioning system of group homes and a quickly moving waitlist to enter them, the plurality saw "no warrant effectively to order displacement of persons at the top" of the list "by individuals lower down who commenced civil actions" and sought immediate placements. </w:t>
      </w:r>
      <w:bookmarkStart w:id="755" w:name="Bookmark_I5WHY2KN2D6NTX0010000400"/>
      <w:bookmarkEnd w:id="755"/>
      <w:r>
        <w:rPr>
          <w:rFonts w:ascii="Arial" w:eastAsia="Arial" w:hAnsi="Arial" w:cs="Arial"/>
          <w:i/>
          <w:color w:val="000000"/>
          <w:sz w:val="20"/>
        </w:rPr>
        <w:t>Olmstead</w:t>
      </w:r>
      <w:r>
        <w:rPr>
          <w:rFonts w:ascii="Arial" w:eastAsia="Arial" w:hAnsi="Arial" w:cs="Arial"/>
          <w:color w:val="000000"/>
          <w:sz w:val="20"/>
        </w:rPr>
        <w:t>, 527 U.S. at 606 (plurality opinion).</w:t>
      </w:r>
    </w:p>
    <w:p w:rsidR="00E456CD" w:rsidRDefault="00000000">
      <w:pPr>
        <w:pStyle w:val="Normal3"/>
        <w:widowControl w:val="0"/>
        <w:spacing w:before="200" w:line="260" w:lineRule="atLeast"/>
        <w:jc w:val="both"/>
      </w:pPr>
      <w:bookmarkStart w:id="756" w:name="Bookmark_para_73"/>
      <w:bookmarkEnd w:id="756"/>
      <w:r>
        <w:rPr>
          <w:rFonts w:ascii="Arial" w:eastAsia="Arial" w:hAnsi="Arial" w:cs="Arial"/>
          <w:color w:val="000000"/>
          <w:sz w:val="20"/>
        </w:rPr>
        <w:t xml:space="preserve">By setting into stone an "effective[]" requirement of a plan that is identical in all respects to the </w:t>
      </w:r>
      <w:r>
        <w:rPr>
          <w:rFonts w:ascii="Arial" w:eastAsia="Arial" w:hAnsi="Arial" w:cs="Arial"/>
          <w:i/>
          <w:color w:val="000000"/>
          <w:sz w:val="20"/>
        </w:rPr>
        <w:t>Olmstead</w:t>
      </w:r>
      <w:r>
        <w:rPr>
          <w:rFonts w:ascii="Arial" w:eastAsia="Arial" w:hAnsi="Arial" w:cs="Arial"/>
          <w:color w:val="000000"/>
          <w:sz w:val="20"/>
        </w:rPr>
        <w:t xml:space="preserve"> Plan in cases factually dissimilar from </w:t>
      </w:r>
      <w:r>
        <w:rPr>
          <w:rFonts w:ascii="Arial" w:eastAsia="Arial" w:hAnsi="Arial" w:cs="Arial"/>
          <w:i/>
          <w:color w:val="000000"/>
          <w:sz w:val="20"/>
        </w:rPr>
        <w:t>Olmstead, see</w:t>
      </w:r>
      <w:r>
        <w:rPr>
          <w:rFonts w:ascii="Arial" w:eastAsia="Arial" w:hAnsi="Arial" w:cs="Arial"/>
          <w:color w:val="000000"/>
          <w:sz w:val="20"/>
        </w:rPr>
        <w:t xml:space="preserve"> Majority Op. 14, my colleagues unduly cabin the discretion that the District should have in crafting services for individuals with disabilities. We should not equate Georgia's services with the District's. This case illustrates the wisdom of providing local governments greater flexibility at the fundamental alteration stage.</w:t>
      </w:r>
    </w:p>
    <w:p w:rsidR="00E456CD" w:rsidRDefault="00000000">
      <w:pPr>
        <w:pStyle w:val="Normal3"/>
        <w:widowControl w:val="0"/>
        <w:spacing w:before="200" w:line="260" w:lineRule="atLeast"/>
        <w:jc w:val="both"/>
      </w:pPr>
      <w:bookmarkStart w:id="757" w:name="Bookmark_para_74"/>
      <w:bookmarkEnd w:id="757"/>
      <w:r>
        <w:rPr>
          <w:rFonts w:ascii="Arial" w:eastAsia="Arial" w:hAnsi="Arial" w:cs="Arial"/>
          <w:color w:val="000000"/>
          <w:sz w:val="20"/>
        </w:rPr>
        <w:t xml:space="preserve">Compared to </w:t>
      </w:r>
      <w:r>
        <w:rPr>
          <w:rFonts w:ascii="Arial" w:eastAsia="Arial" w:hAnsi="Arial" w:cs="Arial"/>
          <w:i/>
          <w:color w:val="000000"/>
          <w:sz w:val="20"/>
        </w:rPr>
        <w:t>Olmstead</w:t>
      </w:r>
      <w:r>
        <w:rPr>
          <w:rFonts w:ascii="Arial" w:eastAsia="Arial" w:hAnsi="Arial" w:cs="Arial"/>
          <w:color w:val="000000"/>
          <w:sz w:val="20"/>
        </w:rPr>
        <w:t xml:space="preserve">, this class action presents materially different ADA issues. Our case involves more than 1,000 plaintiffs, or about two-thirds of all individuals currently in District-funded nursing facilities. </w:t>
      </w:r>
      <w:r>
        <w:rPr>
          <w:rFonts w:ascii="Arial" w:eastAsia="Arial" w:hAnsi="Arial" w:cs="Arial"/>
          <w:i/>
          <w:color w:val="000000"/>
          <w:sz w:val="20"/>
        </w:rPr>
        <w:t>See</w:t>
      </w:r>
      <w:r>
        <w:rPr>
          <w:rFonts w:ascii="Arial" w:eastAsia="Arial" w:hAnsi="Arial" w:cs="Arial"/>
          <w:color w:val="000000"/>
          <w:sz w:val="20"/>
        </w:rPr>
        <w:t xml:space="preserve"> Oral [***48]  Arg. Recording 0:57-1:17. The plaintiffs seek a comprehensive government plan with certain transition-related services: assistance with finding housing or performing activities of daily living needed for independent living outside a nursing facility. </w:t>
      </w:r>
      <w:bookmarkStart w:id="758" w:name="Bookmark_I5H1TNSVXM3000063S7000JJ"/>
      <w:bookmarkStart w:id="759" w:name="Bookmark_I5WHY2KN2D6NTX0040000400"/>
      <w:bookmarkEnd w:id="758"/>
      <w:bookmarkEnd w:id="759"/>
      <w:r>
        <w:rPr>
          <w:rFonts w:ascii="Arial" w:eastAsia="Arial" w:hAnsi="Arial" w:cs="Arial"/>
          <w:color w:val="000000"/>
          <w:sz w:val="20"/>
        </w:rPr>
        <w:t xml:space="preserve">The plaintiffs wish to move into their own homes or the homes of friends or family members. The housing targeted by the plaintiffs is controlled by either the D.C. Housing Authority (DCHA) or private citizens, and neither are parties to this lawsuit or under the District's control. </w:t>
      </w:r>
      <w:r>
        <w:rPr>
          <w:rFonts w:ascii="Arial" w:eastAsia="Arial" w:hAnsi="Arial" w:cs="Arial"/>
          <w:i/>
          <w:color w:val="000000"/>
          <w:sz w:val="20"/>
        </w:rPr>
        <w:t xml:space="preserve">See </w:t>
      </w:r>
      <w:bookmarkStart w:id="760" w:name="Bookmark_I5WHY2KN2D6NTX0030000400"/>
      <w:bookmarkEnd w:id="760"/>
      <w:r>
        <w:rPr>
          <w:rFonts w:ascii="Arial" w:eastAsia="Arial" w:hAnsi="Arial" w:cs="Arial"/>
          <w:i/>
          <w:color w:val="000000"/>
          <w:sz w:val="20"/>
        </w:rPr>
        <w:t>Brown v. District of Columbia</w:t>
      </w:r>
      <w:r>
        <w:rPr>
          <w:rFonts w:ascii="Arial" w:eastAsia="Arial" w:hAnsi="Arial" w:cs="Arial"/>
          <w:color w:val="000000"/>
          <w:sz w:val="20"/>
        </w:rPr>
        <w:t>, 322 F.R.D. 51, 63, 72, 83 (D.D.C. 2017) (noting that class members have been placed into private housing or "public/subsidized housing" managed by the independently run DCHA).</w:t>
      </w:r>
    </w:p>
    <w:p w:rsidR="00E456CD" w:rsidRDefault="00000000">
      <w:pPr>
        <w:pStyle w:val="Normal3"/>
        <w:widowControl w:val="0"/>
        <w:spacing w:before="200" w:line="260" w:lineRule="atLeast"/>
        <w:jc w:val="both"/>
      </w:pPr>
      <w:bookmarkStart w:id="761" w:name="Bookmark_para_75"/>
      <w:bookmarkEnd w:id="761"/>
      <w:r>
        <w:rPr>
          <w:rFonts w:ascii="Arial" w:eastAsia="Arial" w:hAnsi="Arial" w:cs="Arial"/>
          <w:color w:val="000000"/>
          <w:sz w:val="20"/>
        </w:rPr>
        <w:t xml:space="preserve">These facts reveal three distinctions relevant to the ADA analysis. First, we are dealing with a class action. An appropriate remedy, on the one hand, could create enormous costs for the government but, on the other hand, could appropriately bring about broad policy changes benefiting an entire population, not merely one or two litigants. Second, the plaintiffs are at different stages of community transition and deinstitutionalization; the </w:t>
      </w:r>
      <w:r>
        <w:rPr>
          <w:rFonts w:ascii="Arial" w:eastAsia="Arial" w:hAnsi="Arial" w:cs="Arial"/>
          <w:i/>
          <w:color w:val="000000"/>
          <w:sz w:val="20"/>
        </w:rPr>
        <w:t>Olmstead</w:t>
      </w:r>
      <w:r>
        <w:rPr>
          <w:rFonts w:ascii="Arial" w:eastAsia="Arial" w:hAnsi="Arial" w:cs="Arial"/>
          <w:color w:val="000000"/>
          <w:sz w:val="20"/>
        </w:rPr>
        <w:t xml:space="preserve"> plaintiffs sought placements in group homes, but our class members hope to [***49]  reside in their own private homes. We are thus dealing with a whole new level of transition — let's call it "</w:t>
      </w:r>
      <w:r>
        <w:rPr>
          <w:rFonts w:ascii="Arial" w:eastAsia="Arial" w:hAnsi="Arial" w:cs="Arial"/>
          <w:i/>
          <w:color w:val="000000"/>
          <w:sz w:val="20"/>
        </w:rPr>
        <w:t>Olmstead</w:t>
      </w:r>
      <w:r>
        <w:rPr>
          <w:rFonts w:ascii="Arial" w:eastAsia="Arial" w:hAnsi="Arial" w:cs="Arial"/>
          <w:color w:val="000000"/>
          <w:sz w:val="20"/>
        </w:rPr>
        <w:t xml:space="preserve"> Phase II." Third, and most importantly, the District does not control the housing where the plaintiff class members hope to be placed, as Georgia did in </w:t>
      </w:r>
      <w:r>
        <w:rPr>
          <w:rFonts w:ascii="Arial" w:eastAsia="Arial" w:hAnsi="Arial" w:cs="Arial"/>
          <w:i/>
          <w:color w:val="000000"/>
          <w:sz w:val="20"/>
        </w:rPr>
        <w:t>Olmstead</w:t>
      </w:r>
      <w:r>
        <w:rPr>
          <w:rFonts w:ascii="Arial" w:eastAsia="Arial" w:hAnsi="Arial" w:cs="Arial"/>
          <w:color w:val="000000"/>
          <w:sz w:val="20"/>
        </w:rPr>
        <w:t>.</w:t>
      </w:r>
    </w:p>
    <w:p w:rsidR="00E456CD" w:rsidRDefault="00000000">
      <w:pPr>
        <w:pStyle w:val="Normal3"/>
        <w:widowControl w:val="0"/>
        <w:spacing w:before="200" w:line="260" w:lineRule="atLeast"/>
        <w:jc w:val="both"/>
      </w:pPr>
      <w:bookmarkStart w:id="762" w:name="Bookmark_para_76"/>
      <w:bookmarkEnd w:id="762"/>
      <w:r>
        <w:rPr>
          <w:rFonts w:ascii="Arial" w:eastAsia="Arial" w:hAnsi="Arial" w:cs="Arial"/>
          <w:color w:val="000000"/>
          <w:sz w:val="20"/>
        </w:rPr>
        <w:t xml:space="preserve"> [*1092]  </w:t>
      </w:r>
      <w:bookmarkStart w:id="763" w:name="Bookmark_I5H1TNSW01T000063S7000JK"/>
      <w:bookmarkStart w:id="764" w:name="Bookmark_I5WHY2KN2SF7NW0010000400"/>
      <w:bookmarkStart w:id="765" w:name="Bookmark_I5H1TNSW1MM000063S7000JM"/>
      <w:bookmarkStart w:id="766" w:name="Bookmark_I5WHY2KN2SF7NW0030000400"/>
      <w:bookmarkEnd w:id="763"/>
      <w:bookmarkEnd w:id="764"/>
      <w:bookmarkEnd w:id="765"/>
      <w:bookmarkEnd w:id="766"/>
      <w:r>
        <w:rPr>
          <w:rFonts w:ascii="Arial" w:eastAsia="Arial" w:hAnsi="Arial" w:cs="Arial"/>
          <w:color w:val="000000"/>
          <w:sz w:val="20"/>
        </w:rPr>
        <w:t xml:space="preserve"> [**177]  These factual differences do not meaningfully change the </w:t>
      </w:r>
      <w:r>
        <w:rPr>
          <w:rFonts w:ascii="Arial" w:eastAsia="Arial" w:hAnsi="Arial" w:cs="Arial"/>
          <w:i/>
          <w:color w:val="000000"/>
          <w:sz w:val="20"/>
        </w:rPr>
        <w:t>prima facie</w:t>
      </w:r>
      <w:r>
        <w:rPr>
          <w:rFonts w:ascii="Arial" w:eastAsia="Arial" w:hAnsi="Arial" w:cs="Arial"/>
          <w:color w:val="000000"/>
          <w:sz w:val="20"/>
        </w:rPr>
        <w:t xml:space="preserve"> analysis. The plaintiff class members here have all established that they are long-term residents of District-funded nursing facilities, that they desire to leave, and that the District has deemed it appropriate for them to enter outside care. </w:t>
      </w:r>
      <w:r>
        <w:rPr>
          <w:rFonts w:ascii="Arial" w:eastAsia="Arial" w:hAnsi="Arial" w:cs="Arial"/>
          <w:i/>
          <w:color w:val="000000"/>
          <w:sz w:val="20"/>
        </w:rPr>
        <w:t xml:space="preserve">See </w:t>
      </w:r>
      <w:bookmarkStart w:id="767" w:name="Bookmark_I5WHY2KN2D6NTX0050000400"/>
      <w:bookmarkEnd w:id="767"/>
      <w:r>
        <w:rPr>
          <w:rFonts w:ascii="Arial" w:eastAsia="Arial" w:hAnsi="Arial" w:cs="Arial"/>
          <w:i/>
          <w:color w:val="000000"/>
          <w:sz w:val="20"/>
        </w:rPr>
        <w:t>id.</w:t>
      </w:r>
      <w:r>
        <w:rPr>
          <w:rFonts w:ascii="Arial" w:eastAsia="Arial" w:hAnsi="Arial" w:cs="Arial"/>
          <w:color w:val="000000"/>
          <w:sz w:val="20"/>
        </w:rPr>
        <w:t xml:space="preserve"> at 87 ("In this case, . . . the class includes all physically disabled individuals who have resided in nursing facilities for over 90 days, are eligible for community-based care, prefer to receive long-term care in the community, and need the District's assistance to transition to the community."). As in </w:t>
      </w:r>
      <w:r>
        <w:rPr>
          <w:rFonts w:ascii="Arial" w:eastAsia="Arial" w:hAnsi="Arial" w:cs="Arial"/>
          <w:i/>
          <w:color w:val="000000"/>
          <w:sz w:val="20"/>
        </w:rPr>
        <w:t>Olmstead</w:t>
      </w:r>
      <w:r>
        <w:rPr>
          <w:rFonts w:ascii="Arial" w:eastAsia="Arial" w:hAnsi="Arial" w:cs="Arial"/>
          <w:color w:val="000000"/>
          <w:sz w:val="20"/>
        </w:rPr>
        <w:t xml:space="preserve">, the isolation in nursing facilities seems facially unjustified, which is enough to establish a presumption that the government violated the ADA. </w:t>
      </w:r>
      <w:r>
        <w:rPr>
          <w:rFonts w:ascii="Arial" w:eastAsia="Arial" w:hAnsi="Arial" w:cs="Arial"/>
          <w:i/>
          <w:color w:val="000000"/>
          <w:sz w:val="20"/>
        </w:rPr>
        <w:t>See</w:t>
      </w:r>
      <w:r>
        <w:rPr>
          <w:rFonts w:ascii="Arial" w:eastAsia="Arial" w:hAnsi="Arial" w:cs="Arial"/>
          <w:color w:val="000000"/>
          <w:sz w:val="20"/>
        </w:rPr>
        <w:t xml:space="preserve"> </w:t>
      </w:r>
      <w:bookmarkStart w:id="768" w:name="Bookmark_I5WHY2KN2SF7NW0020000400"/>
      <w:bookmarkEnd w:id="768"/>
      <w:r>
        <w:rPr>
          <w:rFonts w:ascii="Arial" w:eastAsia="Arial" w:hAnsi="Arial" w:cs="Arial"/>
          <w:color w:val="000000"/>
          <w:sz w:val="20"/>
        </w:rPr>
        <w:t>527 U.S. at 600 ("[U]njustified institutional isolation of persons with disabilities is a form of discrimination . . . ."). Thus, the plaintiffs have demonstrated [***50]  an entitlement to facially reasonable accommodations.</w:t>
      </w:r>
    </w:p>
    <w:p w:rsidR="00E456CD" w:rsidRDefault="00000000">
      <w:pPr>
        <w:pStyle w:val="Normal3"/>
        <w:widowControl w:val="0"/>
        <w:spacing w:before="200" w:line="260" w:lineRule="atLeast"/>
        <w:jc w:val="both"/>
      </w:pPr>
      <w:bookmarkStart w:id="769" w:name="Bookmark_para_77"/>
      <w:bookmarkStart w:id="770" w:name="Bookmark_I5H1TNSW343000063S7000NK"/>
      <w:bookmarkStart w:id="771" w:name="Bookmark_I5WHY2KN2SF7NW0050000400"/>
      <w:bookmarkEnd w:id="769"/>
      <w:bookmarkEnd w:id="770"/>
      <w:bookmarkEnd w:id="771"/>
      <w:r>
        <w:rPr>
          <w:rFonts w:ascii="Arial" w:eastAsia="Arial" w:hAnsi="Arial" w:cs="Arial"/>
          <w:color w:val="000000"/>
          <w:sz w:val="20"/>
        </w:rPr>
        <w:t xml:space="preserve">But the factual distinctions matter significantly in the fundamental alteration analysis. At bottom, they reveal the unsuitability of executing an identical </w:t>
      </w:r>
      <w:r>
        <w:rPr>
          <w:rFonts w:ascii="Arial" w:eastAsia="Arial" w:hAnsi="Arial" w:cs="Arial"/>
          <w:i/>
          <w:color w:val="000000"/>
          <w:sz w:val="20"/>
        </w:rPr>
        <w:t>Olmstead</w:t>
      </w:r>
      <w:r>
        <w:rPr>
          <w:rFonts w:ascii="Arial" w:eastAsia="Arial" w:hAnsi="Arial" w:cs="Arial"/>
          <w:color w:val="000000"/>
          <w:sz w:val="20"/>
        </w:rPr>
        <w:t xml:space="preserve"> Plan requirement here. One monumental distinction in this </w:t>
      </w:r>
      <w:r>
        <w:rPr>
          <w:rFonts w:ascii="Arial" w:eastAsia="Arial" w:hAnsi="Arial" w:cs="Arial"/>
          <w:i/>
          <w:color w:val="000000"/>
          <w:sz w:val="20"/>
        </w:rPr>
        <w:t>Olmstead</w:t>
      </w:r>
      <w:r>
        <w:rPr>
          <w:rFonts w:ascii="Arial" w:eastAsia="Arial" w:hAnsi="Arial" w:cs="Arial"/>
          <w:color w:val="000000"/>
          <w:sz w:val="20"/>
        </w:rPr>
        <w:t xml:space="preserve"> Phase II litigation is the reasonableness of placing a burden on the government to create a "waiting list that move[s] at a reasonable pace." </w:t>
      </w:r>
      <w:r>
        <w:rPr>
          <w:rFonts w:ascii="Arial" w:eastAsia="Arial" w:hAnsi="Arial" w:cs="Arial"/>
          <w:i/>
          <w:color w:val="000000"/>
          <w:sz w:val="20"/>
        </w:rPr>
        <w:t xml:space="preserve">See </w:t>
      </w:r>
      <w:bookmarkStart w:id="772" w:name="Bookmark_I5WHY2KN2SF7NW0040000400"/>
      <w:bookmarkEnd w:id="772"/>
      <w:r>
        <w:rPr>
          <w:rFonts w:ascii="Arial" w:eastAsia="Arial" w:hAnsi="Arial" w:cs="Arial"/>
          <w:i/>
          <w:color w:val="000000"/>
          <w:sz w:val="20"/>
        </w:rPr>
        <w:t>id.</w:t>
      </w:r>
      <w:r>
        <w:rPr>
          <w:rFonts w:ascii="Arial" w:eastAsia="Arial" w:hAnsi="Arial" w:cs="Arial"/>
          <w:color w:val="000000"/>
          <w:sz w:val="20"/>
        </w:rPr>
        <w:t xml:space="preserve"> at 606 (plurality opinion). The record appears to indicate that the District cannot increase the number of housing units available to the plaintiff class members, and the plaintiffs do not contend otherwise. Certainly, the District exercises materially less control over the housing being targeted in this case than Georgia did over group-home placement in </w:t>
      </w:r>
      <w:r>
        <w:rPr>
          <w:rFonts w:ascii="Arial" w:eastAsia="Arial" w:hAnsi="Arial" w:cs="Arial"/>
          <w:i/>
          <w:color w:val="000000"/>
          <w:sz w:val="20"/>
        </w:rPr>
        <w:t>Olmstead</w:t>
      </w:r>
      <w:r>
        <w:rPr>
          <w:rFonts w:ascii="Arial" w:eastAsia="Arial" w:hAnsi="Arial" w:cs="Arial"/>
          <w:color w:val="000000"/>
          <w:sz w:val="20"/>
        </w:rPr>
        <w:t>. Moreover, because we are dealing with a broad class of disabled individuals, not just two plaintiffs, the District Court reasonably may address more systemic changes than a one-off group-home placement.</w:t>
      </w:r>
    </w:p>
    <w:p w:rsidR="00E456CD" w:rsidRDefault="00000000">
      <w:pPr>
        <w:pStyle w:val="Normal3"/>
        <w:widowControl w:val="0"/>
        <w:spacing w:before="200" w:line="260" w:lineRule="atLeast"/>
        <w:jc w:val="both"/>
      </w:pPr>
      <w:bookmarkStart w:id="773" w:name="Bookmark_para_78"/>
      <w:bookmarkEnd w:id="773"/>
      <w:r>
        <w:rPr>
          <w:rFonts w:ascii="Arial" w:eastAsia="Arial" w:hAnsi="Arial" w:cs="Arial"/>
          <w:color w:val="000000"/>
          <w:sz w:val="20"/>
        </w:rPr>
        <w:t xml:space="preserve">To determine whether the District is satisfying its ADA obligations, we must measure its services by using a different yardstick from what the </w:t>
      </w:r>
      <w:r>
        <w:rPr>
          <w:rFonts w:ascii="Arial" w:eastAsia="Arial" w:hAnsi="Arial" w:cs="Arial"/>
          <w:i/>
          <w:color w:val="000000"/>
          <w:sz w:val="20"/>
        </w:rPr>
        <w:t>Olmstead</w:t>
      </w:r>
      <w:r>
        <w:rPr>
          <w:rFonts w:ascii="Arial" w:eastAsia="Arial" w:hAnsi="Arial" w:cs="Arial"/>
          <w:color w:val="000000"/>
          <w:sz w:val="20"/>
        </w:rPr>
        <w:t xml:space="preserve"> plurality envisaged for Georgia. My colleagues disagree, [***51]  setting the </w:t>
      </w:r>
      <w:r>
        <w:rPr>
          <w:rFonts w:ascii="Arial" w:eastAsia="Arial" w:hAnsi="Arial" w:cs="Arial"/>
          <w:i/>
          <w:color w:val="000000"/>
          <w:sz w:val="20"/>
        </w:rPr>
        <w:t>Olmstead</w:t>
      </w:r>
      <w:r>
        <w:rPr>
          <w:rFonts w:ascii="Arial" w:eastAsia="Arial" w:hAnsi="Arial" w:cs="Arial"/>
          <w:color w:val="000000"/>
          <w:sz w:val="20"/>
        </w:rPr>
        <w:t xml:space="preserve"> Plan as the primary yardstick. </w:t>
      </w:r>
      <w:r>
        <w:rPr>
          <w:rFonts w:ascii="Arial" w:eastAsia="Arial" w:hAnsi="Arial" w:cs="Arial"/>
          <w:i/>
          <w:color w:val="000000"/>
          <w:sz w:val="20"/>
        </w:rPr>
        <w:t>See</w:t>
      </w:r>
      <w:r>
        <w:rPr>
          <w:rFonts w:ascii="Arial" w:eastAsia="Arial" w:hAnsi="Arial" w:cs="Arial"/>
          <w:color w:val="000000"/>
          <w:sz w:val="20"/>
        </w:rPr>
        <w:t xml:space="preserve"> Majority Op. 24; </w:t>
      </w:r>
      <w:r>
        <w:rPr>
          <w:rFonts w:ascii="Arial" w:eastAsia="Arial" w:hAnsi="Arial" w:cs="Arial"/>
          <w:i/>
          <w:color w:val="000000"/>
          <w:sz w:val="20"/>
        </w:rPr>
        <w:t>see also id.</w:t>
      </w:r>
      <w:r>
        <w:rPr>
          <w:rFonts w:ascii="Arial" w:eastAsia="Arial" w:hAnsi="Arial" w:cs="Arial"/>
          <w:color w:val="000000"/>
          <w:sz w:val="20"/>
        </w:rPr>
        <w:t xml:space="preserve"> at 20 ("First, does the District have an adequate '</w:t>
      </w:r>
      <w:r>
        <w:rPr>
          <w:rFonts w:ascii="Arial" w:eastAsia="Arial" w:hAnsi="Arial" w:cs="Arial"/>
          <w:i/>
          <w:color w:val="000000"/>
          <w:sz w:val="20"/>
        </w:rPr>
        <w:t>Olmstead</w:t>
      </w:r>
      <w:r>
        <w:rPr>
          <w:rFonts w:ascii="Arial" w:eastAsia="Arial" w:hAnsi="Arial" w:cs="Arial"/>
          <w:color w:val="000000"/>
          <w:sz w:val="20"/>
        </w:rPr>
        <w:t xml:space="preserve"> Plan' in place? If it does, the District has met its responsibilities."). And using the </w:t>
      </w:r>
      <w:r>
        <w:rPr>
          <w:rFonts w:ascii="Arial" w:eastAsia="Arial" w:hAnsi="Arial" w:cs="Arial"/>
          <w:i/>
          <w:color w:val="000000"/>
          <w:sz w:val="20"/>
        </w:rPr>
        <w:t>Olmstead</w:t>
      </w:r>
      <w:r>
        <w:rPr>
          <w:rFonts w:ascii="Arial" w:eastAsia="Arial" w:hAnsi="Arial" w:cs="Arial"/>
          <w:color w:val="000000"/>
          <w:sz w:val="20"/>
        </w:rPr>
        <w:t xml:space="preserve"> Plan yardstick, the majority seems to indicate that mere failure to move plaintiffs off a waitlist at a reasonable pace would be dispositive in showing the ineffectiveness of the District's current plan. Majority Op. 20. But if the District has no control over the availability and suitability of the housing inventory that the plaintiffs seek, why should a reasonably paced waitlist be a suitable dispositive measurement here, as in </w:t>
      </w:r>
      <w:r>
        <w:rPr>
          <w:rFonts w:ascii="Arial" w:eastAsia="Arial" w:hAnsi="Arial" w:cs="Arial"/>
          <w:i/>
          <w:color w:val="000000"/>
          <w:sz w:val="20"/>
        </w:rPr>
        <w:t>Olmstead</w:t>
      </w:r>
      <w:r>
        <w:rPr>
          <w:rFonts w:ascii="Arial" w:eastAsia="Arial" w:hAnsi="Arial" w:cs="Arial"/>
          <w:color w:val="000000"/>
          <w:sz w:val="20"/>
        </w:rPr>
        <w:t>?</w:t>
      </w:r>
    </w:p>
    <w:p w:rsidR="00E456CD" w:rsidRDefault="00000000">
      <w:pPr>
        <w:pStyle w:val="Normal3"/>
        <w:widowControl w:val="0"/>
        <w:spacing w:before="200" w:line="260" w:lineRule="atLeast"/>
        <w:jc w:val="both"/>
      </w:pPr>
      <w:bookmarkStart w:id="774" w:name="Bookmark_para_79"/>
      <w:bookmarkEnd w:id="774"/>
      <w:r>
        <w:rPr>
          <w:rFonts w:ascii="Arial" w:eastAsia="Arial" w:hAnsi="Arial" w:cs="Arial"/>
          <w:color w:val="000000"/>
          <w:sz w:val="20"/>
        </w:rPr>
        <w:t xml:space="preserve">My colleagues are leading the District Court astray. The majority opinion will inevitably cause the court to measure success of the ADA claims based primarily on the number of completed or pending placements of disabled individuals in outside housing. </w:t>
      </w:r>
      <w:bookmarkStart w:id="775" w:name="Bookmark_I5H1TNSW4GF000063S7000NM"/>
      <w:bookmarkStart w:id="776" w:name="Bookmark_I5WHY2KN28T4B30020000400"/>
      <w:bookmarkEnd w:id="775"/>
      <w:bookmarkEnd w:id="776"/>
      <w:r>
        <w:rPr>
          <w:rFonts w:ascii="Arial" w:eastAsia="Arial" w:hAnsi="Arial" w:cs="Arial"/>
          <w:color w:val="000000"/>
          <w:sz w:val="20"/>
        </w:rPr>
        <w:t xml:space="preserve">I don't disagree that speed and success of placements could be relevant factors to the analysis, but we should not establish — as I understand the majority opinion to be doing — a bright-line rule that makes them the exclusive, or even predominant, factors. The District [***52]  Court essentially would repeat the legal error it made in the opinion below, but from another direction. </w:t>
      </w:r>
      <w:r>
        <w:rPr>
          <w:rFonts w:ascii="Arial" w:eastAsia="Arial" w:hAnsi="Arial" w:cs="Arial"/>
          <w:i/>
          <w:color w:val="000000"/>
          <w:sz w:val="20"/>
        </w:rPr>
        <w:t xml:space="preserve">See </w:t>
      </w:r>
      <w:bookmarkStart w:id="777" w:name="Bookmark_I5WHY2KN28T4B30010000400"/>
      <w:bookmarkEnd w:id="777"/>
      <w:r>
        <w:rPr>
          <w:rFonts w:ascii="Arial" w:eastAsia="Arial" w:hAnsi="Arial" w:cs="Arial"/>
          <w:i/>
          <w:color w:val="000000"/>
          <w:sz w:val="20"/>
        </w:rPr>
        <w:t>Brown</w:t>
      </w:r>
      <w:r>
        <w:rPr>
          <w:rFonts w:ascii="Arial" w:eastAsia="Arial" w:hAnsi="Arial" w:cs="Arial"/>
          <w:color w:val="000000"/>
          <w:sz w:val="20"/>
        </w:rPr>
        <w:t xml:space="preserve">, 322 F.R.D. at 95 (entering judgment for the District simply because it could not envision a "single injunction that would result in the class members being transitioned to community-based long-term care"); </w:t>
      </w:r>
      <w:r>
        <w:rPr>
          <w:rFonts w:ascii="Arial" w:eastAsia="Arial" w:hAnsi="Arial" w:cs="Arial"/>
          <w:i/>
          <w:color w:val="000000"/>
          <w:sz w:val="20"/>
        </w:rPr>
        <w:t>see also</w:t>
      </w:r>
      <w:r>
        <w:rPr>
          <w:rFonts w:ascii="Arial" w:eastAsia="Arial" w:hAnsi="Arial" w:cs="Arial"/>
          <w:color w:val="000000"/>
          <w:sz w:val="20"/>
        </w:rPr>
        <w:t xml:space="preserve"> Majority Op. 23 (rejecting the District Court's  [*1093]   [**178]  analysis because the remedy need only provide "increased opportunit[ies]" for outside treatment).</w:t>
      </w:r>
    </w:p>
    <w:p w:rsidR="00E456CD" w:rsidRDefault="00000000">
      <w:pPr>
        <w:pStyle w:val="Normal3"/>
        <w:widowControl w:val="0"/>
        <w:spacing w:before="200" w:line="260" w:lineRule="atLeast"/>
        <w:jc w:val="both"/>
      </w:pPr>
      <w:bookmarkStart w:id="778" w:name="Bookmark_para_80"/>
      <w:bookmarkEnd w:id="778"/>
      <w:r>
        <w:rPr>
          <w:rFonts w:ascii="Arial" w:eastAsia="Arial" w:hAnsi="Arial" w:cs="Arial"/>
          <w:color w:val="000000"/>
          <w:sz w:val="20"/>
        </w:rPr>
        <w:t xml:space="preserve">My colleagues contend that the District Court, in applying their </w:t>
      </w:r>
      <w:r>
        <w:rPr>
          <w:rFonts w:ascii="Arial" w:eastAsia="Arial" w:hAnsi="Arial" w:cs="Arial"/>
          <w:i/>
          <w:color w:val="000000"/>
          <w:sz w:val="20"/>
        </w:rPr>
        <w:t>Olmstead</w:t>
      </w:r>
      <w:r>
        <w:rPr>
          <w:rFonts w:ascii="Arial" w:eastAsia="Arial" w:hAnsi="Arial" w:cs="Arial"/>
          <w:color w:val="000000"/>
          <w:sz w:val="20"/>
        </w:rPr>
        <w:t xml:space="preserve"> Plan standard, need not fixate on speed and success. </w:t>
      </w:r>
      <w:bookmarkStart w:id="779" w:name="Bookmark_I5H1TNSW6X6000063S7000JR"/>
      <w:bookmarkStart w:id="780" w:name="Bookmark_I5WHY2KN28T4B30040000400"/>
      <w:bookmarkEnd w:id="779"/>
      <w:bookmarkEnd w:id="780"/>
      <w:r>
        <w:rPr>
          <w:rFonts w:ascii="Arial" w:eastAsia="Arial" w:hAnsi="Arial" w:cs="Arial"/>
          <w:i/>
          <w:color w:val="000000"/>
          <w:sz w:val="20"/>
        </w:rPr>
        <w:t>See</w:t>
      </w:r>
      <w:r>
        <w:rPr>
          <w:rFonts w:ascii="Arial" w:eastAsia="Arial" w:hAnsi="Arial" w:cs="Arial"/>
          <w:color w:val="000000"/>
          <w:sz w:val="20"/>
        </w:rPr>
        <w:t xml:space="preserve"> Majority Op. 29. For instance, the District Court could find that "the placement of only one individual in a given year" is "a 'reasonable pace' of movement from the District's waiting list." </w:t>
      </w:r>
      <w:r>
        <w:rPr>
          <w:rFonts w:ascii="Arial" w:eastAsia="Arial" w:hAnsi="Arial" w:cs="Arial"/>
          <w:i/>
          <w:color w:val="000000"/>
          <w:sz w:val="20"/>
        </w:rPr>
        <w:t>Id.</w:t>
      </w:r>
      <w:r>
        <w:rPr>
          <w:rFonts w:ascii="Arial" w:eastAsia="Arial" w:hAnsi="Arial" w:cs="Arial"/>
          <w:color w:val="000000"/>
          <w:sz w:val="20"/>
        </w:rPr>
        <w:t xml:space="preserve"> The assurances of my colleagues fail to mollify me; I find the plurality's articulation of the </w:t>
      </w:r>
      <w:r>
        <w:rPr>
          <w:rFonts w:ascii="Arial" w:eastAsia="Arial" w:hAnsi="Arial" w:cs="Arial"/>
          <w:i/>
          <w:color w:val="000000"/>
          <w:sz w:val="20"/>
        </w:rPr>
        <w:t>Olmstead</w:t>
      </w:r>
      <w:r>
        <w:rPr>
          <w:rFonts w:ascii="Arial" w:eastAsia="Arial" w:hAnsi="Arial" w:cs="Arial"/>
          <w:color w:val="000000"/>
          <w:sz w:val="20"/>
        </w:rPr>
        <w:t xml:space="preserve"> Plan quite restrictive and difficult to apply liberally in the mine run of cases. </w:t>
      </w:r>
      <w:bookmarkStart w:id="781" w:name="Bookmark_I5H1TNSW8PK000063S7000JS"/>
      <w:bookmarkStart w:id="782" w:name="Bookmark_I5WHY2KN2HM6WJ0010000400"/>
      <w:bookmarkEnd w:id="781"/>
      <w:bookmarkEnd w:id="782"/>
      <w:r>
        <w:rPr>
          <w:rFonts w:ascii="Arial" w:eastAsia="Arial" w:hAnsi="Arial" w:cs="Arial"/>
          <w:color w:val="000000"/>
          <w:sz w:val="20"/>
        </w:rPr>
        <w:t xml:space="preserve">I am hard-pressed to imagine a plausible situation where a plan producing relatively few successful annual placements — such as one in a class of more than 1,000 - can be called "effectively working." </w:t>
      </w:r>
      <w:r>
        <w:rPr>
          <w:rFonts w:ascii="Arial" w:eastAsia="Arial" w:hAnsi="Arial" w:cs="Arial"/>
          <w:i/>
          <w:color w:val="000000"/>
          <w:sz w:val="20"/>
        </w:rPr>
        <w:t xml:space="preserve">See </w:t>
      </w:r>
      <w:bookmarkStart w:id="783" w:name="Bookmark_I5WHY2KN28T4B30030000400"/>
      <w:bookmarkEnd w:id="783"/>
      <w:r>
        <w:rPr>
          <w:rFonts w:ascii="Arial" w:eastAsia="Arial" w:hAnsi="Arial" w:cs="Arial"/>
          <w:i/>
          <w:color w:val="000000"/>
          <w:sz w:val="20"/>
        </w:rPr>
        <w:t>Olmstead</w:t>
      </w:r>
      <w:r>
        <w:rPr>
          <w:rFonts w:ascii="Arial" w:eastAsia="Arial" w:hAnsi="Arial" w:cs="Arial"/>
          <w:color w:val="000000"/>
          <w:sz w:val="20"/>
        </w:rPr>
        <w:t xml:space="preserve">, 527 U.S. at 605 (plurality opinion); </w:t>
      </w:r>
      <w:r>
        <w:rPr>
          <w:rFonts w:ascii="Arial" w:eastAsia="Arial" w:hAnsi="Arial" w:cs="Arial"/>
          <w:i/>
          <w:color w:val="000000"/>
          <w:sz w:val="20"/>
        </w:rPr>
        <w:t>see also [***53]  Effective</w:t>
      </w:r>
      <w:r>
        <w:rPr>
          <w:rFonts w:ascii="Arial" w:eastAsia="Arial" w:hAnsi="Arial" w:cs="Arial"/>
          <w:color w:val="000000"/>
          <w:sz w:val="20"/>
        </w:rPr>
        <w:t xml:space="preserve">, </w:t>
      </w:r>
      <w:r>
        <w:rPr>
          <w:rFonts w:ascii="Arial" w:eastAsia="Arial" w:hAnsi="Arial" w:cs="Arial"/>
          <w:smallCaps/>
          <w:color w:val="000000"/>
          <w:sz w:val="20"/>
        </w:rPr>
        <w:t>Webster's Third New International Dictionary</w:t>
      </w:r>
      <w:r>
        <w:rPr>
          <w:rFonts w:ascii="Arial" w:eastAsia="Arial" w:hAnsi="Arial" w:cs="Arial"/>
          <w:color w:val="000000"/>
          <w:sz w:val="20"/>
        </w:rPr>
        <w:t xml:space="preserve"> 724 (2002) ("productive of results"). </w:t>
      </w:r>
      <w:bookmarkStart w:id="784" w:name="Bookmark_I5WHY2KN2HM6WJ0010000400_2"/>
      <w:bookmarkEnd w:id="784"/>
      <w:r>
        <w:rPr>
          <w:rFonts w:ascii="Arial" w:eastAsia="Arial" w:hAnsi="Arial" w:cs="Arial"/>
          <w:color w:val="000000"/>
          <w:sz w:val="20"/>
        </w:rPr>
        <w:t xml:space="preserve">I suspect that the District, owing to no fault of its own, will be unable to show a waitlist moving faster than a glacial pace. Instead of promoting a test that needlessly renders the government unable to defend itself, I would prefer applying the flexible standard that the </w:t>
      </w:r>
      <w:r>
        <w:rPr>
          <w:rFonts w:ascii="Arial" w:eastAsia="Arial" w:hAnsi="Arial" w:cs="Arial"/>
          <w:i/>
          <w:color w:val="000000"/>
          <w:sz w:val="20"/>
        </w:rPr>
        <w:t>Olmstead</w:t>
      </w:r>
      <w:r>
        <w:rPr>
          <w:rFonts w:ascii="Arial" w:eastAsia="Arial" w:hAnsi="Arial" w:cs="Arial"/>
          <w:color w:val="000000"/>
          <w:sz w:val="20"/>
        </w:rPr>
        <w:t xml:space="preserve"> plurality in fact created: whether "inequit[ies]" will result from immediate relief. </w:t>
      </w:r>
      <w:r>
        <w:rPr>
          <w:rFonts w:ascii="Arial" w:eastAsia="Arial" w:hAnsi="Arial" w:cs="Arial"/>
          <w:i/>
          <w:color w:val="000000"/>
          <w:sz w:val="20"/>
        </w:rPr>
        <w:t xml:space="preserve">See </w:t>
      </w:r>
      <w:bookmarkStart w:id="785" w:name="Bookmark_I5WHY2KN28T4B30050000400"/>
      <w:bookmarkEnd w:id="785"/>
      <w:r>
        <w:rPr>
          <w:rFonts w:ascii="Arial" w:eastAsia="Arial" w:hAnsi="Arial" w:cs="Arial"/>
          <w:i/>
          <w:color w:val="000000"/>
          <w:sz w:val="20"/>
        </w:rPr>
        <w:t>Olmstead</w:t>
      </w:r>
      <w:r>
        <w:rPr>
          <w:rFonts w:ascii="Arial" w:eastAsia="Arial" w:hAnsi="Arial" w:cs="Arial"/>
          <w:color w:val="000000"/>
          <w:sz w:val="20"/>
        </w:rPr>
        <w:t>, 527 U.S. at 604 (plurality opinion).</w:t>
      </w:r>
    </w:p>
    <w:p w:rsidR="00E456CD" w:rsidRDefault="00000000">
      <w:pPr>
        <w:pStyle w:val="Normal3"/>
        <w:widowControl w:val="0"/>
        <w:spacing w:before="200" w:line="260" w:lineRule="atLeast"/>
        <w:jc w:val="both"/>
      </w:pPr>
      <w:bookmarkStart w:id="786" w:name="Bookmark_para_81"/>
      <w:bookmarkEnd w:id="786"/>
      <w:r>
        <w:rPr>
          <w:rFonts w:ascii="Arial" w:eastAsia="Arial" w:hAnsi="Arial" w:cs="Arial"/>
          <w:color w:val="000000"/>
          <w:sz w:val="20"/>
        </w:rPr>
        <w:t xml:space="preserve">More generally, I worry that future courts will ascertain from the majority opinion a general requirement to consider the specific </w:t>
      </w:r>
      <w:r>
        <w:rPr>
          <w:rFonts w:ascii="Arial" w:eastAsia="Arial" w:hAnsi="Arial" w:cs="Arial"/>
          <w:i/>
          <w:color w:val="000000"/>
          <w:sz w:val="20"/>
        </w:rPr>
        <w:t>Olmstead</w:t>
      </w:r>
      <w:r>
        <w:rPr>
          <w:rFonts w:ascii="Arial" w:eastAsia="Arial" w:hAnsi="Arial" w:cs="Arial"/>
          <w:color w:val="000000"/>
          <w:sz w:val="20"/>
        </w:rPr>
        <w:t xml:space="preserve"> Plan analysis in all future failure-to-accommodate claims involving community-based care. But future plaintiffs may seek types of accommodations that do not fit neatly within the </w:t>
      </w:r>
      <w:r>
        <w:rPr>
          <w:rFonts w:ascii="Arial" w:eastAsia="Arial" w:hAnsi="Arial" w:cs="Arial"/>
          <w:i/>
          <w:color w:val="000000"/>
          <w:sz w:val="20"/>
        </w:rPr>
        <w:t>Olmstead</w:t>
      </w:r>
      <w:r>
        <w:rPr>
          <w:rFonts w:ascii="Arial" w:eastAsia="Arial" w:hAnsi="Arial" w:cs="Arial"/>
          <w:color w:val="000000"/>
          <w:sz w:val="20"/>
        </w:rPr>
        <w:t xml:space="preserve"> mold. For instance, one plaintiff class might seek modifications to a government-aid program so that its members would remain in the community care they already receive. The standard </w:t>
      </w:r>
      <w:r>
        <w:rPr>
          <w:rFonts w:ascii="Arial" w:eastAsia="Arial" w:hAnsi="Arial" w:cs="Arial"/>
          <w:i/>
          <w:color w:val="000000"/>
          <w:sz w:val="20"/>
        </w:rPr>
        <w:t>Olmstead</w:t>
      </w:r>
      <w:r>
        <w:rPr>
          <w:rFonts w:ascii="Arial" w:eastAsia="Arial" w:hAnsi="Arial" w:cs="Arial"/>
          <w:color w:val="000000"/>
          <w:sz w:val="20"/>
        </w:rPr>
        <w:t xml:space="preserve"> Plan analysis isn't a good fit because the pace of successful community placements in the past has little relevance to such a claim seeking to prevent future re-institutionalization. Yet the majority [***54]  opinion appears to make the verbatim </w:t>
      </w:r>
      <w:r>
        <w:rPr>
          <w:rFonts w:ascii="Arial" w:eastAsia="Arial" w:hAnsi="Arial" w:cs="Arial"/>
          <w:i/>
          <w:color w:val="000000"/>
          <w:sz w:val="20"/>
        </w:rPr>
        <w:t>Olmstead</w:t>
      </w:r>
      <w:r>
        <w:rPr>
          <w:rFonts w:ascii="Arial" w:eastAsia="Arial" w:hAnsi="Arial" w:cs="Arial"/>
          <w:color w:val="000000"/>
          <w:sz w:val="20"/>
        </w:rPr>
        <w:t xml:space="preserve"> Plan the lodestar of all remedial analyses for failure-to-accommodate claims. In some cases, the substantial mismatch between the </w:t>
      </w:r>
      <w:r>
        <w:rPr>
          <w:rFonts w:ascii="Arial" w:eastAsia="Arial" w:hAnsi="Arial" w:cs="Arial"/>
          <w:i/>
          <w:color w:val="000000"/>
          <w:sz w:val="20"/>
        </w:rPr>
        <w:t>Olmstead</w:t>
      </w:r>
      <w:r>
        <w:rPr>
          <w:rFonts w:ascii="Arial" w:eastAsia="Arial" w:hAnsi="Arial" w:cs="Arial"/>
          <w:color w:val="000000"/>
          <w:sz w:val="20"/>
        </w:rPr>
        <w:t xml:space="preserve"> Plan and the facts on the ground will ensure that the District Court's legal analysis will cause prejudice to the local government. In others, the mismatch will harm the vulnerable population of disabled individuals seeking nondiscriminatory care.</w:t>
      </w:r>
    </w:p>
    <w:p w:rsidR="00E456CD" w:rsidRDefault="00000000">
      <w:pPr>
        <w:pStyle w:val="Normal3"/>
        <w:widowControl w:val="0"/>
        <w:spacing w:before="200" w:line="260" w:lineRule="atLeast"/>
        <w:jc w:val="both"/>
      </w:pPr>
      <w:bookmarkStart w:id="787" w:name="Bookmark_para_82"/>
      <w:bookmarkEnd w:id="787"/>
      <w:r>
        <w:rPr>
          <w:rFonts w:ascii="Arial" w:eastAsia="Arial" w:hAnsi="Arial" w:cs="Arial"/>
          <w:color w:val="000000"/>
          <w:sz w:val="20"/>
        </w:rPr>
        <w:t>The District Court should have a freer hand in determining what constitutes adequate transition services and crafting an injunction that fits within the District's current programming and resources. Something less drastic than the speedy and guaranteed placement of more than 1,000 individuals into private homes or DCHA-controlled housing must suffice. A plan need not replicate the "</w:t>
      </w:r>
      <w:r>
        <w:rPr>
          <w:rFonts w:ascii="Arial" w:eastAsia="Arial" w:hAnsi="Arial" w:cs="Arial"/>
          <w:i/>
          <w:color w:val="000000"/>
          <w:sz w:val="20"/>
        </w:rPr>
        <w:t>Olmstead</w:t>
      </w:r>
      <w:r>
        <w:rPr>
          <w:rFonts w:ascii="Arial" w:eastAsia="Arial" w:hAnsi="Arial" w:cs="Arial"/>
          <w:color w:val="000000"/>
          <w:sz w:val="20"/>
        </w:rPr>
        <w:t xml:space="preserve"> Plan" to work.</w:t>
      </w:r>
    </w:p>
    <w:p w:rsidR="00E456CD" w:rsidRDefault="00000000">
      <w:pPr>
        <w:pStyle w:val="Normal3"/>
        <w:widowControl w:val="0"/>
        <w:spacing w:before="120" w:line="260" w:lineRule="atLeast"/>
      </w:pPr>
      <w:r>
        <w:rPr>
          <w:rFonts w:ascii="Arial" w:eastAsia="Arial" w:hAnsi="Arial" w:cs="Arial"/>
          <w:color w:val="000000"/>
          <w:sz w:val="20"/>
        </w:rPr>
        <w:t>III.</w:t>
      </w:r>
    </w:p>
    <w:p w:rsidR="00E456CD" w:rsidRDefault="00000000">
      <w:pPr>
        <w:pStyle w:val="Normal3"/>
        <w:widowControl w:val="0"/>
        <w:spacing w:before="200" w:line="260" w:lineRule="atLeast"/>
        <w:jc w:val="both"/>
      </w:pPr>
      <w:bookmarkStart w:id="788" w:name="Bookmark_para_83"/>
      <w:bookmarkEnd w:id="788"/>
      <w:r>
        <w:rPr>
          <w:rFonts w:ascii="Arial" w:eastAsia="Arial" w:hAnsi="Arial" w:cs="Arial"/>
          <w:color w:val="000000"/>
          <w:sz w:val="20"/>
        </w:rPr>
        <w:t xml:space="preserve">Substantial aspects of the District Court's legal analysis satisfy the </w:t>
      </w:r>
      <w:r>
        <w:rPr>
          <w:rFonts w:ascii="Arial" w:eastAsia="Arial" w:hAnsi="Arial" w:cs="Arial"/>
          <w:i/>
          <w:color w:val="000000"/>
          <w:sz w:val="20"/>
        </w:rPr>
        <w:t>Olmstead</w:t>
      </w:r>
      <w:r>
        <w:rPr>
          <w:rFonts w:ascii="Arial" w:eastAsia="Arial" w:hAnsi="Arial" w:cs="Arial"/>
          <w:color w:val="000000"/>
          <w:sz w:val="20"/>
        </w:rPr>
        <w:t xml:space="preserve"> plurality's fact-intensive legal standard. Although I agree with my colleagues that the District Court committed a legal error with the burden of proof, I am concerned that the remand instructions are misleading.</w:t>
      </w:r>
    </w:p>
    <w:p w:rsidR="00E456CD" w:rsidRDefault="00000000">
      <w:pPr>
        <w:pStyle w:val="Normal3"/>
        <w:widowControl w:val="0"/>
        <w:spacing w:before="200" w:line="260" w:lineRule="atLeast"/>
        <w:jc w:val="both"/>
      </w:pPr>
      <w:bookmarkStart w:id="789" w:name="Bookmark_para_84"/>
      <w:bookmarkEnd w:id="789"/>
      <w:r>
        <w:rPr>
          <w:rFonts w:ascii="Arial" w:eastAsia="Arial" w:hAnsi="Arial" w:cs="Arial"/>
          <w:color w:val="000000"/>
          <w:sz w:val="20"/>
        </w:rPr>
        <w:t xml:space="preserve">I first commend the District Court for its dauntless (and largely [***55]  faultless) work during this litigation. </w:t>
      </w:r>
      <w:bookmarkStart w:id="790" w:name="Bookmark_I5H1TNSWCM1000063S7000JV"/>
      <w:bookmarkStart w:id="791" w:name="Bookmark_I5WHY2KN2HM6WJ0030000400"/>
      <w:bookmarkEnd w:id="790"/>
      <w:bookmarkEnd w:id="791"/>
      <w:r>
        <w:rPr>
          <w:rFonts w:ascii="Arial" w:eastAsia="Arial" w:hAnsi="Arial" w:cs="Arial"/>
          <w:color w:val="000000"/>
          <w:sz w:val="20"/>
        </w:rPr>
        <w:t xml:space="preserve">More than two years into the case, the plaintiffs had not specified what classwide relief they wanted, and the District Court needed a better grasp on the precise accommodations being sought. Thus, the District Court refused to  [*1094]   [**179]  certify a class until the plaintiffs provided more details. </w:t>
      </w:r>
      <w:bookmarkStart w:id="792" w:name="Bookmark_I5H1TNSWF2R000063S7000JW"/>
      <w:bookmarkStart w:id="793" w:name="Bookmark_I5WHY2KN2HM6WJ0050000400"/>
      <w:bookmarkEnd w:id="792"/>
      <w:bookmarkEnd w:id="793"/>
      <w:r>
        <w:rPr>
          <w:rFonts w:ascii="Arial" w:eastAsia="Arial" w:hAnsi="Arial" w:cs="Arial"/>
          <w:i/>
          <w:color w:val="000000"/>
          <w:sz w:val="20"/>
        </w:rPr>
        <w:t xml:space="preserve">See </w:t>
      </w:r>
      <w:bookmarkStart w:id="794" w:name="Bookmark_I5WHY2KN2HM6WJ0020000400"/>
      <w:bookmarkEnd w:id="794"/>
      <w:r>
        <w:rPr>
          <w:rFonts w:ascii="Arial" w:eastAsia="Arial" w:hAnsi="Arial" w:cs="Arial"/>
          <w:i/>
          <w:color w:val="000000"/>
          <w:sz w:val="20"/>
        </w:rPr>
        <w:t>Thorpe v. District of Columbia</w:t>
      </w:r>
      <w:r>
        <w:rPr>
          <w:rFonts w:ascii="Arial" w:eastAsia="Arial" w:hAnsi="Arial" w:cs="Arial"/>
          <w:color w:val="000000"/>
          <w:sz w:val="20"/>
        </w:rPr>
        <w:t xml:space="preserve">, 303 F.R.D. 120, 133-34 (D.D.C. 2014). </w:t>
      </w:r>
      <w:bookmarkStart w:id="795" w:name="Bookmark_I5WHY2KN2HM6WJ0050000400_2"/>
      <w:bookmarkEnd w:id="795"/>
      <w:r>
        <w:rPr>
          <w:rFonts w:ascii="Arial" w:eastAsia="Arial" w:hAnsi="Arial" w:cs="Arial"/>
          <w:color w:val="000000"/>
          <w:sz w:val="20"/>
        </w:rPr>
        <w:t xml:space="preserve">The litigants filed a third amended complaint, asserting eleven particular deficiencies in the District's services and proposing detailed injunctive relief addressing those deficiencies. </w:t>
      </w:r>
      <w:r>
        <w:rPr>
          <w:rFonts w:ascii="Arial" w:eastAsia="Arial" w:hAnsi="Arial" w:cs="Arial"/>
          <w:i/>
          <w:color w:val="000000"/>
          <w:sz w:val="20"/>
        </w:rPr>
        <w:t xml:space="preserve">See </w:t>
      </w:r>
      <w:bookmarkStart w:id="796" w:name="Bookmark_I5WHY2KN2HM6WJ0040000400"/>
      <w:bookmarkEnd w:id="796"/>
      <w:r>
        <w:rPr>
          <w:rFonts w:ascii="Arial" w:eastAsia="Arial" w:hAnsi="Arial" w:cs="Arial"/>
          <w:i/>
          <w:color w:val="000000"/>
          <w:sz w:val="20"/>
        </w:rPr>
        <w:t>id.</w:t>
      </w:r>
      <w:r>
        <w:rPr>
          <w:rFonts w:ascii="Arial" w:eastAsia="Arial" w:hAnsi="Arial" w:cs="Arial"/>
          <w:color w:val="000000"/>
          <w:sz w:val="20"/>
        </w:rPr>
        <w:t xml:space="preserve"> at 135-37 &amp; n.40.</w:t>
      </w:r>
    </w:p>
    <w:p w:rsidR="00E456CD" w:rsidRDefault="00000000">
      <w:pPr>
        <w:pStyle w:val="Normal3"/>
        <w:widowControl w:val="0"/>
        <w:spacing w:before="200" w:line="260" w:lineRule="atLeast"/>
        <w:jc w:val="both"/>
      </w:pPr>
      <w:bookmarkStart w:id="797" w:name="Bookmark_para_85"/>
      <w:bookmarkStart w:id="798" w:name="Bookmark_I5H1TNSWHWW000063S7000NW"/>
      <w:bookmarkStart w:id="799" w:name="Bookmark_I5WHY2KN2N1PRJ0020000400"/>
      <w:bookmarkStart w:id="800" w:name="Bookmark_I5H1TNSWK8F000063S7000JY"/>
      <w:bookmarkStart w:id="801" w:name="Bookmark_I5H1TNSWMPK000063S7000K0"/>
      <w:bookmarkStart w:id="802" w:name="Bookmark_I5WHY2KN2N1PRJ0040000400"/>
      <w:bookmarkEnd w:id="797"/>
      <w:bookmarkEnd w:id="798"/>
      <w:bookmarkEnd w:id="799"/>
      <w:bookmarkEnd w:id="800"/>
      <w:bookmarkEnd w:id="801"/>
      <w:bookmarkEnd w:id="802"/>
      <w:r>
        <w:rPr>
          <w:rFonts w:ascii="Arial" w:eastAsia="Arial" w:hAnsi="Arial" w:cs="Arial"/>
          <w:color w:val="000000"/>
          <w:sz w:val="20"/>
        </w:rPr>
        <w:t xml:space="preserve">Based on the new pleadings, the District Court correctly understood the "gravamen" of the ADA class claims to be that the District "injur[es] each and every class member by virtue of its failure to implement an effective system of transition assistance." </w:t>
      </w:r>
      <w:bookmarkStart w:id="803" w:name="Bookmark_I5WHY2KN2N1PRJ0010000400"/>
      <w:bookmarkEnd w:id="803"/>
      <w:r>
        <w:rPr>
          <w:rFonts w:ascii="Arial" w:eastAsia="Arial" w:hAnsi="Arial" w:cs="Arial"/>
          <w:i/>
          <w:color w:val="000000"/>
          <w:sz w:val="20"/>
        </w:rPr>
        <w:t>Id.</w:t>
      </w:r>
      <w:r>
        <w:rPr>
          <w:rFonts w:ascii="Arial" w:eastAsia="Arial" w:hAnsi="Arial" w:cs="Arial"/>
          <w:color w:val="000000"/>
          <w:sz w:val="20"/>
        </w:rPr>
        <w:t xml:space="preserve"> at 146. In certifying the class, the District Court noted that at least some of the eleven deficiencies could be litigated on a classwide basis and, if proven at trial, would detract from what the court considered to be an adequate government plan. </w:t>
      </w:r>
      <w:r>
        <w:rPr>
          <w:rFonts w:ascii="Arial" w:eastAsia="Arial" w:hAnsi="Arial" w:cs="Arial"/>
          <w:i/>
          <w:color w:val="000000"/>
          <w:sz w:val="20"/>
        </w:rPr>
        <w:t xml:space="preserve">See </w:t>
      </w:r>
      <w:bookmarkStart w:id="804" w:name="Bookmark_I5WHY2KN2N1PRJ0030000400"/>
      <w:bookmarkEnd w:id="804"/>
      <w:r>
        <w:rPr>
          <w:rFonts w:ascii="Arial" w:eastAsia="Arial" w:hAnsi="Arial" w:cs="Arial"/>
          <w:i/>
          <w:color w:val="000000"/>
          <w:sz w:val="20"/>
        </w:rPr>
        <w:t>id.</w:t>
      </w:r>
      <w:r>
        <w:rPr>
          <w:rFonts w:ascii="Arial" w:eastAsia="Arial" w:hAnsi="Arial" w:cs="Arial"/>
          <w:color w:val="000000"/>
          <w:sz w:val="20"/>
        </w:rPr>
        <w:t xml:space="preserve"> at 148-49; </w:t>
      </w:r>
      <w:bookmarkStart w:id="805" w:name="Bookmark_I5WHY2KN2N1PRJ0050000400"/>
      <w:bookmarkEnd w:id="805"/>
      <w:r>
        <w:rPr>
          <w:rFonts w:ascii="Arial" w:eastAsia="Arial" w:hAnsi="Arial" w:cs="Arial"/>
          <w:i/>
          <w:color w:val="000000"/>
          <w:sz w:val="20"/>
        </w:rPr>
        <w:t>Brown</w:t>
      </w:r>
      <w:r>
        <w:rPr>
          <w:rFonts w:ascii="Arial" w:eastAsia="Arial" w:hAnsi="Arial" w:cs="Arial"/>
          <w:color w:val="000000"/>
          <w:sz w:val="20"/>
        </w:rPr>
        <w:t xml:space="preserve">, 322 F.R.D. at 90 n.30. </w:t>
      </w:r>
      <w:bookmarkStart w:id="806" w:name="Bookmark_I5H1TNSWP4G000063S7000K1"/>
      <w:bookmarkStart w:id="807" w:name="Bookmark_I5H1TNSWVD5000063S7000P3"/>
      <w:bookmarkStart w:id="808" w:name="Bookmark_I5WHY2KN2SF7NY0030000400"/>
      <w:bookmarkEnd w:id="806"/>
      <w:bookmarkEnd w:id="807"/>
      <w:bookmarkEnd w:id="808"/>
      <w:r>
        <w:rPr>
          <w:rFonts w:ascii="Arial" w:eastAsia="Arial" w:hAnsi="Arial" w:cs="Arial"/>
          <w:color w:val="000000"/>
          <w:sz w:val="20"/>
        </w:rPr>
        <w:t>According to the District Court, an adequate plan embraces six characteristics:</w:t>
      </w:r>
    </w:p>
    <w:p w:rsidR="00E456CD" w:rsidRDefault="00000000">
      <w:pPr>
        <w:pStyle w:val="Normal3"/>
        <w:widowControl w:val="0"/>
        <w:spacing w:before="200" w:line="260" w:lineRule="atLeast"/>
        <w:ind w:left="400"/>
        <w:jc w:val="both"/>
      </w:pPr>
      <w:bookmarkStart w:id="809" w:name="Bookmark_para_86"/>
      <w:bookmarkStart w:id="810" w:name="Bookmark_I5WHY2KN2SF7NY0030000400_2"/>
      <w:bookmarkStart w:id="811" w:name="Bookmark_I5H1TNSX0PR000063S7000K6"/>
      <w:bookmarkStart w:id="812" w:name="Bookmark_I5WHY2KN2HM6WK0020000400"/>
      <w:bookmarkEnd w:id="809"/>
      <w:bookmarkEnd w:id="810"/>
      <w:bookmarkEnd w:id="811"/>
      <w:bookmarkEnd w:id="812"/>
      <w:r>
        <w:rPr>
          <w:rFonts w:ascii="Arial" w:eastAsia="Arial" w:hAnsi="Arial" w:cs="Arial"/>
          <w:color w:val="000000"/>
          <w:sz w:val="20"/>
        </w:rPr>
        <w:t>(1) individual assessments upon admission and periodically thereafter for all residents [***56]  to determine interest in community-based services; (2) provision of accurate information about available community-based services and eligibility requirements for those services; (3) discharge/transition planning that commences upon admission and includes a comprehensive written discharge/transition plan[]; (4) identification of what community-based services are needed and assistance in arranging for those services; (5) assistance in applying for and enrolling in available waivers or transition programs; and (6) identification of barriers to transition and assistance in overcoming those barriers to the extent possible (</w:t>
      </w:r>
      <w:r>
        <w:rPr>
          <w:rFonts w:ascii="Arial" w:eastAsia="Arial" w:hAnsi="Arial" w:cs="Arial"/>
          <w:i/>
          <w:color w:val="000000"/>
          <w:sz w:val="20"/>
        </w:rPr>
        <w:t>e.g.</w:t>
      </w:r>
      <w:r>
        <w:rPr>
          <w:rFonts w:ascii="Arial" w:eastAsia="Arial" w:hAnsi="Arial" w:cs="Arial"/>
          <w:color w:val="000000"/>
          <w:sz w:val="20"/>
        </w:rPr>
        <w:t>, if housing is a barrier, providing assistance in applying for supported housing).</w:t>
      </w:r>
    </w:p>
    <w:p w:rsidR="00E456CD" w:rsidRDefault="00000000">
      <w:pPr>
        <w:pStyle w:val="Normal3"/>
        <w:widowControl w:val="0"/>
        <w:spacing w:before="200" w:line="260" w:lineRule="atLeast"/>
        <w:jc w:val="both"/>
      </w:pPr>
      <w:bookmarkStart w:id="813" w:name="Bookmark_I5WHY2KN2HM6WK0020000400_2"/>
      <w:bookmarkStart w:id="814" w:name="Bookmark_I5WHY2KN2SF7NY0030000400_3"/>
      <w:bookmarkStart w:id="815" w:name="Bookmark_I5WHY2KN2SF7NY0020000400"/>
      <w:bookmarkEnd w:id="813"/>
      <w:bookmarkEnd w:id="814"/>
      <w:bookmarkEnd w:id="815"/>
      <w:r>
        <w:rPr>
          <w:rFonts w:ascii="Arial" w:eastAsia="Arial" w:hAnsi="Arial" w:cs="Arial"/>
          <w:i/>
          <w:color w:val="000000"/>
          <w:sz w:val="20"/>
        </w:rPr>
        <w:t>Brown</w:t>
      </w:r>
      <w:r>
        <w:rPr>
          <w:rFonts w:ascii="Arial" w:eastAsia="Arial" w:hAnsi="Arial" w:cs="Arial"/>
          <w:color w:val="000000"/>
          <w:sz w:val="20"/>
        </w:rPr>
        <w:t xml:space="preserve">, 322 F.R.D. at 89 (quoting </w:t>
      </w:r>
      <w:bookmarkStart w:id="816" w:name="Bookmark_I5WHY2KN2SF7NY0040000400"/>
      <w:bookmarkEnd w:id="816"/>
      <w:r>
        <w:rPr>
          <w:rFonts w:ascii="Arial" w:eastAsia="Arial" w:hAnsi="Arial" w:cs="Arial"/>
          <w:i/>
          <w:color w:val="000000"/>
          <w:sz w:val="20"/>
        </w:rPr>
        <w:t>Thorpe</w:t>
      </w:r>
      <w:r>
        <w:rPr>
          <w:rFonts w:ascii="Arial" w:eastAsia="Arial" w:hAnsi="Arial" w:cs="Arial"/>
          <w:color w:val="000000"/>
          <w:sz w:val="20"/>
        </w:rPr>
        <w:t xml:space="preserve">, 303 F.R.D. at 148). The District Court reasonably derived these six characteristics from at least five settlement agreements in analogous ADA failure-to-accommodate cases, </w:t>
      </w:r>
      <w:r>
        <w:rPr>
          <w:rFonts w:ascii="Arial" w:eastAsia="Arial" w:hAnsi="Arial" w:cs="Arial"/>
          <w:i/>
          <w:color w:val="000000"/>
          <w:sz w:val="20"/>
        </w:rPr>
        <w:t xml:space="preserve">see </w:t>
      </w:r>
      <w:bookmarkStart w:id="817" w:name="Bookmark_I5WHY2KN2HM6WK0010000400"/>
      <w:bookmarkEnd w:id="817"/>
      <w:r>
        <w:rPr>
          <w:rFonts w:ascii="Arial" w:eastAsia="Arial" w:hAnsi="Arial" w:cs="Arial"/>
          <w:i/>
          <w:color w:val="000000"/>
          <w:sz w:val="20"/>
        </w:rPr>
        <w:t>Thorpe</w:t>
      </w:r>
      <w:r>
        <w:rPr>
          <w:rFonts w:ascii="Arial" w:eastAsia="Arial" w:hAnsi="Arial" w:cs="Arial"/>
          <w:color w:val="000000"/>
          <w:sz w:val="20"/>
        </w:rPr>
        <w:t>, 303 F.R.D. at 148, and the District has never genuinely contested the characteristics.</w:t>
      </w:r>
    </w:p>
    <w:p w:rsidR="00E456CD" w:rsidRDefault="00000000">
      <w:pPr>
        <w:pStyle w:val="Normal3"/>
        <w:widowControl w:val="0"/>
        <w:spacing w:before="200" w:line="260" w:lineRule="atLeast"/>
        <w:jc w:val="both"/>
      </w:pPr>
      <w:bookmarkStart w:id="818" w:name="Bookmark_para_87"/>
      <w:bookmarkStart w:id="819" w:name="Bookmark_I5H1TNSX3JC000063S7000K8"/>
      <w:bookmarkStart w:id="820" w:name="Bookmark_I5WHY2KN2HM6WK0040000400"/>
      <w:bookmarkEnd w:id="818"/>
      <w:bookmarkEnd w:id="819"/>
      <w:bookmarkEnd w:id="820"/>
      <w:r>
        <w:rPr>
          <w:rFonts w:ascii="Arial" w:eastAsia="Arial" w:hAnsi="Arial" w:cs="Arial"/>
          <w:color w:val="000000"/>
          <w:sz w:val="20"/>
        </w:rPr>
        <w:t xml:space="preserve">Having set a useful framework for its legal analysis, the District Court at trial started to determine the "concrete[,] systemic deficienc[ies]" related to the six characteristics. </w:t>
      </w:r>
      <w:bookmarkStart w:id="821" w:name="Bookmark_I5WHY2KN2HM6WK0030000400"/>
      <w:bookmarkEnd w:id="821"/>
      <w:r>
        <w:rPr>
          <w:rFonts w:ascii="Arial" w:eastAsia="Arial" w:hAnsi="Arial" w:cs="Arial"/>
          <w:i/>
          <w:color w:val="000000"/>
          <w:sz w:val="20"/>
        </w:rPr>
        <w:t>Brown</w:t>
      </w:r>
      <w:r>
        <w:rPr>
          <w:rFonts w:ascii="Arial" w:eastAsia="Arial" w:hAnsi="Arial" w:cs="Arial"/>
          <w:color w:val="000000"/>
          <w:sz w:val="20"/>
        </w:rPr>
        <w:t xml:space="preserve">, 322 F.R.D. at 88. My colleagues call it a "fundamental error" to seek such deficiencies, [***57]  </w:t>
      </w:r>
      <w:r>
        <w:rPr>
          <w:rFonts w:ascii="Arial" w:eastAsia="Arial" w:hAnsi="Arial" w:cs="Arial"/>
          <w:i/>
          <w:color w:val="000000"/>
          <w:sz w:val="20"/>
        </w:rPr>
        <w:t>see</w:t>
      </w:r>
      <w:r>
        <w:rPr>
          <w:rFonts w:ascii="Arial" w:eastAsia="Arial" w:hAnsi="Arial" w:cs="Arial"/>
          <w:color w:val="000000"/>
          <w:sz w:val="20"/>
        </w:rPr>
        <w:t xml:space="preserve"> Majority Op. 14, but I cannot agree.</w:t>
      </w:r>
    </w:p>
    <w:p w:rsidR="00E456CD" w:rsidRDefault="00000000">
      <w:pPr>
        <w:pStyle w:val="Normal3"/>
        <w:widowControl w:val="0"/>
        <w:spacing w:before="200" w:line="260" w:lineRule="atLeast"/>
        <w:jc w:val="both"/>
      </w:pPr>
      <w:bookmarkStart w:id="822" w:name="Bookmark_para_88"/>
      <w:bookmarkEnd w:id="822"/>
      <w:r>
        <w:rPr>
          <w:rFonts w:ascii="Arial" w:eastAsia="Arial" w:hAnsi="Arial" w:cs="Arial"/>
          <w:color w:val="000000"/>
          <w:sz w:val="20"/>
        </w:rPr>
        <w:t xml:space="preserve">At the outset, I note that no party doubts the importance of finding concrete, systemic deficiencies in this litigation. Appellant Ivy Brown here argues only that the class plaintiffs had sufficiently alleged such deficiencies, not that the deficiencies lack a role in the ADA analysis. </w:t>
      </w:r>
      <w:r>
        <w:rPr>
          <w:rFonts w:ascii="Arial" w:eastAsia="Arial" w:hAnsi="Arial" w:cs="Arial"/>
          <w:i/>
          <w:color w:val="000000"/>
          <w:sz w:val="20"/>
        </w:rPr>
        <w:t>See</w:t>
      </w:r>
      <w:r>
        <w:rPr>
          <w:rFonts w:ascii="Arial" w:eastAsia="Arial" w:hAnsi="Arial" w:cs="Arial"/>
          <w:color w:val="000000"/>
          <w:sz w:val="20"/>
        </w:rPr>
        <w:t xml:space="preserve"> Appellant's Br. 40-45.</w:t>
      </w:r>
    </w:p>
    <w:p w:rsidR="00E456CD" w:rsidRDefault="00000000">
      <w:pPr>
        <w:pStyle w:val="Normal3"/>
        <w:widowControl w:val="0"/>
        <w:spacing w:before="200" w:line="260" w:lineRule="atLeast"/>
        <w:jc w:val="both"/>
      </w:pPr>
      <w:bookmarkStart w:id="823" w:name="Bookmark_para_89"/>
      <w:bookmarkEnd w:id="823"/>
      <w:r>
        <w:rPr>
          <w:rFonts w:ascii="Arial" w:eastAsia="Arial" w:hAnsi="Arial" w:cs="Arial"/>
          <w:color w:val="000000"/>
          <w:sz w:val="20"/>
        </w:rPr>
        <w:t xml:space="preserve">Raising the issue </w:t>
      </w:r>
      <w:r>
        <w:rPr>
          <w:rFonts w:ascii="Arial" w:eastAsia="Arial" w:hAnsi="Arial" w:cs="Arial"/>
          <w:i/>
          <w:color w:val="000000"/>
          <w:sz w:val="20"/>
        </w:rPr>
        <w:t>sua sponte</w:t>
      </w:r>
      <w:r>
        <w:rPr>
          <w:rFonts w:ascii="Arial" w:eastAsia="Arial" w:hAnsi="Arial" w:cs="Arial"/>
          <w:color w:val="000000"/>
          <w:sz w:val="20"/>
        </w:rPr>
        <w:t xml:space="preserve">, my colleagues point out that "[n]owhere does </w:t>
      </w:r>
      <w:r>
        <w:rPr>
          <w:rFonts w:ascii="Arial" w:eastAsia="Arial" w:hAnsi="Arial" w:cs="Arial"/>
          <w:i/>
          <w:color w:val="000000"/>
          <w:sz w:val="20"/>
        </w:rPr>
        <w:t>Olmstead</w:t>
      </w:r>
      <w:r>
        <w:rPr>
          <w:rFonts w:ascii="Arial" w:eastAsia="Arial" w:hAnsi="Arial" w:cs="Arial"/>
          <w:color w:val="000000"/>
          <w:sz w:val="20"/>
        </w:rPr>
        <w:t xml:space="preserve"> talk about 'concrete, systemic deficiencies.'" </w:t>
      </w:r>
      <w:r>
        <w:rPr>
          <w:rFonts w:ascii="Arial" w:eastAsia="Arial" w:hAnsi="Arial" w:cs="Arial"/>
          <w:i/>
          <w:color w:val="000000"/>
          <w:sz w:val="20"/>
        </w:rPr>
        <w:t>Id.</w:t>
      </w:r>
      <w:r>
        <w:rPr>
          <w:rFonts w:ascii="Arial" w:eastAsia="Arial" w:hAnsi="Arial" w:cs="Arial"/>
          <w:color w:val="000000"/>
          <w:sz w:val="20"/>
        </w:rPr>
        <w:t xml:space="preserve"> at 10. But the case does not purport to outline how every treatment-based failure-to-accommodate claim should proceed. </w:t>
      </w:r>
      <w:r>
        <w:rPr>
          <w:rFonts w:ascii="Arial" w:eastAsia="Arial" w:hAnsi="Arial" w:cs="Arial"/>
          <w:i/>
          <w:color w:val="000000"/>
          <w:sz w:val="20"/>
        </w:rPr>
        <w:t>Olmstead</w:t>
      </w:r>
      <w:r>
        <w:rPr>
          <w:rFonts w:ascii="Arial" w:eastAsia="Arial" w:hAnsi="Arial" w:cs="Arial"/>
          <w:color w:val="000000"/>
          <w:sz w:val="20"/>
        </w:rPr>
        <w:t xml:space="preserve"> is but one gloss of the ADA's failure-to-accommodate claim. As I noted above, </w:t>
      </w:r>
      <w:r>
        <w:rPr>
          <w:rFonts w:ascii="Arial" w:eastAsia="Arial" w:hAnsi="Arial" w:cs="Arial"/>
          <w:i/>
          <w:color w:val="000000"/>
          <w:sz w:val="20"/>
        </w:rPr>
        <w:t>Olmstead</w:t>
      </w:r>
      <w:r>
        <w:rPr>
          <w:rFonts w:ascii="Arial" w:eastAsia="Arial" w:hAnsi="Arial" w:cs="Arial"/>
          <w:color w:val="000000"/>
          <w:sz w:val="20"/>
        </w:rPr>
        <w:t xml:space="preserve"> is not a class action, but rather a simple case involving the claims of two individual plaintiffs. The District Court has focused on concrete, systemic deficiencies in an attempt to harmonize the substantive ADA standard and our class-action precedents.</w:t>
      </w:r>
    </w:p>
    <w:p w:rsidR="00E456CD" w:rsidRDefault="00000000">
      <w:pPr>
        <w:pStyle w:val="Normal3"/>
        <w:widowControl w:val="0"/>
        <w:spacing w:before="200" w:line="260" w:lineRule="atLeast"/>
        <w:jc w:val="both"/>
      </w:pPr>
      <w:bookmarkStart w:id="824" w:name="Bookmark_para_90"/>
      <w:bookmarkEnd w:id="824"/>
      <w:r>
        <w:rPr>
          <w:rFonts w:ascii="Arial" w:eastAsia="Arial" w:hAnsi="Arial" w:cs="Arial"/>
          <w:color w:val="000000"/>
          <w:sz w:val="20"/>
        </w:rPr>
        <w:t xml:space="preserve">Recall that the plaintiffs proposed concrete deficiencies in their pleadings. Because "reasonable" accommodations can be an elusive term, the District Court asked the plaintiffs to be more specific as to what they wanted. In response, the plaintiffs identified [***58]  eleven problems, which helped substantially to clarify matters. By saying the government programming had concrete  [*1095]   [**180]  deficiencies and describing them, the plaintiffs necessarily implied that the fixes for those flaws are the accommodations they seek. Of course, these accommodations are not the same as those requested in </w:t>
      </w:r>
      <w:r>
        <w:rPr>
          <w:rFonts w:ascii="Arial" w:eastAsia="Arial" w:hAnsi="Arial" w:cs="Arial"/>
          <w:i/>
          <w:color w:val="000000"/>
          <w:sz w:val="20"/>
        </w:rPr>
        <w:t>Olmstead</w:t>
      </w:r>
      <w:r>
        <w:rPr>
          <w:rFonts w:ascii="Arial" w:eastAsia="Arial" w:hAnsi="Arial" w:cs="Arial"/>
          <w:color w:val="000000"/>
          <w:sz w:val="20"/>
        </w:rPr>
        <w:t xml:space="preserve">: successful community placements. Thus, the District Court needed to ensure that they were reasonable and necessary. </w:t>
      </w:r>
      <w:r>
        <w:rPr>
          <w:rFonts w:ascii="Arial" w:eastAsia="Arial" w:hAnsi="Arial" w:cs="Arial"/>
          <w:i/>
          <w:color w:val="000000"/>
          <w:sz w:val="20"/>
        </w:rPr>
        <w:t>See</w:t>
      </w:r>
      <w:r>
        <w:rPr>
          <w:rFonts w:ascii="Arial" w:eastAsia="Arial" w:hAnsi="Arial" w:cs="Arial"/>
          <w:color w:val="000000"/>
          <w:sz w:val="20"/>
        </w:rPr>
        <w:t xml:space="preserve"> 28 C.F.R. § 35.130(b)(7)(i). The court properly did that here. The District Court found the deficiencies to relate to the six characteristics of an adequate government plan, which it determined by canvassing analogous settlement agreements. </w:t>
      </w:r>
      <w:bookmarkStart w:id="825" w:name="Bookmark_I5H1TNSX50D000063S7000P9"/>
      <w:bookmarkStart w:id="826" w:name="Bookmark_I5WHY2KP2D6NV00010000400"/>
      <w:bookmarkEnd w:id="825"/>
      <w:bookmarkEnd w:id="826"/>
      <w:r>
        <w:rPr>
          <w:rFonts w:ascii="Arial" w:eastAsia="Arial" w:hAnsi="Arial" w:cs="Arial"/>
          <w:color w:val="000000"/>
          <w:sz w:val="20"/>
        </w:rPr>
        <w:t xml:space="preserve">Although the characteristics do not guarantee actual </w:t>
      </w:r>
      <w:r>
        <w:rPr>
          <w:rFonts w:ascii="Arial" w:eastAsia="Arial" w:hAnsi="Arial" w:cs="Arial"/>
          <w:i/>
          <w:color w:val="000000"/>
          <w:sz w:val="20"/>
        </w:rPr>
        <w:t>Olmstead</w:t>
      </w:r>
      <w:r>
        <w:rPr>
          <w:rFonts w:ascii="Arial" w:eastAsia="Arial" w:hAnsi="Arial" w:cs="Arial"/>
          <w:color w:val="000000"/>
          <w:sz w:val="20"/>
        </w:rPr>
        <w:t xml:space="preserve"> Phase II placements, they still appear to provide disabled individuals with meaningful opportunities for future success. And if other local governments are consenting to providing such services, they likely are facially reasonable. Finally, because the plaintiffs established the </w:t>
      </w:r>
      <w:r>
        <w:rPr>
          <w:rFonts w:ascii="Arial" w:eastAsia="Arial" w:hAnsi="Arial" w:cs="Arial"/>
          <w:i/>
          <w:color w:val="000000"/>
          <w:sz w:val="20"/>
        </w:rPr>
        <w:t>prima facie</w:t>
      </w:r>
      <w:r>
        <w:rPr>
          <w:rFonts w:ascii="Arial" w:eastAsia="Arial" w:hAnsi="Arial" w:cs="Arial"/>
          <w:color w:val="000000"/>
          <w:sz w:val="20"/>
        </w:rPr>
        <w:t xml:space="preserve"> elements of the </w:t>
      </w:r>
      <w:r>
        <w:rPr>
          <w:rFonts w:ascii="Arial" w:eastAsia="Arial" w:hAnsi="Arial" w:cs="Arial"/>
          <w:i/>
          <w:color w:val="000000"/>
          <w:sz w:val="20"/>
        </w:rPr>
        <w:t>Olmstead</w:t>
      </w:r>
      <w:r>
        <w:rPr>
          <w:rFonts w:ascii="Arial" w:eastAsia="Arial" w:hAnsi="Arial" w:cs="Arial"/>
          <w:color w:val="000000"/>
          <w:sz w:val="20"/>
        </w:rPr>
        <w:t xml:space="preserve"> claim, </w:t>
      </w:r>
      <w:r>
        <w:rPr>
          <w:rFonts w:ascii="Arial" w:eastAsia="Arial" w:hAnsi="Arial" w:cs="Arial"/>
          <w:i/>
          <w:color w:val="000000"/>
          <w:sz w:val="20"/>
        </w:rPr>
        <w:t xml:space="preserve">see </w:t>
      </w:r>
      <w:bookmarkStart w:id="827" w:name="Bookmark_I5WHY2KN2HM6WK0050000400"/>
      <w:bookmarkEnd w:id="827"/>
      <w:r>
        <w:rPr>
          <w:rFonts w:ascii="Arial" w:eastAsia="Arial" w:hAnsi="Arial" w:cs="Arial"/>
          <w:i/>
          <w:color w:val="000000"/>
          <w:sz w:val="20"/>
        </w:rPr>
        <w:t>Brown</w:t>
      </w:r>
      <w:r>
        <w:rPr>
          <w:rFonts w:ascii="Arial" w:eastAsia="Arial" w:hAnsi="Arial" w:cs="Arial"/>
          <w:color w:val="000000"/>
          <w:sz w:val="20"/>
        </w:rPr>
        <w:t>, 322 F.R.D. at 87, they demonstrated an entitlement to accommodations fixing those specific deficiencies.</w:t>
      </w:r>
    </w:p>
    <w:p w:rsidR="00E456CD" w:rsidRDefault="00000000">
      <w:pPr>
        <w:pStyle w:val="Normal3"/>
        <w:widowControl w:val="0"/>
        <w:spacing w:before="200" w:line="260" w:lineRule="atLeast"/>
        <w:jc w:val="both"/>
      </w:pPr>
      <w:bookmarkStart w:id="828" w:name="Bookmark_para_91"/>
      <w:bookmarkStart w:id="829" w:name="Bookmark_I5H1TNSX6CF000063S7000PB"/>
      <w:bookmarkStart w:id="830" w:name="Bookmark_I5H1TNSX7RK000063S7000PC"/>
      <w:bookmarkStart w:id="831" w:name="Bookmark_I5WHY2KP2D6NV00030000400"/>
      <w:bookmarkStart w:id="832" w:name="Bookmark_I5H1TNSX96H000063S7000PD"/>
      <w:bookmarkStart w:id="833" w:name="Bookmark_I5WHY2KP28T4B70020000400"/>
      <w:bookmarkEnd w:id="828"/>
      <w:bookmarkEnd w:id="829"/>
      <w:bookmarkEnd w:id="830"/>
      <w:bookmarkEnd w:id="831"/>
      <w:bookmarkEnd w:id="832"/>
      <w:bookmarkEnd w:id="833"/>
      <w:r>
        <w:rPr>
          <w:rFonts w:ascii="Arial" w:eastAsia="Arial" w:hAnsi="Arial" w:cs="Arial"/>
          <w:color w:val="000000"/>
          <w:sz w:val="20"/>
        </w:rPr>
        <w:t xml:space="preserve">But it was not enough for the District Court to focus on the [***59]  concrete deficiencies identified by the plaintiffs. </w:t>
      </w:r>
      <w:bookmarkStart w:id="834" w:name="Bookmark_I5H1TNSXBKN000063S7000KD"/>
      <w:bookmarkStart w:id="835" w:name="Bookmark_I5WHY2KP28T4B70040000400"/>
      <w:bookmarkEnd w:id="834"/>
      <w:bookmarkEnd w:id="835"/>
      <w:r>
        <w:rPr>
          <w:rFonts w:ascii="Arial" w:eastAsia="Arial" w:hAnsi="Arial" w:cs="Arial"/>
          <w:color w:val="000000"/>
          <w:sz w:val="20"/>
        </w:rPr>
        <w:t xml:space="preserve">To faithfully follow our Rule 23 precedents, the court needed to concentrate on </w:t>
      </w:r>
      <w:r>
        <w:rPr>
          <w:rFonts w:ascii="Arial" w:eastAsia="Arial" w:hAnsi="Arial" w:cs="Arial"/>
          <w:i/>
          <w:color w:val="000000"/>
          <w:sz w:val="20"/>
        </w:rPr>
        <w:t>systemic</w:t>
      </w:r>
      <w:r>
        <w:rPr>
          <w:rFonts w:ascii="Arial" w:eastAsia="Arial" w:hAnsi="Arial" w:cs="Arial"/>
          <w:color w:val="000000"/>
          <w:sz w:val="20"/>
        </w:rPr>
        <w:t xml:space="preserve"> ones. The relevant cases are </w:t>
      </w:r>
      <w:bookmarkStart w:id="836" w:name="Bookmark_I5WHY2KP2D6NV00020000400"/>
      <w:bookmarkEnd w:id="836"/>
      <w:r>
        <w:rPr>
          <w:rFonts w:ascii="Arial" w:eastAsia="Arial" w:hAnsi="Arial" w:cs="Arial"/>
          <w:i/>
          <w:color w:val="000000"/>
          <w:sz w:val="20"/>
        </w:rPr>
        <w:t>Wal-Mart Stores, Inc. v. Dukes</w:t>
      </w:r>
      <w:r>
        <w:rPr>
          <w:rFonts w:ascii="Arial" w:eastAsia="Arial" w:hAnsi="Arial" w:cs="Arial"/>
          <w:color w:val="000000"/>
          <w:sz w:val="20"/>
        </w:rPr>
        <w:t xml:space="preserve">, 564 U.S. 338, 131 S. Ct. 2541, 180 L. Ed. 2d 374 (2011), and </w:t>
      </w:r>
      <w:bookmarkStart w:id="837" w:name="Bookmark_I5WHY2KP2D6NV00040000400"/>
      <w:bookmarkEnd w:id="837"/>
      <w:r>
        <w:rPr>
          <w:rFonts w:ascii="Arial" w:eastAsia="Arial" w:hAnsi="Arial" w:cs="Arial"/>
          <w:i/>
          <w:color w:val="000000"/>
          <w:sz w:val="20"/>
        </w:rPr>
        <w:t>DL v. District of Columbia</w:t>
      </w:r>
      <w:r>
        <w:rPr>
          <w:rFonts w:ascii="Arial" w:eastAsia="Arial" w:hAnsi="Arial" w:cs="Arial"/>
          <w:color w:val="000000"/>
          <w:sz w:val="20"/>
        </w:rPr>
        <w:t xml:space="preserve">, 713 F.3d 120, 404 U.S. App. D.C. 316 (D.C. Cir. 2013). Interpreted by the Supreme Court in </w:t>
      </w:r>
      <w:r>
        <w:rPr>
          <w:rFonts w:ascii="Arial" w:eastAsia="Arial" w:hAnsi="Arial" w:cs="Arial"/>
          <w:i/>
          <w:color w:val="000000"/>
          <w:sz w:val="20"/>
        </w:rPr>
        <w:t>Wal-Mart</w:t>
      </w:r>
      <w:r>
        <w:rPr>
          <w:rFonts w:ascii="Arial" w:eastAsia="Arial" w:hAnsi="Arial" w:cs="Arial"/>
          <w:color w:val="000000"/>
          <w:sz w:val="20"/>
        </w:rPr>
        <w:t xml:space="preserve">, Rule 23(a)(2) requires the class action to raise a common legal or factual question that, when answered at trial, would "resolve an issue that is central to the validity of each one of the [class] claims in one stroke." </w:t>
      </w:r>
      <w:bookmarkStart w:id="838" w:name="Bookmark_I5WHY2KP28T4B70010000400"/>
      <w:bookmarkEnd w:id="838"/>
      <w:r>
        <w:rPr>
          <w:rFonts w:ascii="Arial" w:eastAsia="Arial" w:hAnsi="Arial" w:cs="Arial"/>
          <w:color w:val="000000"/>
          <w:sz w:val="20"/>
        </w:rPr>
        <w:t xml:space="preserve">564 U.S. at 350. </w:t>
      </w:r>
      <w:bookmarkStart w:id="839" w:name="Bookmark_I5WHY2KP28T4B70040000400_2"/>
      <w:bookmarkEnd w:id="839"/>
      <w:r>
        <w:rPr>
          <w:rFonts w:ascii="Arial" w:eastAsia="Arial" w:hAnsi="Arial" w:cs="Arial"/>
          <w:i/>
          <w:color w:val="000000"/>
          <w:sz w:val="20"/>
        </w:rPr>
        <w:t>DL</w:t>
      </w:r>
      <w:r>
        <w:rPr>
          <w:rFonts w:ascii="Arial" w:eastAsia="Arial" w:hAnsi="Arial" w:cs="Arial"/>
          <w:color w:val="000000"/>
          <w:sz w:val="20"/>
        </w:rPr>
        <w:t xml:space="preserve"> emphasized that </w:t>
      </w:r>
      <w:r>
        <w:rPr>
          <w:rFonts w:ascii="Arial" w:eastAsia="Arial" w:hAnsi="Arial" w:cs="Arial"/>
          <w:i/>
          <w:color w:val="000000"/>
          <w:sz w:val="20"/>
        </w:rPr>
        <w:t>Wal-Mart</w:t>
      </w:r>
      <w:r>
        <w:rPr>
          <w:rFonts w:ascii="Arial" w:eastAsia="Arial" w:hAnsi="Arial" w:cs="Arial"/>
          <w:color w:val="000000"/>
          <w:sz w:val="20"/>
        </w:rPr>
        <w:t xml:space="preserve"> has "changed the [legal] landscape" for class certification and, in cases where a policy or practice is challenged, requires the policy or practice to "bridge[]" all the claims through a "common harm . . . affect[ing] each class member." </w:t>
      </w:r>
      <w:bookmarkStart w:id="840" w:name="Bookmark_I5WHY2KP28T4B70030000400"/>
      <w:bookmarkEnd w:id="840"/>
      <w:r>
        <w:rPr>
          <w:rFonts w:ascii="Arial" w:eastAsia="Arial" w:hAnsi="Arial" w:cs="Arial"/>
          <w:color w:val="000000"/>
          <w:sz w:val="20"/>
        </w:rPr>
        <w:t>713 F.3d at 126-28.</w:t>
      </w:r>
    </w:p>
    <w:p w:rsidR="00E456CD" w:rsidRDefault="00000000">
      <w:pPr>
        <w:pStyle w:val="Normal3"/>
        <w:widowControl w:val="0"/>
        <w:spacing w:before="200" w:line="260" w:lineRule="atLeast"/>
        <w:jc w:val="both"/>
      </w:pPr>
      <w:bookmarkStart w:id="841" w:name="Bookmark_para_92"/>
      <w:bookmarkStart w:id="842" w:name="Bookmark_I5H1TNSXFGP000063S7000KG"/>
      <w:bookmarkStart w:id="843" w:name="Bookmark_I5H1TNSXGXF000063S7000PJ"/>
      <w:bookmarkStart w:id="844" w:name="Bookmark_I5WHY2KP2D6NV30010000400"/>
      <w:bookmarkEnd w:id="841"/>
      <w:bookmarkEnd w:id="842"/>
      <w:bookmarkEnd w:id="843"/>
      <w:bookmarkEnd w:id="844"/>
      <w:r>
        <w:rPr>
          <w:rFonts w:ascii="Arial" w:eastAsia="Arial" w:hAnsi="Arial" w:cs="Arial"/>
          <w:color w:val="000000"/>
          <w:sz w:val="20"/>
        </w:rPr>
        <w:t xml:space="preserve">In this case, the alleged concrete deficiencies might affect various individuals in the class. </w:t>
      </w:r>
      <w:bookmarkStart w:id="845" w:name="Bookmark_I5H1TNSXJ8J000063S7000PK"/>
      <w:bookmarkStart w:id="846" w:name="Bookmark_I5WHY2KP2D6NV30050000400"/>
      <w:bookmarkEnd w:id="845"/>
      <w:bookmarkEnd w:id="846"/>
      <w:r>
        <w:rPr>
          <w:rFonts w:ascii="Arial" w:eastAsia="Arial" w:hAnsi="Arial" w:cs="Arial"/>
          <w:color w:val="000000"/>
          <w:sz w:val="20"/>
        </w:rPr>
        <w:t xml:space="preserve">But consistent with </w:t>
      </w:r>
      <w:r>
        <w:rPr>
          <w:rFonts w:ascii="Arial" w:eastAsia="Arial" w:hAnsi="Arial" w:cs="Arial"/>
          <w:i/>
          <w:color w:val="000000"/>
          <w:sz w:val="20"/>
        </w:rPr>
        <w:t>Wal-Mart</w:t>
      </w:r>
      <w:r>
        <w:rPr>
          <w:rFonts w:ascii="Arial" w:eastAsia="Arial" w:hAnsi="Arial" w:cs="Arial"/>
          <w:color w:val="000000"/>
          <w:sz w:val="20"/>
        </w:rPr>
        <w:t xml:space="preserve"> and </w:t>
      </w:r>
      <w:r>
        <w:rPr>
          <w:rFonts w:ascii="Arial" w:eastAsia="Arial" w:hAnsi="Arial" w:cs="Arial"/>
          <w:i/>
          <w:color w:val="000000"/>
          <w:sz w:val="20"/>
        </w:rPr>
        <w:t>DL</w:t>
      </w:r>
      <w:r>
        <w:rPr>
          <w:rFonts w:ascii="Arial" w:eastAsia="Arial" w:hAnsi="Arial" w:cs="Arial"/>
          <w:color w:val="000000"/>
          <w:sz w:val="20"/>
        </w:rPr>
        <w:t xml:space="preserve">, the District Court decided that, for the case to warrant a classwide merits proceeding, at least one of those deficiencies must "affect[] all class members" and "provide[] the 'glue'" combining all the claims, </w:t>
      </w:r>
      <w:bookmarkStart w:id="847" w:name="Bookmark_I5WHY2KP28T4B70050000400"/>
      <w:bookmarkEnd w:id="847"/>
      <w:r>
        <w:rPr>
          <w:rFonts w:ascii="Arial" w:eastAsia="Arial" w:hAnsi="Arial" w:cs="Arial"/>
          <w:i/>
          <w:color w:val="000000"/>
          <w:sz w:val="20"/>
        </w:rPr>
        <w:t>DL</w:t>
      </w:r>
      <w:r>
        <w:rPr>
          <w:rFonts w:ascii="Arial" w:eastAsia="Arial" w:hAnsi="Arial" w:cs="Arial"/>
          <w:color w:val="000000"/>
          <w:sz w:val="20"/>
        </w:rPr>
        <w:t xml:space="preserve">, 713 F.3d at 131 (Edwards, J., concurring) (quoting </w:t>
      </w:r>
      <w:bookmarkStart w:id="848" w:name="Bookmark_I5WHY2KP2D6NV30020000400"/>
      <w:bookmarkEnd w:id="848"/>
      <w:r>
        <w:rPr>
          <w:rFonts w:ascii="Arial" w:eastAsia="Arial" w:hAnsi="Arial" w:cs="Arial"/>
          <w:i/>
          <w:color w:val="000000"/>
          <w:sz w:val="20"/>
        </w:rPr>
        <w:t>Wal-Mart</w:t>
      </w:r>
      <w:r>
        <w:rPr>
          <w:rFonts w:ascii="Arial" w:eastAsia="Arial" w:hAnsi="Arial" w:cs="Arial"/>
          <w:color w:val="000000"/>
          <w:sz w:val="20"/>
        </w:rPr>
        <w:t xml:space="preserve">, 564 U.S. at 352). Before trial, the District Court determined at least two common questions relating to the eleven deficiencies (and the six characteristics [***60]  of an adequate plan): (1) whether the District provides adequate discharge planning and (2) whether it informs the plaintiffs of and provides them with meaningful community-based alternatives to living in nursing facilities. </w:t>
      </w:r>
      <w:bookmarkStart w:id="849" w:name="Bookmark_I5WHY2KP2D6NV30050000400_2"/>
      <w:bookmarkStart w:id="850" w:name="Bookmark_I5H1TNSXN3S000063S7000PN"/>
      <w:bookmarkStart w:id="851" w:name="Bookmark_I5WHY2KP28T4B80020000400"/>
      <w:bookmarkEnd w:id="849"/>
      <w:bookmarkEnd w:id="850"/>
      <w:bookmarkEnd w:id="851"/>
      <w:r>
        <w:rPr>
          <w:rFonts w:ascii="Arial" w:eastAsia="Arial" w:hAnsi="Arial" w:cs="Arial"/>
          <w:i/>
          <w:color w:val="000000"/>
          <w:sz w:val="20"/>
        </w:rPr>
        <w:t xml:space="preserve">See </w:t>
      </w:r>
      <w:bookmarkStart w:id="852" w:name="Bookmark_I5WHY2KP2D6NV30040000400"/>
      <w:bookmarkEnd w:id="852"/>
      <w:r>
        <w:rPr>
          <w:rFonts w:ascii="Arial" w:eastAsia="Arial" w:hAnsi="Arial" w:cs="Arial"/>
          <w:i/>
          <w:color w:val="000000"/>
          <w:sz w:val="20"/>
        </w:rPr>
        <w:t>Thorpe</w:t>
      </w:r>
      <w:r>
        <w:rPr>
          <w:rFonts w:ascii="Arial" w:eastAsia="Arial" w:hAnsi="Arial" w:cs="Arial"/>
          <w:color w:val="000000"/>
          <w:sz w:val="20"/>
        </w:rPr>
        <w:t xml:space="preserve">, 303 F.R.D. at 146 n.58. </w:t>
      </w:r>
      <w:bookmarkStart w:id="853" w:name="Bookmark_I5WHY2KP28T4B80020000400_2"/>
      <w:bookmarkEnd w:id="853"/>
      <w:r>
        <w:rPr>
          <w:rFonts w:ascii="Arial" w:eastAsia="Arial" w:hAnsi="Arial" w:cs="Arial"/>
          <w:color w:val="000000"/>
          <w:sz w:val="20"/>
        </w:rPr>
        <w:t xml:space="preserve">(There might be others, but the District Court had no need to discuss them in pretrial proceedings. </w:t>
      </w:r>
      <w:r>
        <w:rPr>
          <w:rFonts w:ascii="Arial" w:eastAsia="Arial" w:hAnsi="Arial" w:cs="Arial"/>
          <w:i/>
          <w:color w:val="000000"/>
          <w:sz w:val="20"/>
        </w:rPr>
        <w:t xml:space="preserve">See </w:t>
      </w:r>
      <w:bookmarkStart w:id="854" w:name="Bookmark_I5WHY2KP28T4B80010000400"/>
      <w:bookmarkEnd w:id="854"/>
      <w:r>
        <w:rPr>
          <w:rFonts w:ascii="Arial" w:eastAsia="Arial" w:hAnsi="Arial" w:cs="Arial"/>
          <w:i/>
          <w:color w:val="000000"/>
          <w:sz w:val="20"/>
        </w:rPr>
        <w:t>Wal-Mart</w:t>
      </w:r>
      <w:r>
        <w:rPr>
          <w:rFonts w:ascii="Arial" w:eastAsia="Arial" w:hAnsi="Arial" w:cs="Arial"/>
          <w:color w:val="000000"/>
          <w:sz w:val="20"/>
        </w:rPr>
        <w:t>, 564 U.S. at 359 (noting that courts need find only a "single" common question (citation omitted)).)</w:t>
      </w:r>
    </w:p>
    <w:p w:rsidR="00E456CD" w:rsidRDefault="00000000">
      <w:pPr>
        <w:pStyle w:val="Normal3"/>
        <w:widowControl w:val="0"/>
        <w:spacing w:before="200" w:line="260" w:lineRule="atLeast"/>
        <w:jc w:val="both"/>
      </w:pPr>
      <w:bookmarkStart w:id="855" w:name="Bookmark_para_93"/>
      <w:bookmarkEnd w:id="855"/>
      <w:r>
        <w:rPr>
          <w:rFonts w:ascii="Arial" w:eastAsia="Arial" w:hAnsi="Arial" w:cs="Arial"/>
          <w:color w:val="000000"/>
          <w:sz w:val="20"/>
        </w:rPr>
        <w:t xml:space="preserve">The class having been certified, the parties thus needed to litigate the answers to the common questions at trial. </w:t>
      </w:r>
      <w:r>
        <w:rPr>
          <w:rFonts w:ascii="Arial" w:eastAsia="Arial" w:hAnsi="Arial" w:cs="Arial"/>
          <w:i/>
          <w:color w:val="000000"/>
          <w:sz w:val="20"/>
        </w:rPr>
        <w:t>See</w:t>
      </w:r>
      <w:r>
        <w:rPr>
          <w:rFonts w:ascii="Arial" w:eastAsia="Arial" w:hAnsi="Arial" w:cs="Arial"/>
          <w:color w:val="000000"/>
          <w:sz w:val="20"/>
        </w:rPr>
        <w:t xml:space="preserve"> 4 </w:t>
      </w:r>
      <w:r>
        <w:rPr>
          <w:rFonts w:ascii="Arial" w:eastAsia="Arial" w:hAnsi="Arial" w:cs="Arial"/>
          <w:smallCaps/>
          <w:color w:val="000000"/>
          <w:sz w:val="20"/>
        </w:rPr>
        <w:t>William B. Rubenstein, Newberg on Class Actions</w:t>
      </w:r>
      <w:r>
        <w:rPr>
          <w:rFonts w:ascii="Arial" w:eastAsia="Arial" w:hAnsi="Arial" w:cs="Arial"/>
          <w:color w:val="000000"/>
          <w:sz w:val="20"/>
        </w:rPr>
        <w:t xml:space="preserve"> § 11:1 (5th ed. 2019). A negative answer would show that all class members share at least some of the same legal injuries from the District's institutionalization, and that the injuries result from a concrete, systemic deficiency in the District's transition services. </w:t>
      </w:r>
      <w:bookmarkStart w:id="856" w:name="Bookmark_I5H1TNSXRXJ000063S7000KN"/>
      <w:bookmarkStart w:id="857" w:name="Bookmark_I5H1TNSXTFW000063S7000KP"/>
      <w:bookmarkStart w:id="858" w:name="Bookmark_I5WHY2KP28T4B80040000400"/>
      <w:bookmarkEnd w:id="856"/>
      <w:bookmarkEnd w:id="857"/>
      <w:bookmarkEnd w:id="858"/>
      <w:r>
        <w:rPr>
          <w:rFonts w:ascii="Arial" w:eastAsia="Arial" w:hAnsi="Arial" w:cs="Arial"/>
          <w:color w:val="000000"/>
          <w:sz w:val="20"/>
        </w:rPr>
        <w:t xml:space="preserve">Such classwide injury, and the correspondingly broad remedy to redress it, would distinguish this case from </w:t>
      </w:r>
      <w:r>
        <w:rPr>
          <w:rFonts w:ascii="Arial" w:eastAsia="Arial" w:hAnsi="Arial" w:cs="Arial"/>
          <w:i/>
          <w:color w:val="000000"/>
          <w:sz w:val="20"/>
        </w:rPr>
        <w:t>Olmstead</w:t>
      </w:r>
      <w:r>
        <w:rPr>
          <w:rFonts w:ascii="Arial" w:eastAsia="Arial" w:hAnsi="Arial" w:cs="Arial"/>
          <w:color w:val="000000"/>
          <w:sz w:val="20"/>
        </w:rPr>
        <w:t xml:space="preserve">. Whereas the lower court in Georgia could demand only the successful placements of the two individual plaintiffs, the District Court here could  [*1096]   [**181]  require institutional changes to the government's transition programming. </w:t>
      </w:r>
      <w:r>
        <w:rPr>
          <w:rFonts w:ascii="Arial" w:eastAsia="Arial" w:hAnsi="Arial" w:cs="Arial"/>
          <w:i/>
          <w:color w:val="000000"/>
          <w:sz w:val="20"/>
        </w:rPr>
        <w:t xml:space="preserve">See, e.g., </w:t>
      </w:r>
      <w:bookmarkStart w:id="859" w:name="Bookmark_I5WHY2KP28T4B80030000400"/>
      <w:bookmarkEnd w:id="859"/>
      <w:r>
        <w:rPr>
          <w:rFonts w:ascii="Arial" w:eastAsia="Arial" w:hAnsi="Arial" w:cs="Arial"/>
          <w:i/>
          <w:color w:val="000000"/>
          <w:sz w:val="20"/>
        </w:rPr>
        <w:t>Lewis v. Casey</w:t>
      </w:r>
      <w:r>
        <w:rPr>
          <w:rFonts w:ascii="Arial" w:eastAsia="Arial" w:hAnsi="Arial" w:cs="Arial"/>
          <w:color w:val="000000"/>
          <w:sz w:val="20"/>
        </w:rPr>
        <w:t xml:space="preserve">, 518 U.S. 343, 360 n.7, 116 S. Ct. 2174, 135 L. Ed. 2d 606 (1996) (rejecting [***61]  "systemwide relief" where the plaintiffs failed to prove that violations "pervaded the [government's] system" (citation omitted)); </w:t>
      </w:r>
      <w:bookmarkStart w:id="860" w:name="Bookmark_I5WHY2KP28T4B80050000400"/>
      <w:bookmarkEnd w:id="860"/>
      <w:r>
        <w:rPr>
          <w:rFonts w:ascii="Arial" w:eastAsia="Arial" w:hAnsi="Arial" w:cs="Arial"/>
          <w:i/>
          <w:color w:val="000000"/>
          <w:sz w:val="20"/>
        </w:rPr>
        <w:t>Dayton Bd. of Educ. v. Brinkman</w:t>
      </w:r>
      <w:r>
        <w:rPr>
          <w:rFonts w:ascii="Arial" w:eastAsia="Arial" w:hAnsi="Arial" w:cs="Arial"/>
          <w:color w:val="000000"/>
          <w:sz w:val="20"/>
        </w:rPr>
        <w:t>, 433 U.S. 406, 420, 97 S. Ct. 2766, 53 L. Ed. 2d 851 (1977) ("[O]nly if there has been a systemwide impact may there be a systemwide remedy.").</w:t>
      </w:r>
    </w:p>
    <w:p w:rsidR="00E456CD" w:rsidRDefault="00000000">
      <w:pPr>
        <w:pStyle w:val="Normal3"/>
        <w:widowControl w:val="0"/>
        <w:spacing w:before="200" w:line="260" w:lineRule="atLeast"/>
        <w:jc w:val="both"/>
      </w:pPr>
      <w:bookmarkStart w:id="861" w:name="Bookmark_para_94"/>
      <w:bookmarkEnd w:id="861"/>
      <w:r>
        <w:rPr>
          <w:rFonts w:ascii="Arial" w:eastAsia="Arial" w:hAnsi="Arial" w:cs="Arial"/>
          <w:color w:val="000000"/>
          <w:sz w:val="20"/>
        </w:rPr>
        <w:t xml:space="preserve">The District Court's legal error here was forcing the plaintiff class to establish the concrete, systemic deficiencies by a preponderance of the evidence. That cannot be squared with the elements of the ADA claim as interpreted by </w:t>
      </w:r>
      <w:r>
        <w:rPr>
          <w:rFonts w:ascii="Arial" w:eastAsia="Arial" w:hAnsi="Arial" w:cs="Arial"/>
          <w:i/>
          <w:color w:val="000000"/>
          <w:sz w:val="20"/>
        </w:rPr>
        <w:t>Olmstead</w:t>
      </w:r>
      <w:r>
        <w:rPr>
          <w:rFonts w:ascii="Arial" w:eastAsia="Arial" w:hAnsi="Arial" w:cs="Arial"/>
          <w:color w:val="000000"/>
          <w:sz w:val="20"/>
        </w:rPr>
        <w:t xml:space="preserve">. Because the District Court found the requested classwide accommodations to be facially reasonable in light of the settlement agreements, and because the class at trial established a </w:t>
      </w:r>
      <w:r>
        <w:rPr>
          <w:rFonts w:ascii="Arial" w:eastAsia="Arial" w:hAnsi="Arial" w:cs="Arial"/>
          <w:i/>
          <w:color w:val="000000"/>
          <w:sz w:val="20"/>
        </w:rPr>
        <w:t>prima facie</w:t>
      </w:r>
      <w:r>
        <w:rPr>
          <w:rFonts w:ascii="Arial" w:eastAsia="Arial" w:hAnsi="Arial" w:cs="Arial"/>
          <w:color w:val="000000"/>
          <w:sz w:val="20"/>
        </w:rPr>
        <w:t xml:space="preserve"> entitlement to such accommodations, the burden shifted to the government for proof of inequities. One way to show inequity is to demonstrate that the government's programming in fact already adequately provides the requested accommodations. </w:t>
      </w:r>
      <w:bookmarkStart w:id="862" w:name="Bookmark_I5H1TNSXVWK000063S7000KR"/>
      <w:bookmarkStart w:id="863" w:name="Bookmark_I5WHY2KP2SF7P30030000400"/>
      <w:bookmarkEnd w:id="862"/>
      <w:bookmarkEnd w:id="863"/>
      <w:r>
        <w:rPr>
          <w:rFonts w:ascii="Arial" w:eastAsia="Arial" w:hAnsi="Arial" w:cs="Arial"/>
          <w:color w:val="000000"/>
          <w:sz w:val="20"/>
        </w:rPr>
        <w:t xml:space="preserve">If it does, then the plan warrants no systemic changes. Put another way, the District may rebut the need for classwide relief by demonstrating that it </w:t>
      </w:r>
      <w:r>
        <w:rPr>
          <w:rFonts w:ascii="Arial" w:eastAsia="Arial" w:hAnsi="Arial" w:cs="Arial"/>
          <w:i/>
          <w:color w:val="000000"/>
          <w:sz w:val="20"/>
        </w:rPr>
        <w:t>lacks</w:t>
      </w:r>
      <w:r>
        <w:rPr>
          <w:rFonts w:ascii="Arial" w:eastAsia="Arial" w:hAnsi="Arial" w:cs="Arial"/>
          <w:color w:val="000000"/>
          <w:sz w:val="20"/>
        </w:rPr>
        <w:t xml:space="preserve"> the concrete, systemic deficiencies raised by the class pleadings and identified by the District Court. (I note that the parties in </w:t>
      </w:r>
      <w:bookmarkStart w:id="864" w:name="Bookmark_I5WHY2KP2SF7P30020000400"/>
      <w:bookmarkEnd w:id="864"/>
      <w:r>
        <w:rPr>
          <w:rFonts w:ascii="Arial" w:eastAsia="Arial" w:hAnsi="Arial" w:cs="Arial"/>
          <w:i/>
          <w:color w:val="000000"/>
          <w:sz w:val="20"/>
        </w:rPr>
        <w:t>In re District of Columbia</w:t>
      </w:r>
      <w:r>
        <w:rPr>
          <w:rFonts w:ascii="Arial" w:eastAsia="Arial" w:hAnsi="Arial" w:cs="Arial"/>
          <w:color w:val="000000"/>
          <w:sz w:val="20"/>
        </w:rPr>
        <w:t>, 792 F.3d 96, 416 U.S. App. D.C. 435 (D.C. Cir. 2015), neither briefed nor [***62]  raised the issue of who had the burden of proof, and so we had no reason to discuss it at the time.)</w:t>
      </w:r>
    </w:p>
    <w:p w:rsidR="00E456CD" w:rsidRDefault="00000000">
      <w:pPr>
        <w:pStyle w:val="Normal3"/>
        <w:widowControl w:val="0"/>
        <w:spacing w:before="200" w:line="260" w:lineRule="atLeast"/>
        <w:jc w:val="both"/>
      </w:pPr>
      <w:bookmarkStart w:id="865" w:name="Bookmark_para_95"/>
      <w:bookmarkEnd w:id="865"/>
      <w:r>
        <w:rPr>
          <w:rFonts w:ascii="Arial" w:eastAsia="Arial" w:hAnsi="Arial" w:cs="Arial"/>
          <w:color w:val="000000"/>
          <w:sz w:val="20"/>
        </w:rPr>
        <w:t xml:space="preserve">Now that we have corrected the District Court's misunderstanding about the burden of proof, we should leave the court alone. It should largely stick to its original plan and determine on remand whether the District has proven, by a preponderance of the evidence, that there is no systemic deficiency related to the six characteristics. That would lead to a proper resolution in this </w:t>
      </w:r>
      <w:r>
        <w:rPr>
          <w:rFonts w:ascii="Arial" w:eastAsia="Arial" w:hAnsi="Arial" w:cs="Arial"/>
          <w:i/>
          <w:color w:val="000000"/>
          <w:sz w:val="20"/>
        </w:rPr>
        <w:t>Olmstead</w:t>
      </w:r>
      <w:r>
        <w:rPr>
          <w:rFonts w:ascii="Arial" w:eastAsia="Arial" w:hAnsi="Arial" w:cs="Arial"/>
          <w:color w:val="000000"/>
          <w:sz w:val="20"/>
        </w:rPr>
        <w:t xml:space="preserve"> Phase II case. The majority opinion instead requires the District Court to engage in a new two-part test largely detached from the characteristics it already articulated. </w:t>
      </w:r>
      <w:r>
        <w:rPr>
          <w:rFonts w:ascii="Arial" w:eastAsia="Arial" w:hAnsi="Arial" w:cs="Arial"/>
          <w:i/>
          <w:color w:val="000000"/>
          <w:sz w:val="20"/>
        </w:rPr>
        <w:t>See</w:t>
      </w:r>
      <w:r>
        <w:rPr>
          <w:rFonts w:ascii="Arial" w:eastAsia="Arial" w:hAnsi="Arial" w:cs="Arial"/>
          <w:color w:val="000000"/>
          <w:sz w:val="20"/>
        </w:rPr>
        <w:t xml:space="preserve"> Majority Op. 24-25 (requiring the District Court to determine first whether the District has an </w:t>
      </w:r>
      <w:r>
        <w:rPr>
          <w:rFonts w:ascii="Arial" w:eastAsia="Arial" w:hAnsi="Arial" w:cs="Arial"/>
          <w:i/>
          <w:color w:val="000000"/>
          <w:sz w:val="20"/>
        </w:rPr>
        <w:t>Olmstead</w:t>
      </w:r>
      <w:r>
        <w:rPr>
          <w:rFonts w:ascii="Arial" w:eastAsia="Arial" w:hAnsi="Arial" w:cs="Arial"/>
          <w:color w:val="000000"/>
          <w:sz w:val="20"/>
        </w:rPr>
        <w:t xml:space="preserve"> Plan, and second whether the plaintiffs' requested injunctive relief is too "costly").</w:t>
      </w:r>
    </w:p>
    <w:p w:rsidR="00E456CD" w:rsidRDefault="00000000">
      <w:pPr>
        <w:pStyle w:val="Normal3"/>
        <w:widowControl w:val="0"/>
        <w:spacing w:before="200" w:line="260" w:lineRule="atLeast"/>
        <w:jc w:val="both"/>
      </w:pPr>
      <w:bookmarkStart w:id="866" w:name="Bookmark_para_96"/>
      <w:bookmarkEnd w:id="866"/>
      <w:r>
        <w:rPr>
          <w:rFonts w:ascii="Arial" w:eastAsia="Arial" w:hAnsi="Arial" w:cs="Arial"/>
          <w:color w:val="000000"/>
          <w:sz w:val="20"/>
        </w:rPr>
        <w:t xml:space="preserve">My colleagues say my approach would lead to a violation of the Rules Enabling Act (REA), 28 U.S.C. § 2072. </w:t>
      </w:r>
      <w:bookmarkStart w:id="867" w:name="Bookmark_I5H1TNSXXBH000063S7000PV"/>
      <w:bookmarkStart w:id="868" w:name="Bookmark_I5WHY2KP2SF7P30050000400"/>
      <w:bookmarkEnd w:id="867"/>
      <w:bookmarkEnd w:id="868"/>
      <w:r>
        <w:rPr>
          <w:rFonts w:ascii="Arial" w:eastAsia="Arial" w:hAnsi="Arial" w:cs="Arial"/>
          <w:i/>
          <w:color w:val="000000"/>
          <w:sz w:val="20"/>
        </w:rPr>
        <w:t>See</w:t>
      </w:r>
      <w:r>
        <w:rPr>
          <w:rFonts w:ascii="Arial" w:eastAsia="Arial" w:hAnsi="Arial" w:cs="Arial"/>
          <w:color w:val="000000"/>
          <w:sz w:val="20"/>
        </w:rPr>
        <w:t xml:space="preserve"> Majority Op. 30. The statute provides that no Federal Rule of Civil Procedure may "abridge, enlarge[,] or modify any substantive right." 28 U.S.C. § 2072(b). Such rights include "who may sue, on what claims, [and] for what relief." </w:t>
      </w:r>
      <w:bookmarkStart w:id="869" w:name="Bookmark_I5WHY2KP2SF7P30040000400"/>
      <w:bookmarkEnd w:id="869"/>
      <w:r>
        <w:rPr>
          <w:rFonts w:ascii="Arial" w:eastAsia="Arial" w:hAnsi="Arial" w:cs="Arial"/>
          <w:i/>
          <w:color w:val="000000"/>
          <w:sz w:val="20"/>
        </w:rPr>
        <w:t>Henderson v. United States</w:t>
      </w:r>
      <w:r>
        <w:rPr>
          <w:rFonts w:ascii="Arial" w:eastAsia="Arial" w:hAnsi="Arial" w:cs="Arial"/>
          <w:color w:val="000000"/>
          <w:sz w:val="20"/>
        </w:rPr>
        <w:t>, 517 U.S. 654, 671, 116 S. Ct. 1638, 134 L. Ed. 2d 880 (1996). In particular, my colleagues submit [***63]  that it would contravene the REA to look for concrete deficiencies as part of fashioning a classwide remedy. That somehow mutates the nature of the ADA claims, and my colleagues trace the change to Rule 23.</w:t>
      </w:r>
    </w:p>
    <w:p w:rsidR="00E456CD" w:rsidRDefault="00000000">
      <w:pPr>
        <w:pStyle w:val="Normal3"/>
        <w:widowControl w:val="0"/>
        <w:spacing w:before="200" w:line="260" w:lineRule="atLeast"/>
        <w:jc w:val="both"/>
      </w:pPr>
      <w:bookmarkStart w:id="870" w:name="Bookmark_para_97"/>
      <w:bookmarkEnd w:id="870"/>
      <w:r>
        <w:rPr>
          <w:rFonts w:ascii="Arial" w:eastAsia="Arial" w:hAnsi="Arial" w:cs="Arial"/>
          <w:color w:val="000000"/>
          <w:sz w:val="20"/>
        </w:rPr>
        <w:t xml:space="preserve">I disagree. My colleagues have identified no substantive right that is abridged, enlarged, or modified. The elements of the </w:t>
      </w:r>
      <w:r>
        <w:rPr>
          <w:rFonts w:ascii="Arial" w:eastAsia="Arial" w:hAnsi="Arial" w:cs="Arial"/>
          <w:i/>
          <w:color w:val="000000"/>
          <w:sz w:val="20"/>
        </w:rPr>
        <w:t>prima facie</w:t>
      </w:r>
      <w:r>
        <w:rPr>
          <w:rFonts w:ascii="Arial" w:eastAsia="Arial" w:hAnsi="Arial" w:cs="Arial"/>
          <w:color w:val="000000"/>
          <w:sz w:val="20"/>
        </w:rPr>
        <w:t xml:space="preserve"> claim remain the same in an individual or class action. So too does the fundamental alteration standard: whether inequities arise from immediate relief. </w:t>
      </w:r>
      <w:bookmarkStart w:id="871" w:name="Bookmark_I5H1TNSXYR0000063S7000PW"/>
      <w:bookmarkStart w:id="872" w:name="Bookmark_I5WHY2KR28T4BB0020000400"/>
      <w:bookmarkEnd w:id="871"/>
      <w:bookmarkEnd w:id="872"/>
      <w:r>
        <w:rPr>
          <w:rFonts w:ascii="Arial" w:eastAsia="Arial" w:hAnsi="Arial" w:cs="Arial"/>
          <w:color w:val="000000"/>
          <w:sz w:val="20"/>
        </w:rPr>
        <w:t xml:space="preserve">If the District Court looks for systemic deficiencies, it is doing so only because they help to reveal the specific accommodations requested by the plaintiffs here and the potential inequities associated with enjoining the District. The only difference between the class action here and </w:t>
      </w:r>
      <w:r>
        <w:rPr>
          <w:rFonts w:ascii="Arial" w:eastAsia="Arial" w:hAnsi="Arial" w:cs="Arial"/>
          <w:i/>
          <w:color w:val="000000"/>
          <w:sz w:val="20"/>
        </w:rPr>
        <w:t>Olmstead</w:t>
      </w:r>
      <w:r>
        <w:rPr>
          <w:rFonts w:ascii="Arial" w:eastAsia="Arial" w:hAnsi="Arial" w:cs="Arial"/>
          <w:color w:val="000000"/>
          <w:sz w:val="20"/>
        </w:rPr>
        <w:t xml:space="preserve"> would be the scope of the remedy. But even then, the District's "aggregate" duty  [*1097]   [**182]  to provide reasonable accommodations "does not depend on whether the suit proceeds as a class action." </w:t>
      </w:r>
      <w:bookmarkStart w:id="873" w:name="Bookmark_I5WHY2KR28T4BB0010000400"/>
      <w:bookmarkEnd w:id="873"/>
      <w:r>
        <w:rPr>
          <w:rFonts w:ascii="Arial" w:eastAsia="Arial" w:hAnsi="Arial" w:cs="Arial"/>
          <w:i/>
          <w:color w:val="000000"/>
          <w:sz w:val="20"/>
        </w:rPr>
        <w:t>Shady Grove Orthopedic Assocs., P.A. v. Allstate Ins. Co.</w:t>
      </w:r>
      <w:r>
        <w:rPr>
          <w:rFonts w:ascii="Arial" w:eastAsia="Arial" w:hAnsi="Arial" w:cs="Arial"/>
          <w:color w:val="000000"/>
          <w:sz w:val="20"/>
        </w:rPr>
        <w:t xml:space="preserve"> (</w:t>
      </w:r>
      <w:r>
        <w:rPr>
          <w:rFonts w:ascii="Arial" w:eastAsia="Arial" w:hAnsi="Arial" w:cs="Arial"/>
          <w:i/>
          <w:color w:val="000000"/>
          <w:sz w:val="20"/>
        </w:rPr>
        <w:t>Shady Grove</w:t>
      </w:r>
      <w:r>
        <w:rPr>
          <w:rFonts w:ascii="Arial" w:eastAsia="Arial" w:hAnsi="Arial" w:cs="Arial"/>
          <w:color w:val="000000"/>
          <w:sz w:val="20"/>
        </w:rPr>
        <w:t xml:space="preserve">), 559 U.S. 393, 408, 130 S. Ct. 1431, 176 L. Ed. 2d 311 (2010) (plurality opinion). An injunction in the individual action would provide the accommodation only to the named litigants, while an injunction in the class action would provide the same accommodation to the population at large. The latter [***64]  remedy would affect more people, result in more significant policy changes, and be considered institutional reform. </w:t>
      </w:r>
      <w:bookmarkStart w:id="874" w:name="Bookmark_I5H1TNSY148000063S7000PX"/>
      <w:bookmarkStart w:id="875" w:name="Bookmark_I5H1TNSY2RH000063S7000PY"/>
      <w:bookmarkStart w:id="876" w:name="Bookmark_I5WHY2KR28T4BB0040000400"/>
      <w:bookmarkEnd w:id="874"/>
      <w:bookmarkEnd w:id="875"/>
      <w:bookmarkEnd w:id="876"/>
      <w:r>
        <w:rPr>
          <w:rFonts w:ascii="Arial" w:eastAsia="Arial" w:hAnsi="Arial" w:cs="Arial"/>
          <w:color w:val="000000"/>
          <w:sz w:val="20"/>
        </w:rPr>
        <w:t xml:space="preserve">And in the latter case, some absent class members surely would benefit from freeriding because they would not have sought the relief themselves. Nonetheless, the substantive fix, as applied to each litigant, is the same. Seen in this way, the breadth of the class injunction is only an "incidental" effect on substantive rights, which the REA tolerates. </w:t>
      </w:r>
      <w:bookmarkStart w:id="877" w:name="Bookmark_I5WHY2KR28T4BB0030000400"/>
      <w:bookmarkEnd w:id="877"/>
      <w:r>
        <w:rPr>
          <w:rFonts w:ascii="Arial" w:eastAsia="Arial" w:hAnsi="Arial" w:cs="Arial"/>
          <w:i/>
          <w:color w:val="000000"/>
          <w:sz w:val="20"/>
        </w:rPr>
        <w:t>Bus. Guides, Inc. v. Chromatic Commc'ns Enters., Inc.</w:t>
      </w:r>
      <w:r>
        <w:rPr>
          <w:rFonts w:ascii="Arial" w:eastAsia="Arial" w:hAnsi="Arial" w:cs="Arial"/>
          <w:color w:val="000000"/>
          <w:sz w:val="20"/>
        </w:rPr>
        <w:t xml:space="preserve">, 498 U.S. 533, 553, 111 S. Ct. 922, 112 L. Ed. 2d 1140 (1991); </w:t>
      </w:r>
      <w:r>
        <w:rPr>
          <w:rFonts w:ascii="Arial" w:eastAsia="Arial" w:hAnsi="Arial" w:cs="Arial"/>
          <w:i/>
          <w:color w:val="000000"/>
          <w:sz w:val="20"/>
        </w:rPr>
        <w:t xml:space="preserve">see also </w:t>
      </w:r>
      <w:bookmarkStart w:id="878" w:name="Bookmark_I5WHY2KR28T4BB0050000400"/>
      <w:bookmarkEnd w:id="878"/>
      <w:r>
        <w:rPr>
          <w:rFonts w:ascii="Arial" w:eastAsia="Arial" w:hAnsi="Arial" w:cs="Arial"/>
          <w:i/>
          <w:color w:val="000000"/>
          <w:sz w:val="20"/>
        </w:rPr>
        <w:t>Shady Grove</w:t>
      </w:r>
      <w:r>
        <w:rPr>
          <w:rFonts w:ascii="Arial" w:eastAsia="Arial" w:hAnsi="Arial" w:cs="Arial"/>
          <w:color w:val="000000"/>
          <w:sz w:val="20"/>
        </w:rPr>
        <w:t>, 559 U.S. at 408 (plurality opinion).</w:t>
      </w:r>
    </w:p>
    <w:p w:rsidR="00E456CD" w:rsidRDefault="00000000">
      <w:pPr>
        <w:pStyle w:val="Normal3"/>
        <w:widowControl w:val="0"/>
        <w:spacing w:before="200" w:line="260" w:lineRule="atLeast"/>
        <w:jc w:val="both"/>
      </w:pPr>
      <w:bookmarkStart w:id="879" w:name="Bookmark_para_98"/>
      <w:bookmarkStart w:id="880" w:name="Bookmark_I5H1TNSY446000063S7000KW"/>
      <w:bookmarkStart w:id="881" w:name="Bookmark_I5WHY2KR2D6NV70030000400"/>
      <w:bookmarkEnd w:id="879"/>
      <w:bookmarkEnd w:id="880"/>
      <w:bookmarkEnd w:id="881"/>
      <w:r>
        <w:rPr>
          <w:rFonts w:ascii="Arial" w:eastAsia="Arial" w:hAnsi="Arial" w:cs="Arial"/>
          <w:color w:val="000000"/>
          <w:sz w:val="20"/>
        </w:rPr>
        <w:t xml:space="preserve">In the end, my colleagues allow that the District Court could "focus its ultimate injunction on the six 'key components of an effective system of transition assistance' that it has gleaned from other </w:t>
      </w:r>
      <w:r>
        <w:rPr>
          <w:rFonts w:ascii="Arial" w:eastAsia="Arial" w:hAnsi="Arial" w:cs="Arial"/>
          <w:i/>
          <w:color w:val="000000"/>
          <w:sz w:val="20"/>
        </w:rPr>
        <w:t>Olmstead</w:t>
      </w:r>
      <w:r>
        <w:rPr>
          <w:rFonts w:ascii="Arial" w:eastAsia="Arial" w:hAnsi="Arial" w:cs="Arial"/>
          <w:color w:val="000000"/>
          <w:sz w:val="20"/>
        </w:rPr>
        <w:t xml:space="preserve"> cases." Majority Op. 23 n.10 (quoting </w:t>
      </w:r>
      <w:bookmarkStart w:id="882" w:name="Bookmark_I5WHY2KR2D6NV70020000400"/>
      <w:bookmarkEnd w:id="882"/>
      <w:r>
        <w:rPr>
          <w:rFonts w:ascii="Arial" w:eastAsia="Arial" w:hAnsi="Arial" w:cs="Arial"/>
          <w:i/>
          <w:color w:val="000000"/>
          <w:sz w:val="20"/>
        </w:rPr>
        <w:t>Thorpe</w:t>
      </w:r>
      <w:r>
        <w:rPr>
          <w:rFonts w:ascii="Arial" w:eastAsia="Arial" w:hAnsi="Arial" w:cs="Arial"/>
          <w:color w:val="000000"/>
          <w:sz w:val="20"/>
        </w:rPr>
        <w:t xml:space="preserve">, 303 F.R.D. at 148). But if that is case, we should not then opine on a broader fundamental alteration test that I believe misreads </w:t>
      </w:r>
      <w:r>
        <w:rPr>
          <w:rFonts w:ascii="Arial" w:eastAsia="Arial" w:hAnsi="Arial" w:cs="Arial"/>
          <w:i/>
          <w:color w:val="000000"/>
          <w:sz w:val="20"/>
        </w:rPr>
        <w:t>Olmstead</w:t>
      </w:r>
      <w:r>
        <w:rPr>
          <w:rFonts w:ascii="Arial" w:eastAsia="Arial" w:hAnsi="Arial" w:cs="Arial"/>
          <w:color w:val="000000"/>
          <w:sz w:val="20"/>
        </w:rPr>
        <w:t xml:space="preserve"> and could create problems in future cases. We need not issue potentially misleading guidance if the District Court already knows what to do.</w:t>
      </w:r>
    </w:p>
    <w:p w:rsidR="00E456CD" w:rsidRDefault="00000000">
      <w:pPr>
        <w:pStyle w:val="Normal3"/>
        <w:widowControl w:val="0"/>
        <w:spacing w:before="200" w:line="260" w:lineRule="atLeast"/>
        <w:jc w:val="both"/>
      </w:pPr>
      <w:bookmarkStart w:id="883" w:name="Bookmark_para_99"/>
      <w:bookmarkEnd w:id="883"/>
      <w:r>
        <w:rPr>
          <w:rFonts w:ascii="Arial" w:eastAsia="Arial" w:hAnsi="Arial" w:cs="Arial"/>
          <w:color w:val="000000"/>
          <w:sz w:val="20"/>
        </w:rPr>
        <w:t xml:space="preserve">The District Court should instead rely on the fact-intensive fundamental alteration standard devised by the </w:t>
      </w:r>
      <w:r>
        <w:rPr>
          <w:rFonts w:ascii="Arial" w:eastAsia="Arial" w:hAnsi="Arial" w:cs="Arial"/>
          <w:i/>
          <w:color w:val="000000"/>
          <w:sz w:val="20"/>
        </w:rPr>
        <w:t>Olmstead</w:t>
      </w:r>
      <w:r>
        <w:rPr>
          <w:rFonts w:ascii="Arial" w:eastAsia="Arial" w:hAnsi="Arial" w:cs="Arial"/>
          <w:color w:val="000000"/>
          <w:sz w:val="20"/>
        </w:rPr>
        <w:t xml:space="preserve"> plurality: whether immediate changes to current government programming [***65]  would create inequities. After reviewing what the District Court has said in its numerous pre-trial opinions, I am confident that it can apply the proper standard here. Through the six characteristics it has developed, the District Court can ensure comprehensive and effective transition services without improperly hamstringing government officials. Because I read the majority opinion as requiring the District Court to change course and apply an improper test, I cannot subscribe to it.</w:t>
      </w:r>
    </w:p>
    <w:p w:rsidR="00E456CD" w:rsidRDefault="00000000">
      <w:pPr>
        <w:pStyle w:val="Normal3"/>
        <w:widowControl w:val="0"/>
        <w:spacing w:before="120" w:line="260" w:lineRule="atLeast"/>
      </w:pPr>
      <w:r>
        <w:rPr>
          <w:rFonts w:ascii="Arial" w:eastAsia="Arial" w:hAnsi="Arial" w:cs="Arial"/>
          <w:color w:val="000000"/>
          <w:sz w:val="20"/>
        </w:rPr>
        <w:t>IV.</w:t>
      </w:r>
    </w:p>
    <w:p w:rsidR="00E456CD" w:rsidRDefault="00000000">
      <w:pPr>
        <w:pStyle w:val="Normal3"/>
        <w:widowControl w:val="0"/>
        <w:spacing w:before="200" w:line="260" w:lineRule="atLeast"/>
        <w:jc w:val="both"/>
      </w:pPr>
      <w:bookmarkStart w:id="884" w:name="Bookmark_para_100"/>
      <w:bookmarkEnd w:id="884"/>
      <w:r>
        <w:rPr>
          <w:rFonts w:ascii="Arial" w:eastAsia="Arial" w:hAnsi="Arial" w:cs="Arial"/>
          <w:color w:val="000000"/>
          <w:sz w:val="20"/>
        </w:rPr>
        <w:t>I conclude with some remarks about the elephant in the room: causation.</w:t>
      </w:r>
    </w:p>
    <w:p w:rsidR="00E456CD" w:rsidRDefault="00000000">
      <w:pPr>
        <w:pStyle w:val="Normal3"/>
        <w:widowControl w:val="0"/>
        <w:spacing w:before="200" w:line="260" w:lineRule="atLeast"/>
        <w:jc w:val="both"/>
      </w:pPr>
      <w:bookmarkStart w:id="885" w:name="Bookmark_para_101"/>
      <w:bookmarkStart w:id="886" w:name="Bookmark_I5H1TNSY5J8000063S7000KX"/>
      <w:bookmarkStart w:id="887" w:name="Bookmark_I5H1TNSY72D000063S7000KY"/>
      <w:bookmarkStart w:id="888" w:name="Bookmark_I5WHY2KR2D6NV70050000400"/>
      <w:bookmarkStart w:id="889" w:name="Bookmark_I5H1TNSY8F9000063S7000M0"/>
      <w:bookmarkStart w:id="890" w:name="Bookmark_I5WHY2KR28T4BD0040000400"/>
      <w:bookmarkEnd w:id="885"/>
      <w:bookmarkEnd w:id="886"/>
      <w:bookmarkEnd w:id="887"/>
      <w:bookmarkEnd w:id="888"/>
      <w:bookmarkEnd w:id="889"/>
      <w:bookmarkEnd w:id="890"/>
      <w:r>
        <w:rPr>
          <w:rFonts w:ascii="Arial" w:eastAsia="Arial" w:hAnsi="Arial" w:cs="Arial"/>
          <w:color w:val="000000"/>
          <w:sz w:val="20"/>
        </w:rPr>
        <w:t xml:space="preserve">Since the start of litigation, the District Court has expressed doubts as to whether the plaintiff class could establish a "causal link between the alleged deficiencies in the District's system of transition assistance and the alleged unnecessary segregation." </w:t>
      </w:r>
      <w:bookmarkStart w:id="891" w:name="Bookmark_I5WHY2KR2D6NV70040000400"/>
      <w:bookmarkEnd w:id="891"/>
      <w:r>
        <w:rPr>
          <w:rFonts w:ascii="Arial" w:eastAsia="Arial" w:hAnsi="Arial" w:cs="Arial"/>
          <w:i/>
          <w:color w:val="000000"/>
          <w:sz w:val="20"/>
        </w:rPr>
        <w:t>Brown</w:t>
      </w:r>
      <w:r>
        <w:rPr>
          <w:rFonts w:ascii="Arial" w:eastAsia="Arial" w:hAnsi="Arial" w:cs="Arial"/>
          <w:color w:val="000000"/>
          <w:sz w:val="20"/>
        </w:rPr>
        <w:t xml:space="preserve">, 322 F.R.D. at 60 (quoting </w:t>
      </w:r>
      <w:bookmarkStart w:id="892" w:name="Bookmark_I5WHY2KR28T4BD0010000400"/>
      <w:bookmarkEnd w:id="892"/>
      <w:r>
        <w:rPr>
          <w:rFonts w:ascii="Arial" w:eastAsia="Arial" w:hAnsi="Arial" w:cs="Arial"/>
          <w:i/>
          <w:color w:val="000000"/>
          <w:sz w:val="20"/>
        </w:rPr>
        <w:t>Thorpe</w:t>
      </w:r>
      <w:r>
        <w:rPr>
          <w:rFonts w:ascii="Arial" w:eastAsia="Arial" w:hAnsi="Arial" w:cs="Arial"/>
          <w:color w:val="000000"/>
          <w:sz w:val="20"/>
        </w:rPr>
        <w:t xml:space="preserve">, 303 F.R.D. at 142). After the bench trial, the District Court sought supplemental briefing on the issue of causation and the plaintiff's burden of proof. </w:t>
      </w:r>
      <w:bookmarkStart w:id="893" w:name="Bookmark_I5H1TNSY9WD000063S7000M1"/>
      <w:bookmarkStart w:id="894" w:name="Bookmark_I5WHY2KR2N1PRV0010000400"/>
      <w:bookmarkStart w:id="895" w:name="Bookmark_I5WHY2KR28T4BD0030000400"/>
      <w:bookmarkEnd w:id="893"/>
      <w:bookmarkEnd w:id="894"/>
      <w:bookmarkEnd w:id="895"/>
      <w:r>
        <w:rPr>
          <w:rFonts w:ascii="Arial" w:eastAsia="Arial" w:hAnsi="Arial" w:cs="Arial"/>
          <w:i/>
          <w:color w:val="000000"/>
          <w:sz w:val="20"/>
        </w:rPr>
        <w:t>Id.</w:t>
      </w:r>
      <w:r>
        <w:rPr>
          <w:rFonts w:ascii="Arial" w:eastAsia="Arial" w:hAnsi="Arial" w:cs="Arial"/>
          <w:color w:val="000000"/>
          <w:sz w:val="20"/>
        </w:rPr>
        <w:t xml:space="preserve"> at 62. </w:t>
      </w:r>
      <w:bookmarkStart w:id="896" w:name="Bookmark_I5WHY2KR2N1PRV0010000400_2"/>
      <w:bookmarkStart w:id="897" w:name="Bookmark_I5H1TNSYFFM000063S7000M3"/>
      <w:bookmarkStart w:id="898" w:name="Bookmark_I5WHY2KR2N1PRV0030000400"/>
      <w:bookmarkEnd w:id="896"/>
      <w:bookmarkEnd w:id="897"/>
      <w:bookmarkEnd w:id="898"/>
      <w:r>
        <w:rPr>
          <w:rFonts w:ascii="Arial" w:eastAsia="Arial" w:hAnsi="Arial" w:cs="Arial"/>
          <w:color w:val="000000"/>
          <w:sz w:val="20"/>
        </w:rPr>
        <w:t xml:space="preserve">For the plaintiffs, the court had a choice between two burdens of proving causation: (1) the traditional "but for" causation (a showing by the plaintiffs that their disability-based institutionalization "would not have occurred" [***66]  had the District been providing their requested accommodations) or (2) the less onerous "motivating factor" causation (a showing by the plaintiffs that the District's failure to provide their accommodations was "a 'motivating' or 'substantial' factor" in their disability-based isolation). </w:t>
      </w:r>
      <w:r>
        <w:rPr>
          <w:rFonts w:ascii="Arial" w:eastAsia="Arial" w:hAnsi="Arial" w:cs="Arial"/>
          <w:i/>
          <w:color w:val="000000"/>
          <w:sz w:val="20"/>
        </w:rPr>
        <w:t xml:space="preserve">See </w:t>
      </w:r>
      <w:bookmarkStart w:id="899" w:name="Bookmark_I5WHY2KR28T4BD0050000400"/>
      <w:bookmarkEnd w:id="899"/>
      <w:r>
        <w:rPr>
          <w:rFonts w:ascii="Arial" w:eastAsia="Arial" w:hAnsi="Arial" w:cs="Arial"/>
          <w:i/>
          <w:color w:val="000000"/>
          <w:sz w:val="20"/>
        </w:rPr>
        <w:t>Univ. of Tex. Sw. Med. Ctr. v. Nassar</w:t>
      </w:r>
      <w:r>
        <w:rPr>
          <w:rFonts w:ascii="Arial" w:eastAsia="Arial" w:hAnsi="Arial" w:cs="Arial"/>
          <w:color w:val="000000"/>
          <w:sz w:val="20"/>
        </w:rPr>
        <w:t xml:space="preserve">, 570 U.S. 338, 343, 346-48, 133 S. Ct. 2517, 186 L. Ed. 2d 503 (2013). </w:t>
      </w:r>
      <w:bookmarkStart w:id="900" w:name="Bookmark_I5WHY2KR2N1PRV0030000400_2"/>
      <w:bookmarkEnd w:id="900"/>
      <w:r>
        <w:rPr>
          <w:rFonts w:ascii="Arial" w:eastAsia="Arial" w:hAnsi="Arial" w:cs="Arial"/>
          <w:color w:val="000000"/>
          <w:sz w:val="20"/>
        </w:rPr>
        <w:t xml:space="preserve">Contrary to what Appellant suggests, </w:t>
      </w:r>
      <w:r>
        <w:rPr>
          <w:rFonts w:ascii="Arial" w:eastAsia="Arial" w:hAnsi="Arial" w:cs="Arial"/>
          <w:i/>
          <w:color w:val="000000"/>
          <w:sz w:val="20"/>
        </w:rPr>
        <w:t>see</w:t>
      </w:r>
      <w:r>
        <w:rPr>
          <w:rFonts w:ascii="Arial" w:eastAsia="Arial" w:hAnsi="Arial" w:cs="Arial"/>
          <w:color w:val="000000"/>
          <w:sz w:val="20"/>
        </w:rPr>
        <w:t xml:space="preserve"> Appellant's Br. 27-39, the District Court said it was avoiding the issue, </w:t>
      </w:r>
      <w:r>
        <w:rPr>
          <w:rFonts w:ascii="Arial" w:eastAsia="Arial" w:hAnsi="Arial" w:cs="Arial"/>
          <w:i/>
          <w:color w:val="000000"/>
          <w:sz w:val="20"/>
        </w:rPr>
        <w:t xml:space="preserve">see </w:t>
      </w:r>
      <w:bookmarkStart w:id="901" w:name="Bookmark_I5WHY2KR2N1PRV0020000400"/>
      <w:bookmarkEnd w:id="901"/>
      <w:r>
        <w:rPr>
          <w:rFonts w:ascii="Arial" w:eastAsia="Arial" w:hAnsi="Arial" w:cs="Arial"/>
          <w:i/>
          <w:color w:val="000000"/>
          <w:sz w:val="20"/>
        </w:rPr>
        <w:t>Brown</w:t>
      </w:r>
      <w:r>
        <w:rPr>
          <w:rFonts w:ascii="Arial" w:eastAsia="Arial" w:hAnsi="Arial" w:cs="Arial"/>
          <w:color w:val="000000"/>
          <w:sz w:val="20"/>
        </w:rPr>
        <w:t>, 322 F.R.D. at 89 n.29.</w:t>
      </w:r>
    </w:p>
    <w:p w:rsidR="00E456CD" w:rsidRDefault="00000000">
      <w:pPr>
        <w:pStyle w:val="Normal3"/>
        <w:widowControl w:val="0"/>
        <w:spacing w:before="200" w:line="260" w:lineRule="atLeast"/>
        <w:jc w:val="both"/>
      </w:pPr>
      <w:bookmarkStart w:id="902" w:name="Bookmark_para_102"/>
      <w:bookmarkEnd w:id="902"/>
      <w:r>
        <w:rPr>
          <w:rFonts w:ascii="Arial" w:eastAsia="Arial" w:hAnsi="Arial" w:cs="Arial"/>
          <w:color w:val="000000"/>
          <w:sz w:val="20"/>
        </w:rPr>
        <w:t> [*1098]  [**183]   Because we are remanding the case, the District Court must return to causation. I make two points on the matter.</w:t>
      </w:r>
    </w:p>
    <w:p w:rsidR="00E456CD" w:rsidRDefault="00000000">
      <w:pPr>
        <w:pStyle w:val="Normal3"/>
        <w:widowControl w:val="0"/>
        <w:spacing w:before="200" w:line="260" w:lineRule="atLeast"/>
        <w:jc w:val="both"/>
      </w:pPr>
      <w:bookmarkStart w:id="903" w:name="Bookmark_para_103"/>
      <w:bookmarkStart w:id="904" w:name="Bookmark_I5H1TNSYJFV000063S7000M5"/>
      <w:bookmarkStart w:id="905" w:name="Bookmark_I5WHY2KR2N1PRV0050000400"/>
      <w:bookmarkEnd w:id="903"/>
      <w:bookmarkEnd w:id="904"/>
      <w:bookmarkEnd w:id="905"/>
      <w:r>
        <w:rPr>
          <w:rFonts w:ascii="Arial" w:eastAsia="Arial" w:hAnsi="Arial" w:cs="Arial"/>
          <w:color w:val="000000"/>
          <w:sz w:val="20"/>
        </w:rPr>
        <w:t xml:space="preserve">First, the District Court expressly framed the issue of causation as whether "beef[ing] up the [transition] services" will in fact lead to success in "getting people out." </w:t>
      </w:r>
      <w:bookmarkStart w:id="906" w:name="Bookmark_I5WHY2KR2N1PRV0040000400"/>
      <w:bookmarkEnd w:id="906"/>
      <w:r>
        <w:rPr>
          <w:rFonts w:ascii="Arial" w:eastAsia="Arial" w:hAnsi="Arial" w:cs="Arial"/>
          <w:i/>
          <w:color w:val="000000"/>
          <w:sz w:val="20"/>
        </w:rPr>
        <w:t>Id.</w:t>
      </w:r>
      <w:r>
        <w:rPr>
          <w:rFonts w:ascii="Arial" w:eastAsia="Arial" w:hAnsi="Arial" w:cs="Arial"/>
          <w:color w:val="000000"/>
          <w:sz w:val="20"/>
        </w:rPr>
        <w:t xml:space="preserve"> at 63 (citation omitted). But the target goal should be a meaningful opportunity for a future community placement, not actual success in providing the placement. </w:t>
      </w:r>
      <w:r>
        <w:rPr>
          <w:rFonts w:ascii="Arial" w:eastAsia="Arial" w:hAnsi="Arial" w:cs="Arial"/>
          <w:i/>
          <w:color w:val="000000"/>
          <w:sz w:val="20"/>
        </w:rPr>
        <w:t>Accord</w:t>
      </w:r>
      <w:r>
        <w:rPr>
          <w:rFonts w:ascii="Arial" w:eastAsia="Arial" w:hAnsi="Arial" w:cs="Arial"/>
          <w:color w:val="000000"/>
          <w:sz w:val="20"/>
        </w:rPr>
        <w:t xml:space="preserve"> Majority Op. 23.</w:t>
      </w:r>
    </w:p>
    <w:p w:rsidR="00E456CD" w:rsidRDefault="00000000">
      <w:pPr>
        <w:pStyle w:val="Normal3"/>
        <w:widowControl w:val="0"/>
        <w:spacing w:before="200" w:line="260" w:lineRule="atLeast"/>
        <w:jc w:val="both"/>
      </w:pPr>
      <w:bookmarkStart w:id="907" w:name="Bookmark_para_104"/>
      <w:bookmarkEnd w:id="907"/>
      <w:r>
        <w:rPr>
          <w:rFonts w:ascii="Arial" w:eastAsia="Arial" w:hAnsi="Arial" w:cs="Arial"/>
          <w:color w:val="000000"/>
          <w:sz w:val="20"/>
        </w:rPr>
        <w:t xml:space="preserve">Second, whether a plaintiff has the burden of showing "but for" or "motivating factor" causation in a disability-discrimination failure-to-accommodate claim is a head-spinning legal question. For the reasons set forth below, I conclude that the plaintiffs in an </w:t>
      </w:r>
      <w:r>
        <w:rPr>
          <w:rFonts w:ascii="Arial" w:eastAsia="Arial" w:hAnsi="Arial" w:cs="Arial"/>
          <w:i/>
          <w:color w:val="000000"/>
          <w:sz w:val="20"/>
        </w:rPr>
        <w:t>Olmstead</w:t>
      </w:r>
      <w:r>
        <w:rPr>
          <w:rFonts w:ascii="Arial" w:eastAsia="Arial" w:hAnsi="Arial" w:cs="Arial"/>
          <w:color w:val="000000"/>
          <w:sz w:val="20"/>
        </w:rPr>
        <w:t xml:space="preserve"> claim may establish only "motivating factor" causation [***67]  in their </w:t>
      </w:r>
      <w:r>
        <w:rPr>
          <w:rFonts w:ascii="Arial" w:eastAsia="Arial" w:hAnsi="Arial" w:cs="Arial"/>
          <w:i/>
          <w:color w:val="000000"/>
          <w:sz w:val="20"/>
        </w:rPr>
        <w:t>prima facie</w:t>
      </w:r>
      <w:r>
        <w:rPr>
          <w:rFonts w:ascii="Arial" w:eastAsia="Arial" w:hAnsi="Arial" w:cs="Arial"/>
          <w:color w:val="000000"/>
          <w:sz w:val="20"/>
        </w:rPr>
        <w:t xml:space="preserve"> case, and that the defendant may then prove the absence of "but for" causation to rebut liability.</w:t>
      </w:r>
    </w:p>
    <w:p w:rsidR="00E456CD" w:rsidRDefault="00000000">
      <w:pPr>
        <w:pStyle w:val="Normal3"/>
        <w:widowControl w:val="0"/>
        <w:spacing w:before="200" w:line="260" w:lineRule="atLeast"/>
        <w:jc w:val="both"/>
      </w:pPr>
      <w:bookmarkStart w:id="908" w:name="Bookmark_para_105"/>
      <w:bookmarkStart w:id="909" w:name="Bookmark_I5H1TNSYM5T000063S7000R9"/>
      <w:bookmarkStart w:id="910" w:name="Bookmark_I5H1TNSYNK3000063S700007"/>
      <w:bookmarkStart w:id="911" w:name="Bookmark_I5H1TNSYR15000063S700008"/>
      <w:bookmarkStart w:id="912" w:name="Bookmark_I5H1TNSYSGJ000063S700009"/>
      <w:bookmarkStart w:id="913" w:name="Bookmark_I5H1TNSYV79000063S7000RF"/>
      <w:bookmarkStart w:id="914" w:name="Bookmark_I5WHY2KS2SF7P80020000400"/>
      <w:bookmarkEnd w:id="908"/>
      <w:bookmarkEnd w:id="909"/>
      <w:bookmarkEnd w:id="910"/>
      <w:bookmarkEnd w:id="911"/>
      <w:bookmarkEnd w:id="912"/>
      <w:bookmarkEnd w:id="913"/>
      <w:bookmarkEnd w:id="914"/>
      <w:r>
        <w:rPr>
          <w:rFonts w:ascii="Arial" w:eastAsia="Arial" w:hAnsi="Arial" w:cs="Arial"/>
          <w:color w:val="000000"/>
          <w:sz w:val="20"/>
        </w:rPr>
        <w:t xml:space="preserve">In identifying the proper causation inquiry, we must pay close attention to the statutory text and context. </w:t>
      </w:r>
      <w:bookmarkStart w:id="915" w:name="Bookmark_I5H1TNSYWPW000063S7000MB"/>
      <w:bookmarkStart w:id="916" w:name="Bookmark_I5WHY2KT2N1PS00020000400"/>
      <w:bookmarkEnd w:id="915"/>
      <w:bookmarkEnd w:id="916"/>
      <w:r>
        <w:rPr>
          <w:rFonts w:ascii="Arial" w:eastAsia="Arial" w:hAnsi="Arial" w:cs="Arial"/>
          <w:i/>
          <w:color w:val="000000"/>
          <w:sz w:val="20"/>
        </w:rPr>
        <w:t xml:space="preserve">See </w:t>
      </w:r>
      <w:bookmarkStart w:id="917" w:name="Bookmark_I5WHY2KS2SF7P80010000400"/>
      <w:bookmarkEnd w:id="917"/>
      <w:r>
        <w:rPr>
          <w:rFonts w:ascii="Arial" w:eastAsia="Arial" w:hAnsi="Arial" w:cs="Arial"/>
          <w:i/>
          <w:color w:val="000000"/>
          <w:sz w:val="20"/>
        </w:rPr>
        <w:t>Husted v. A. Philip Randolph Inst.</w:t>
      </w:r>
      <w:r>
        <w:rPr>
          <w:rFonts w:ascii="Arial" w:eastAsia="Arial" w:hAnsi="Arial" w:cs="Arial"/>
          <w:color w:val="000000"/>
          <w:sz w:val="20"/>
        </w:rPr>
        <w:t xml:space="preserve">, 138 S. Ct. 1833, 1842-43, 201 L. Ed. 2d 141 (2018); </w:t>
      </w:r>
      <w:bookmarkStart w:id="918" w:name="Bookmark_I5WHY2KS2SF7P80030000400"/>
      <w:bookmarkEnd w:id="918"/>
      <w:r>
        <w:rPr>
          <w:rFonts w:ascii="Arial" w:eastAsia="Arial" w:hAnsi="Arial" w:cs="Arial"/>
          <w:i/>
          <w:color w:val="000000"/>
          <w:sz w:val="20"/>
        </w:rPr>
        <w:t>Maslenjak v. United States</w:t>
      </w:r>
      <w:r>
        <w:rPr>
          <w:rFonts w:ascii="Arial" w:eastAsia="Arial" w:hAnsi="Arial" w:cs="Arial"/>
          <w:color w:val="000000"/>
          <w:sz w:val="20"/>
        </w:rPr>
        <w:t xml:space="preserve">, 137 S. Ct. 1918, 1929-30, 198 L. Ed. 2d 460 (2017); </w:t>
      </w:r>
      <w:bookmarkStart w:id="919" w:name="Bookmark_I5WHY2KS2SF7P80050000400"/>
      <w:bookmarkEnd w:id="919"/>
      <w:r>
        <w:rPr>
          <w:rFonts w:ascii="Arial" w:eastAsia="Arial" w:hAnsi="Arial" w:cs="Arial"/>
          <w:i/>
          <w:color w:val="000000"/>
          <w:sz w:val="20"/>
        </w:rPr>
        <w:t>Nassar</w:t>
      </w:r>
      <w:r>
        <w:rPr>
          <w:rFonts w:ascii="Arial" w:eastAsia="Arial" w:hAnsi="Arial" w:cs="Arial"/>
          <w:color w:val="000000"/>
          <w:sz w:val="20"/>
        </w:rPr>
        <w:t xml:space="preserve">, 570 U.S. at 343, 350-51; </w:t>
      </w:r>
      <w:bookmarkStart w:id="920" w:name="Bookmark_I5WHY2KS2SF7P90020000400"/>
      <w:bookmarkEnd w:id="920"/>
      <w:r>
        <w:rPr>
          <w:rFonts w:ascii="Arial" w:eastAsia="Arial" w:hAnsi="Arial" w:cs="Arial"/>
          <w:i/>
          <w:color w:val="000000"/>
          <w:sz w:val="20"/>
        </w:rPr>
        <w:t>Gross v. FBL Fin. Servs., Inc.</w:t>
      </w:r>
      <w:r>
        <w:rPr>
          <w:rFonts w:ascii="Arial" w:eastAsia="Arial" w:hAnsi="Arial" w:cs="Arial"/>
          <w:color w:val="000000"/>
          <w:sz w:val="20"/>
        </w:rPr>
        <w:t xml:space="preserve">, 557 U.S. 167, 175-76, 129 S. Ct. 2343, 174 L. Ed. 2d 119 (2009); </w:t>
      </w:r>
      <w:bookmarkStart w:id="921" w:name="Bookmark_I5WHY2KS2SF7P90040000400"/>
      <w:bookmarkEnd w:id="921"/>
      <w:r>
        <w:rPr>
          <w:rFonts w:ascii="Arial" w:eastAsia="Arial" w:hAnsi="Arial" w:cs="Arial"/>
          <w:i/>
          <w:color w:val="000000"/>
          <w:sz w:val="20"/>
        </w:rPr>
        <w:t>Ford v. Mabus</w:t>
      </w:r>
      <w:r>
        <w:rPr>
          <w:rFonts w:ascii="Arial" w:eastAsia="Arial" w:hAnsi="Arial" w:cs="Arial"/>
          <w:color w:val="000000"/>
          <w:sz w:val="20"/>
        </w:rPr>
        <w:t xml:space="preserve">, 629 F.3d 198, 204-06, 393 U.S. App. D.C. 400 (D.C. Cir. 2010). As noted above, Title II bans government discrimination "by reason of" the individual's disability. 42 U.S.C. § 12132. </w:t>
      </w:r>
      <w:bookmarkStart w:id="922" w:name="Bookmark_I5WHY2KT2N1PS00020000400_2"/>
      <w:bookmarkEnd w:id="922"/>
      <w:r>
        <w:rPr>
          <w:rFonts w:ascii="Arial" w:eastAsia="Arial" w:hAnsi="Arial" w:cs="Arial"/>
          <w:color w:val="000000"/>
          <w:sz w:val="20"/>
        </w:rPr>
        <w:t xml:space="preserve">And § 504 of the Rehabilitation Act bans discrimination "solely by reason of" disability. 29 U.S.C. § 794(a); </w:t>
      </w:r>
      <w:r>
        <w:rPr>
          <w:rFonts w:ascii="Arial" w:eastAsia="Arial" w:hAnsi="Arial" w:cs="Arial"/>
          <w:i/>
          <w:color w:val="000000"/>
          <w:sz w:val="20"/>
        </w:rPr>
        <w:t xml:space="preserve">see also </w:t>
      </w:r>
      <w:bookmarkStart w:id="923" w:name="Bookmark_I5WHY2KT2N1PS00010000400"/>
      <w:bookmarkEnd w:id="923"/>
      <w:r>
        <w:rPr>
          <w:rFonts w:ascii="Arial" w:eastAsia="Arial" w:hAnsi="Arial" w:cs="Arial"/>
          <w:i/>
          <w:color w:val="000000"/>
          <w:sz w:val="20"/>
        </w:rPr>
        <w:t>Lunceford v. Dist. of Columbia Bd. of Educ.</w:t>
      </w:r>
      <w:r>
        <w:rPr>
          <w:rFonts w:ascii="Arial" w:eastAsia="Arial" w:hAnsi="Arial" w:cs="Arial"/>
          <w:color w:val="000000"/>
          <w:sz w:val="20"/>
        </w:rPr>
        <w:t>, 745 F.2d 1577, 1580, 241 U.S. App. D.C. 1 (D.C. Cir. 1984) (Ginsburg, J.).</w:t>
      </w:r>
    </w:p>
    <w:p w:rsidR="00E456CD" w:rsidRDefault="00000000">
      <w:pPr>
        <w:pStyle w:val="Normal3"/>
        <w:widowControl w:val="0"/>
        <w:spacing w:before="200" w:line="260" w:lineRule="atLeast"/>
        <w:jc w:val="both"/>
      </w:pPr>
      <w:bookmarkStart w:id="924" w:name="Bookmark_para_106"/>
      <w:bookmarkStart w:id="925" w:name="Bookmark_I5H1TNT00HT000063S7000MD"/>
      <w:bookmarkStart w:id="926" w:name="Bookmark_I5H1TNT0297000063S7000MF"/>
      <w:bookmarkStart w:id="927" w:name="Bookmark_I5H1TNT03S6000063S7000MG"/>
      <w:bookmarkStart w:id="928" w:name="Bookmark_I5H1TNT055F000063S70000H"/>
      <w:bookmarkStart w:id="929" w:name="Bookmark_I5H1TNT06NG000063S7000MJ"/>
      <w:bookmarkStart w:id="930" w:name="Bookmark_I5H1TNT08HC000063S7000RR"/>
      <w:bookmarkStart w:id="931" w:name="Bookmark_I5WHY2KT2N1PS00040000400"/>
      <w:bookmarkStart w:id="932" w:name="Bookmark_I5H1TNT09XG000063S7000MM"/>
      <w:bookmarkStart w:id="933" w:name="Bookmark_I5WHY2KV2N1PS60010000400"/>
      <w:bookmarkEnd w:id="924"/>
      <w:bookmarkEnd w:id="925"/>
      <w:bookmarkEnd w:id="926"/>
      <w:bookmarkEnd w:id="927"/>
      <w:bookmarkEnd w:id="928"/>
      <w:bookmarkEnd w:id="929"/>
      <w:bookmarkEnd w:id="930"/>
      <w:bookmarkEnd w:id="931"/>
      <w:bookmarkEnd w:id="932"/>
      <w:bookmarkEnd w:id="933"/>
      <w:r>
        <w:rPr>
          <w:rFonts w:ascii="Arial" w:eastAsia="Arial" w:hAnsi="Arial" w:cs="Arial"/>
          <w:color w:val="000000"/>
          <w:sz w:val="20"/>
        </w:rPr>
        <w:t xml:space="preserve">Our sister circuits are split as to whether the phrase "by reason of" and the absence of language authorizing a burden-shifting regime imply that the plaintiff has the burden of proving "but for" or "motivating factor" causation. </w:t>
      </w:r>
      <w:r>
        <w:rPr>
          <w:rFonts w:ascii="Arial" w:eastAsia="Arial" w:hAnsi="Arial" w:cs="Arial"/>
          <w:i/>
          <w:color w:val="000000"/>
          <w:sz w:val="20"/>
        </w:rPr>
        <w:t xml:space="preserve">Compare </w:t>
      </w:r>
      <w:bookmarkStart w:id="934" w:name="Bookmark_I5WHY2KT2N1PS00030000400"/>
      <w:bookmarkEnd w:id="934"/>
      <w:r>
        <w:rPr>
          <w:rFonts w:ascii="Arial" w:eastAsia="Arial" w:hAnsi="Arial" w:cs="Arial"/>
          <w:i/>
          <w:color w:val="000000"/>
          <w:sz w:val="20"/>
        </w:rPr>
        <w:t>Haberle v. Troxell</w:t>
      </w:r>
      <w:r>
        <w:rPr>
          <w:rFonts w:ascii="Arial" w:eastAsia="Arial" w:hAnsi="Arial" w:cs="Arial"/>
          <w:color w:val="000000"/>
          <w:sz w:val="20"/>
        </w:rPr>
        <w:t xml:space="preserve">, 885 F.3d 171, 179 (3d Cir. 2018) (but for), </w:t>
      </w:r>
      <w:bookmarkStart w:id="935" w:name="Bookmark_I5WHY2KT2N1PS00050000400"/>
      <w:bookmarkEnd w:id="935"/>
      <w:r>
        <w:rPr>
          <w:rFonts w:ascii="Arial" w:eastAsia="Arial" w:hAnsi="Arial" w:cs="Arial"/>
          <w:i/>
          <w:color w:val="000000"/>
          <w:sz w:val="20"/>
        </w:rPr>
        <w:t>A.H. ex rel. Holzmueller v. Ill. High Sch. Ass'n</w:t>
      </w:r>
      <w:r>
        <w:rPr>
          <w:rFonts w:ascii="Arial" w:eastAsia="Arial" w:hAnsi="Arial" w:cs="Arial"/>
          <w:color w:val="000000"/>
          <w:sz w:val="20"/>
        </w:rPr>
        <w:t xml:space="preserve">, 881 F.3d 587, 593-94 (7th Cir. 2018), </w:t>
      </w:r>
      <w:r>
        <w:rPr>
          <w:rFonts w:ascii="Arial" w:eastAsia="Arial" w:hAnsi="Arial" w:cs="Arial"/>
          <w:i/>
          <w:color w:val="000000"/>
          <w:sz w:val="20"/>
        </w:rPr>
        <w:t xml:space="preserve">and </w:t>
      </w:r>
      <w:bookmarkStart w:id="936" w:name="Bookmark_I5WHY2KT2N1PS20020000400"/>
      <w:bookmarkEnd w:id="936"/>
      <w:r>
        <w:rPr>
          <w:rFonts w:ascii="Arial" w:eastAsia="Arial" w:hAnsi="Arial" w:cs="Arial"/>
          <w:i/>
          <w:color w:val="000000"/>
          <w:sz w:val="20"/>
        </w:rPr>
        <w:t>Gohl v. Livonia Pub. Sch. Dist.</w:t>
      </w:r>
      <w:r>
        <w:rPr>
          <w:rFonts w:ascii="Arial" w:eastAsia="Arial" w:hAnsi="Arial" w:cs="Arial"/>
          <w:color w:val="000000"/>
          <w:sz w:val="20"/>
        </w:rPr>
        <w:t xml:space="preserve">, 836 F.3d 672, 682 (6th Cir. 2016), </w:t>
      </w:r>
      <w:r>
        <w:rPr>
          <w:rFonts w:ascii="Arial" w:eastAsia="Arial" w:hAnsi="Arial" w:cs="Arial"/>
          <w:i/>
          <w:color w:val="000000"/>
          <w:sz w:val="20"/>
        </w:rPr>
        <w:t xml:space="preserve">with </w:t>
      </w:r>
      <w:bookmarkStart w:id="937" w:name="Bookmark_I5WHY2KT2N1PS20040000400"/>
      <w:bookmarkEnd w:id="937"/>
      <w:r>
        <w:rPr>
          <w:rFonts w:ascii="Arial" w:eastAsia="Arial" w:hAnsi="Arial" w:cs="Arial"/>
          <w:i/>
          <w:color w:val="000000"/>
          <w:sz w:val="20"/>
        </w:rPr>
        <w:t>K.M. ex rel. Bright v. Tustin Unified Sch. Dist.</w:t>
      </w:r>
      <w:r>
        <w:rPr>
          <w:rFonts w:ascii="Arial" w:eastAsia="Arial" w:hAnsi="Arial" w:cs="Arial"/>
          <w:color w:val="000000"/>
          <w:sz w:val="20"/>
        </w:rPr>
        <w:t xml:space="preserve">, 725 F.3d 1088, 1099 (9th Cir. 2013) (motivating factor), </w:t>
      </w:r>
      <w:bookmarkStart w:id="938" w:name="Bookmark_I5WHY2KV2N1PS40010000400"/>
      <w:bookmarkEnd w:id="938"/>
      <w:r>
        <w:rPr>
          <w:rFonts w:ascii="Arial" w:eastAsia="Arial" w:hAnsi="Arial" w:cs="Arial"/>
          <w:i/>
          <w:color w:val="000000"/>
          <w:sz w:val="20"/>
        </w:rPr>
        <w:t>Pinkerton v. Spellings</w:t>
      </w:r>
      <w:r>
        <w:rPr>
          <w:rFonts w:ascii="Arial" w:eastAsia="Arial" w:hAnsi="Arial" w:cs="Arial"/>
          <w:color w:val="000000"/>
          <w:sz w:val="20"/>
        </w:rPr>
        <w:t xml:space="preserve">, 529 F.3d 513, 517-18 (5th Cir. 2008) (per curiam), </w:t>
      </w:r>
      <w:r>
        <w:rPr>
          <w:rFonts w:ascii="Arial" w:eastAsia="Arial" w:hAnsi="Arial" w:cs="Arial"/>
          <w:i/>
          <w:color w:val="000000"/>
          <w:sz w:val="20"/>
        </w:rPr>
        <w:t xml:space="preserve">and </w:t>
      </w:r>
      <w:bookmarkStart w:id="939" w:name="Bookmark_I5WHY2KV2N1PS40030000400"/>
      <w:bookmarkEnd w:id="939"/>
      <w:r>
        <w:rPr>
          <w:rFonts w:ascii="Arial" w:eastAsia="Arial" w:hAnsi="Arial" w:cs="Arial"/>
          <w:i/>
          <w:color w:val="000000"/>
          <w:sz w:val="20"/>
        </w:rPr>
        <w:t>Baird ex rel. Baird v. Rose</w:t>
      </w:r>
      <w:r>
        <w:rPr>
          <w:rFonts w:ascii="Arial" w:eastAsia="Arial" w:hAnsi="Arial" w:cs="Arial"/>
          <w:color w:val="000000"/>
          <w:sz w:val="20"/>
        </w:rPr>
        <w:t xml:space="preserve">, 192 F.3d 462, 470 (4th Cir. 1999). Despite Appellant's suggestions to the contrary, </w:t>
      </w:r>
      <w:r>
        <w:rPr>
          <w:rFonts w:ascii="Arial" w:eastAsia="Arial" w:hAnsi="Arial" w:cs="Arial"/>
          <w:i/>
          <w:color w:val="000000"/>
          <w:sz w:val="20"/>
        </w:rPr>
        <w:t>see</w:t>
      </w:r>
      <w:r>
        <w:rPr>
          <w:rFonts w:ascii="Arial" w:eastAsia="Arial" w:hAnsi="Arial" w:cs="Arial"/>
          <w:color w:val="000000"/>
          <w:sz w:val="20"/>
        </w:rPr>
        <w:t xml:space="preserve"> Appellant's Br. 29, the Second Circuit has declined to decide the issue, </w:t>
      </w:r>
      <w:r>
        <w:rPr>
          <w:rFonts w:ascii="Arial" w:eastAsia="Arial" w:hAnsi="Arial" w:cs="Arial"/>
          <w:i/>
          <w:color w:val="000000"/>
          <w:sz w:val="20"/>
        </w:rPr>
        <w:t xml:space="preserve">see </w:t>
      </w:r>
      <w:bookmarkStart w:id="940" w:name="Bookmark_I5WHY2KV2N1PS40050000400"/>
      <w:bookmarkEnd w:id="940"/>
      <w:r>
        <w:rPr>
          <w:rFonts w:ascii="Arial" w:eastAsia="Arial" w:hAnsi="Arial" w:cs="Arial"/>
          <w:i/>
          <w:color w:val="000000"/>
          <w:sz w:val="20"/>
        </w:rPr>
        <w:t>Bolmer v. Oliveira</w:t>
      </w:r>
      <w:r>
        <w:rPr>
          <w:rFonts w:ascii="Arial" w:eastAsia="Arial" w:hAnsi="Arial" w:cs="Arial"/>
          <w:color w:val="000000"/>
          <w:sz w:val="20"/>
        </w:rPr>
        <w:t>, 594 F.3d 134, 148-49 (2d Cir. 2010).</w:t>
      </w:r>
    </w:p>
    <w:p w:rsidR="00E456CD" w:rsidRDefault="00000000">
      <w:pPr>
        <w:pStyle w:val="Normal3"/>
        <w:widowControl w:val="0"/>
        <w:spacing w:before="200" w:line="260" w:lineRule="atLeast"/>
        <w:jc w:val="both"/>
      </w:pPr>
      <w:bookmarkStart w:id="941" w:name="Bookmark_para_107"/>
      <w:bookmarkStart w:id="942" w:name="Bookmark_I5H1TNT0CRG000063S7000RT"/>
      <w:bookmarkStart w:id="943" w:name="Bookmark_I5WHY2KV2N1PS60030000400"/>
      <w:bookmarkEnd w:id="941"/>
      <w:bookmarkEnd w:id="942"/>
      <w:bookmarkEnd w:id="943"/>
      <w:r>
        <w:rPr>
          <w:rFonts w:ascii="Arial" w:eastAsia="Arial" w:hAnsi="Arial" w:cs="Arial"/>
          <w:color w:val="000000"/>
          <w:sz w:val="20"/>
        </w:rPr>
        <w:t xml:space="preserve">The circuit split reflects the difficulty of the interpretive issue. As we have explained in </w:t>
      </w:r>
      <w:r>
        <w:rPr>
          <w:rFonts w:ascii="Arial" w:eastAsia="Arial" w:hAnsi="Arial" w:cs="Arial"/>
          <w:i/>
          <w:color w:val="000000"/>
          <w:sz w:val="20"/>
        </w:rPr>
        <w:t>Ford</w:t>
      </w:r>
      <w:r>
        <w:rPr>
          <w:rFonts w:ascii="Arial" w:eastAsia="Arial" w:hAnsi="Arial" w:cs="Arial"/>
          <w:color w:val="000000"/>
          <w:sz w:val="20"/>
        </w:rPr>
        <w:t xml:space="preserve">, the causation issue comprises two distinct legal questions: which "standard of causation" does the statute at issue impose, and whether burden-shifting may occur. </w:t>
      </w:r>
      <w:bookmarkStart w:id="944" w:name="Bookmark_I5WHY2KV2N1PS60020000400"/>
      <w:bookmarkEnd w:id="944"/>
      <w:r>
        <w:rPr>
          <w:rFonts w:ascii="Arial" w:eastAsia="Arial" w:hAnsi="Arial" w:cs="Arial"/>
          <w:color w:val="000000"/>
          <w:sz w:val="20"/>
        </w:rPr>
        <w:t>629 F.3d at 204. Given recent Supreme Court precedents, I think [***68]  that the first question is clear. The second is not.</w:t>
      </w:r>
    </w:p>
    <w:p w:rsidR="00E456CD" w:rsidRDefault="00000000">
      <w:pPr>
        <w:pStyle w:val="Normal3"/>
        <w:widowControl w:val="0"/>
        <w:spacing w:before="200" w:line="260" w:lineRule="atLeast"/>
        <w:jc w:val="both"/>
      </w:pPr>
      <w:bookmarkStart w:id="945" w:name="Bookmark_para_108"/>
      <w:bookmarkStart w:id="946" w:name="Bookmark_I5H1TNT0F5G000063S70000N"/>
      <w:bookmarkStart w:id="947" w:name="Bookmark_I5H1TNT0GJ7000063S70000P"/>
      <w:bookmarkStart w:id="948" w:name="Bookmark_I5H1TNT0J20000063S70000R"/>
      <w:bookmarkStart w:id="949" w:name="Bookmark_I5H1TNT0KTN000063S7000RY"/>
      <w:bookmarkStart w:id="950" w:name="Bookmark_I5H1TNT0N6R000063S7000MT"/>
      <w:bookmarkStart w:id="951" w:name="Bookmark_I5H1TNT0PNN000063S7000MV"/>
      <w:bookmarkStart w:id="952" w:name="Bookmark_I5WHY2KV2N1PS60050000400"/>
      <w:bookmarkEnd w:id="945"/>
      <w:bookmarkEnd w:id="946"/>
      <w:bookmarkEnd w:id="947"/>
      <w:bookmarkEnd w:id="948"/>
      <w:bookmarkEnd w:id="949"/>
      <w:bookmarkEnd w:id="950"/>
      <w:bookmarkEnd w:id="951"/>
      <w:bookmarkEnd w:id="952"/>
      <w:r>
        <w:rPr>
          <w:rFonts w:ascii="Arial" w:eastAsia="Arial" w:hAnsi="Arial" w:cs="Arial"/>
          <w:color w:val="000000"/>
          <w:sz w:val="20"/>
        </w:rPr>
        <w:t xml:space="preserve">The Supreme Court in </w:t>
      </w:r>
      <w:r>
        <w:rPr>
          <w:rFonts w:ascii="Arial" w:eastAsia="Arial" w:hAnsi="Arial" w:cs="Arial"/>
          <w:i/>
          <w:color w:val="000000"/>
          <w:sz w:val="20"/>
        </w:rPr>
        <w:t>Gross</w:t>
      </w:r>
      <w:r>
        <w:rPr>
          <w:rFonts w:ascii="Arial" w:eastAsia="Arial" w:hAnsi="Arial" w:cs="Arial"/>
          <w:color w:val="000000"/>
          <w:sz w:val="20"/>
        </w:rPr>
        <w:t xml:space="preserve"> noted that the term "by reason of" ordinarily means "but for" causation, and numerous precedents have endorsed the Court's observation. </w:t>
      </w:r>
      <w:r>
        <w:rPr>
          <w:rFonts w:ascii="Arial" w:eastAsia="Arial" w:hAnsi="Arial" w:cs="Arial"/>
          <w:i/>
          <w:color w:val="000000"/>
          <w:sz w:val="20"/>
        </w:rPr>
        <w:t>See</w:t>
      </w:r>
      <w:r>
        <w:rPr>
          <w:rFonts w:ascii="Arial" w:eastAsia="Arial" w:hAnsi="Arial" w:cs="Arial"/>
          <w:color w:val="000000"/>
          <w:sz w:val="20"/>
        </w:rPr>
        <w:t xml:space="preserve"> </w:t>
      </w:r>
      <w:bookmarkStart w:id="953" w:name="Bookmark_I5WHY2KV2N1PS60040000400"/>
      <w:bookmarkEnd w:id="953"/>
      <w:r>
        <w:rPr>
          <w:rFonts w:ascii="Arial" w:eastAsia="Arial" w:hAnsi="Arial" w:cs="Arial"/>
          <w:color w:val="000000"/>
          <w:sz w:val="20"/>
        </w:rPr>
        <w:t xml:space="preserve">557 U.S. at 176; </w:t>
      </w:r>
      <w:r>
        <w:rPr>
          <w:rFonts w:ascii="Arial" w:eastAsia="Arial" w:hAnsi="Arial" w:cs="Arial"/>
          <w:i/>
          <w:color w:val="000000"/>
          <w:sz w:val="20"/>
        </w:rPr>
        <w:t xml:space="preserve">see also </w:t>
      </w:r>
      <w:bookmarkStart w:id="954" w:name="Bookmark_I5WHY2KW2N1PS70010000400"/>
      <w:bookmarkEnd w:id="954"/>
      <w:r>
        <w:rPr>
          <w:rFonts w:ascii="Arial" w:eastAsia="Arial" w:hAnsi="Arial" w:cs="Arial"/>
          <w:i/>
          <w:color w:val="000000"/>
          <w:sz w:val="20"/>
        </w:rPr>
        <w:t>Burrage v. United States</w:t>
      </w:r>
      <w:r>
        <w:rPr>
          <w:rFonts w:ascii="Arial" w:eastAsia="Arial" w:hAnsi="Arial" w:cs="Arial"/>
          <w:color w:val="000000"/>
          <w:sz w:val="20"/>
        </w:rPr>
        <w:t xml:space="preserve">, 571 U.S. 204, 213, 134 S. Ct. 881, 187 L. Ed. 2d 715 (2014); </w:t>
      </w:r>
      <w:bookmarkStart w:id="955" w:name="Bookmark_I5WHY2KW2N1PS70030000400"/>
      <w:bookmarkEnd w:id="955"/>
      <w:r>
        <w:rPr>
          <w:rFonts w:ascii="Arial" w:eastAsia="Arial" w:hAnsi="Arial" w:cs="Arial"/>
          <w:i/>
          <w:color w:val="000000"/>
          <w:sz w:val="20"/>
        </w:rPr>
        <w:t>Nassar</w:t>
      </w:r>
      <w:r>
        <w:rPr>
          <w:rFonts w:ascii="Arial" w:eastAsia="Arial" w:hAnsi="Arial" w:cs="Arial"/>
          <w:color w:val="000000"/>
          <w:sz w:val="20"/>
        </w:rPr>
        <w:t xml:space="preserve">, 570 U.S. at 350; </w:t>
      </w:r>
      <w:bookmarkStart w:id="956" w:name="Bookmark_I5WHY2KW2N1PS70050000400"/>
      <w:bookmarkEnd w:id="956"/>
      <w:r>
        <w:rPr>
          <w:rFonts w:ascii="Arial" w:eastAsia="Arial" w:hAnsi="Arial" w:cs="Arial"/>
          <w:i/>
          <w:color w:val="000000"/>
          <w:sz w:val="20"/>
        </w:rPr>
        <w:t>Bridge v. Phoenix Bond &amp; Indem. Co.</w:t>
      </w:r>
      <w:r>
        <w:rPr>
          <w:rFonts w:ascii="Arial" w:eastAsia="Arial" w:hAnsi="Arial" w:cs="Arial"/>
          <w:color w:val="000000"/>
          <w:sz w:val="20"/>
        </w:rPr>
        <w:t xml:space="preserve">, 553 U.S. 639, 653-54, 128 S. Ct. 2131, 170 L. Ed. 2d 1012 (2008); </w:t>
      </w:r>
      <w:bookmarkStart w:id="957" w:name="Bookmark_I5WHY2KW2D6NVP0020000400"/>
      <w:bookmarkEnd w:id="957"/>
      <w:r>
        <w:rPr>
          <w:rFonts w:ascii="Arial" w:eastAsia="Arial" w:hAnsi="Arial" w:cs="Arial"/>
          <w:i/>
          <w:color w:val="000000"/>
          <w:sz w:val="20"/>
        </w:rPr>
        <w:t>Holmes v. Sec. Inv'r Prot. Corp.</w:t>
      </w:r>
      <w:r>
        <w:rPr>
          <w:rFonts w:ascii="Arial" w:eastAsia="Arial" w:hAnsi="Arial" w:cs="Arial"/>
          <w:color w:val="000000"/>
          <w:sz w:val="20"/>
        </w:rPr>
        <w:t xml:space="preserve">, 503 U.S. 258, 267-68, 112 S. Ct. 1311, 117 L. Ed. 2d 532 (1992); </w:t>
      </w:r>
      <w:r>
        <w:rPr>
          <w:rFonts w:ascii="Arial" w:eastAsia="Arial" w:hAnsi="Arial" w:cs="Arial"/>
          <w:i/>
          <w:color w:val="000000"/>
          <w:sz w:val="20"/>
        </w:rPr>
        <w:t xml:space="preserve">cf. </w:t>
      </w:r>
      <w:bookmarkStart w:id="958" w:name="Bookmark_I5WHY2KW2D6NVP0040000400"/>
      <w:bookmarkEnd w:id="958"/>
      <w:r>
        <w:rPr>
          <w:rFonts w:ascii="Arial" w:eastAsia="Arial" w:hAnsi="Arial" w:cs="Arial"/>
          <w:i/>
          <w:color w:val="000000"/>
          <w:sz w:val="20"/>
        </w:rPr>
        <w:t>A. Philip Randolph Inst.</w:t>
      </w:r>
      <w:r>
        <w:rPr>
          <w:rFonts w:ascii="Arial" w:eastAsia="Arial" w:hAnsi="Arial" w:cs="Arial"/>
          <w:color w:val="000000"/>
          <w:sz w:val="20"/>
        </w:rPr>
        <w:t xml:space="preserve">, 138 S. Ct. at 1842-43 (finding that "by reason of" in statute at issue implied sole causation, which is more stringent than "but for" causation). A  [*1099]   [**184]  straightforward application of </w:t>
      </w:r>
      <w:r>
        <w:rPr>
          <w:rFonts w:ascii="Arial" w:eastAsia="Arial" w:hAnsi="Arial" w:cs="Arial"/>
          <w:i/>
          <w:color w:val="000000"/>
          <w:sz w:val="20"/>
        </w:rPr>
        <w:t>Gross</w:t>
      </w:r>
      <w:r>
        <w:rPr>
          <w:rFonts w:ascii="Arial" w:eastAsia="Arial" w:hAnsi="Arial" w:cs="Arial"/>
          <w:color w:val="000000"/>
          <w:sz w:val="20"/>
        </w:rPr>
        <w:t xml:space="preserve"> indicates that "but for" causation is an element of the Title II claim.</w:t>
      </w:r>
    </w:p>
    <w:p w:rsidR="00E456CD" w:rsidRDefault="00000000">
      <w:pPr>
        <w:pStyle w:val="Normal3"/>
        <w:widowControl w:val="0"/>
        <w:spacing w:before="200" w:line="260" w:lineRule="atLeast"/>
        <w:jc w:val="both"/>
      </w:pPr>
      <w:bookmarkStart w:id="959" w:name="Bookmark_para_109"/>
      <w:bookmarkStart w:id="960" w:name="Bookmark_I5H1TNT0S3K000063S7000MW"/>
      <w:bookmarkStart w:id="961" w:name="Bookmark_I5WHY2KW2N1PSD0020000400"/>
      <w:bookmarkStart w:id="962" w:name="Bookmark_I5H1TNT0TRT000063S70000W"/>
      <w:bookmarkStart w:id="963" w:name="Bookmark_I5H1TNT0WDC000063S7000MY"/>
      <w:bookmarkStart w:id="964" w:name="Bookmark_I5WHY2KW2N1PSD0040000400"/>
      <w:bookmarkEnd w:id="959"/>
      <w:bookmarkEnd w:id="960"/>
      <w:bookmarkEnd w:id="961"/>
      <w:bookmarkEnd w:id="962"/>
      <w:bookmarkEnd w:id="963"/>
      <w:bookmarkEnd w:id="964"/>
      <w:r>
        <w:rPr>
          <w:rFonts w:ascii="Arial" w:eastAsia="Arial" w:hAnsi="Arial" w:cs="Arial"/>
          <w:color w:val="000000"/>
          <w:sz w:val="20"/>
        </w:rPr>
        <w:t xml:space="preserve">Moreover, the Supreme Court in </w:t>
      </w:r>
      <w:r>
        <w:rPr>
          <w:rFonts w:ascii="Arial" w:eastAsia="Arial" w:hAnsi="Arial" w:cs="Arial"/>
          <w:i/>
          <w:color w:val="000000"/>
          <w:sz w:val="20"/>
        </w:rPr>
        <w:t>Burrage</w:t>
      </w:r>
      <w:r>
        <w:rPr>
          <w:rFonts w:ascii="Arial" w:eastAsia="Arial" w:hAnsi="Arial" w:cs="Arial"/>
          <w:color w:val="000000"/>
          <w:sz w:val="20"/>
        </w:rPr>
        <w:t xml:space="preserve"> exposed the improbability of a federal statute demanding "motivating factor" causation </w:t>
      </w:r>
      <w:r>
        <w:rPr>
          <w:rFonts w:ascii="Arial" w:eastAsia="Arial" w:hAnsi="Arial" w:cs="Arial"/>
          <w:i/>
          <w:color w:val="000000"/>
          <w:sz w:val="20"/>
        </w:rPr>
        <w:t>simpliciter</w:t>
      </w:r>
      <w:r>
        <w:rPr>
          <w:rFonts w:ascii="Arial" w:eastAsia="Arial" w:hAnsi="Arial" w:cs="Arial"/>
          <w:color w:val="000000"/>
          <w:sz w:val="20"/>
        </w:rPr>
        <w:t xml:space="preserve">. The Supreme Court articulated the "motivating factor" test in </w:t>
      </w:r>
      <w:bookmarkStart w:id="965" w:name="Bookmark_I5WHY2KW2N1PSD0010000400"/>
      <w:bookmarkEnd w:id="965"/>
      <w:r>
        <w:rPr>
          <w:rFonts w:ascii="Arial" w:eastAsia="Arial" w:hAnsi="Arial" w:cs="Arial"/>
          <w:i/>
          <w:color w:val="000000"/>
          <w:sz w:val="20"/>
        </w:rPr>
        <w:t>Price Waterhouse v. Hopkins</w:t>
      </w:r>
      <w:r>
        <w:rPr>
          <w:rFonts w:ascii="Arial" w:eastAsia="Arial" w:hAnsi="Arial" w:cs="Arial"/>
          <w:color w:val="000000"/>
          <w:sz w:val="20"/>
        </w:rPr>
        <w:t xml:space="preserve">, 490 U.S. 228, 109 S. Ct. 1775, 104 L. Ed. 2d 268 (1989), </w:t>
      </w:r>
      <w:r>
        <w:rPr>
          <w:rFonts w:ascii="Arial" w:eastAsia="Arial" w:hAnsi="Arial" w:cs="Arial"/>
          <w:i/>
          <w:color w:val="000000"/>
          <w:sz w:val="20"/>
        </w:rPr>
        <w:t>superseded in part on other grounds by</w:t>
      </w:r>
      <w:r>
        <w:rPr>
          <w:rFonts w:ascii="Arial" w:eastAsia="Arial" w:hAnsi="Arial" w:cs="Arial"/>
          <w:color w:val="000000"/>
          <w:sz w:val="20"/>
        </w:rPr>
        <w:t xml:space="preserve"> Civil Rights Act of 1991, Pub. L. No. 102-166, 105 Stat. 1071 (codified as amended at scattered sections of 2, 16, 29, 42 U.S.C.), for claims under Title VII of the Civil Rights Act of 1964, Pub. L. No. 88-352, 78 Stat. 253 (codified as amended at 42 U.S.C. § 2000e </w:t>
      </w:r>
      <w:r>
        <w:rPr>
          <w:rFonts w:ascii="Arial" w:eastAsia="Arial" w:hAnsi="Arial" w:cs="Arial"/>
          <w:i/>
          <w:color w:val="000000"/>
          <w:sz w:val="20"/>
        </w:rPr>
        <w:t>et seq.</w:t>
      </w:r>
      <w:r>
        <w:rPr>
          <w:rFonts w:ascii="Arial" w:eastAsia="Arial" w:hAnsi="Arial" w:cs="Arial"/>
          <w:color w:val="000000"/>
          <w:sz w:val="20"/>
        </w:rPr>
        <w:t xml:space="preserve">). </w:t>
      </w:r>
      <w:bookmarkStart w:id="966" w:name="Bookmark_I5H1TNT0XW7000063S7000S5"/>
      <w:bookmarkStart w:id="967" w:name="Bookmark_I5H1TNT11KY000063S7000S7"/>
      <w:bookmarkStart w:id="968" w:name="Bookmark_I5WHY2KW2D6NVW0030000400"/>
      <w:bookmarkEnd w:id="966"/>
      <w:bookmarkEnd w:id="967"/>
      <w:bookmarkEnd w:id="968"/>
      <w:r>
        <w:rPr>
          <w:rFonts w:ascii="Arial" w:eastAsia="Arial" w:hAnsi="Arial" w:cs="Arial"/>
          <w:color w:val="000000"/>
          <w:sz w:val="20"/>
        </w:rPr>
        <w:t xml:space="preserve">Under the </w:t>
      </w:r>
      <w:r>
        <w:rPr>
          <w:rFonts w:ascii="Arial" w:eastAsia="Arial" w:hAnsi="Arial" w:cs="Arial"/>
          <w:i/>
          <w:color w:val="000000"/>
          <w:sz w:val="20"/>
        </w:rPr>
        <w:t>Price Waterhouse</w:t>
      </w:r>
      <w:r>
        <w:rPr>
          <w:rFonts w:ascii="Arial" w:eastAsia="Arial" w:hAnsi="Arial" w:cs="Arial"/>
          <w:color w:val="000000"/>
          <w:sz w:val="20"/>
        </w:rPr>
        <w:t xml:space="preserve"> doctrine, the burden of proving causation shifts from the plaintiff to the defendant once the former proves that her protected status (in that case, gender) "played a motivating part" in the latter's adverse action, and the defendant "may avoid a finding of liability only [***69]  be proving by a preponderance of the evidence that it would have" performed the action "even if it had not taken" her status "into account." </w:t>
      </w:r>
      <w:bookmarkStart w:id="969" w:name="Bookmark_I5WHY2KW2N1PSD0030000400"/>
      <w:bookmarkEnd w:id="969"/>
      <w:r>
        <w:rPr>
          <w:rFonts w:ascii="Arial" w:eastAsia="Arial" w:hAnsi="Arial" w:cs="Arial"/>
          <w:i/>
          <w:color w:val="000000"/>
          <w:sz w:val="20"/>
        </w:rPr>
        <w:t>Gross</w:t>
      </w:r>
      <w:r>
        <w:rPr>
          <w:rFonts w:ascii="Arial" w:eastAsia="Arial" w:hAnsi="Arial" w:cs="Arial"/>
          <w:color w:val="000000"/>
          <w:sz w:val="20"/>
        </w:rPr>
        <w:t xml:space="preserve">, 557 U.S. at 173-74 (quoting </w:t>
      </w:r>
      <w:bookmarkStart w:id="970" w:name="Bookmark_I5WHY2KW2N1PSD0050000400"/>
      <w:bookmarkEnd w:id="970"/>
      <w:r>
        <w:rPr>
          <w:rFonts w:ascii="Arial" w:eastAsia="Arial" w:hAnsi="Arial" w:cs="Arial"/>
          <w:i/>
          <w:color w:val="000000"/>
          <w:sz w:val="20"/>
        </w:rPr>
        <w:t>Price Waterhouse</w:t>
      </w:r>
      <w:r>
        <w:rPr>
          <w:rFonts w:ascii="Arial" w:eastAsia="Arial" w:hAnsi="Arial" w:cs="Arial"/>
          <w:color w:val="000000"/>
          <w:sz w:val="20"/>
        </w:rPr>
        <w:t xml:space="preserve">, 490 U.S. at 258 (plurality opinion)). </w:t>
      </w:r>
      <w:bookmarkStart w:id="971" w:name="Bookmark_I5WHY2KW2D6NVW0030000400_2"/>
      <w:bookmarkEnd w:id="971"/>
      <w:r>
        <w:rPr>
          <w:rFonts w:ascii="Arial" w:eastAsia="Arial" w:hAnsi="Arial" w:cs="Arial"/>
          <w:color w:val="000000"/>
          <w:sz w:val="20"/>
        </w:rPr>
        <w:t xml:space="preserve">But as the Court clarified in </w:t>
      </w:r>
      <w:r>
        <w:rPr>
          <w:rFonts w:ascii="Arial" w:eastAsia="Arial" w:hAnsi="Arial" w:cs="Arial"/>
          <w:i/>
          <w:color w:val="000000"/>
          <w:sz w:val="20"/>
        </w:rPr>
        <w:t>Burrage, Price Waterhouse</w:t>
      </w:r>
      <w:r>
        <w:rPr>
          <w:rFonts w:ascii="Arial" w:eastAsia="Arial" w:hAnsi="Arial" w:cs="Arial"/>
          <w:color w:val="000000"/>
          <w:sz w:val="20"/>
        </w:rPr>
        <w:t xml:space="preserve"> never held that Title VII required only "motivating factor" causation; the key move in the latter case was to shift the burden of proving "but for" causation to the defendant after the plaintiff made a successful </w:t>
      </w:r>
      <w:r>
        <w:rPr>
          <w:rFonts w:ascii="Arial" w:eastAsia="Arial" w:hAnsi="Arial" w:cs="Arial"/>
          <w:i/>
          <w:color w:val="000000"/>
          <w:sz w:val="20"/>
        </w:rPr>
        <w:t>prima facie</w:t>
      </w:r>
      <w:r>
        <w:rPr>
          <w:rFonts w:ascii="Arial" w:eastAsia="Arial" w:hAnsi="Arial" w:cs="Arial"/>
          <w:color w:val="000000"/>
          <w:sz w:val="20"/>
        </w:rPr>
        <w:t xml:space="preserve"> showing. </w:t>
      </w:r>
      <w:bookmarkStart w:id="972" w:name="Bookmark_I5H1TNT14DS000063S7000N3"/>
      <w:bookmarkStart w:id="973" w:name="Bookmark_I5WHY2KX28T4C20020000400"/>
      <w:bookmarkEnd w:id="972"/>
      <w:bookmarkEnd w:id="973"/>
      <w:r>
        <w:rPr>
          <w:rFonts w:ascii="Arial" w:eastAsia="Arial" w:hAnsi="Arial" w:cs="Arial"/>
          <w:i/>
          <w:color w:val="000000"/>
          <w:sz w:val="20"/>
        </w:rPr>
        <w:t>See</w:t>
      </w:r>
      <w:r>
        <w:rPr>
          <w:rFonts w:ascii="Arial" w:eastAsia="Arial" w:hAnsi="Arial" w:cs="Arial"/>
          <w:color w:val="000000"/>
          <w:sz w:val="20"/>
        </w:rPr>
        <w:t xml:space="preserve"> </w:t>
      </w:r>
      <w:bookmarkStart w:id="974" w:name="Bookmark_I5WHY2KW2D6NVW0020000400"/>
      <w:bookmarkEnd w:id="974"/>
      <w:r>
        <w:rPr>
          <w:rFonts w:ascii="Arial" w:eastAsia="Arial" w:hAnsi="Arial" w:cs="Arial"/>
          <w:color w:val="000000"/>
          <w:sz w:val="20"/>
        </w:rPr>
        <w:t xml:space="preserve">571 U.S. at 213 n.4; </w:t>
      </w:r>
      <w:r>
        <w:rPr>
          <w:rFonts w:ascii="Arial" w:eastAsia="Arial" w:hAnsi="Arial" w:cs="Arial"/>
          <w:i/>
          <w:color w:val="000000"/>
          <w:sz w:val="20"/>
        </w:rPr>
        <w:t xml:space="preserve">see also </w:t>
      </w:r>
      <w:bookmarkStart w:id="975" w:name="Bookmark_I5WHY2KW2D6NVW0040000400"/>
      <w:bookmarkEnd w:id="975"/>
      <w:r>
        <w:rPr>
          <w:rFonts w:ascii="Arial" w:eastAsia="Arial" w:hAnsi="Arial" w:cs="Arial"/>
          <w:i/>
          <w:color w:val="000000"/>
          <w:sz w:val="20"/>
        </w:rPr>
        <w:t>Gross</w:t>
      </w:r>
      <w:r>
        <w:rPr>
          <w:rFonts w:ascii="Arial" w:eastAsia="Arial" w:hAnsi="Arial" w:cs="Arial"/>
          <w:color w:val="000000"/>
          <w:sz w:val="20"/>
        </w:rPr>
        <w:t xml:space="preserve">, 557 U.S. at 173-74. </w:t>
      </w:r>
      <w:bookmarkStart w:id="976" w:name="Bookmark_I5WHY2KX28T4C20020000400_2"/>
      <w:bookmarkEnd w:id="976"/>
      <w:r>
        <w:rPr>
          <w:rFonts w:ascii="Arial" w:eastAsia="Arial" w:hAnsi="Arial" w:cs="Arial"/>
          <w:color w:val="000000"/>
          <w:sz w:val="20"/>
        </w:rPr>
        <w:t xml:space="preserve">"But for" causation remained the standard for Title VII claims until Congress expressly adopted the "motivating factor" test in the Civil Rights Act of 1991. </w:t>
      </w:r>
      <w:bookmarkStart w:id="977" w:name="Bookmark_I5H1TNT17FB000063S7000SC"/>
      <w:bookmarkStart w:id="978" w:name="Bookmark_I5WHY2KX28T4C20040000400"/>
      <w:bookmarkStart w:id="979" w:name="Bookmark_I5WHY2KX28T4C20010000400"/>
      <w:bookmarkEnd w:id="977"/>
      <w:bookmarkEnd w:id="978"/>
      <w:bookmarkEnd w:id="979"/>
      <w:r>
        <w:rPr>
          <w:rFonts w:ascii="Arial" w:eastAsia="Arial" w:hAnsi="Arial" w:cs="Arial"/>
          <w:i/>
          <w:color w:val="000000"/>
          <w:sz w:val="20"/>
        </w:rPr>
        <w:t>Burrage</w:t>
      </w:r>
      <w:r>
        <w:rPr>
          <w:rFonts w:ascii="Arial" w:eastAsia="Arial" w:hAnsi="Arial" w:cs="Arial"/>
          <w:color w:val="000000"/>
          <w:sz w:val="20"/>
        </w:rPr>
        <w:t xml:space="preserve">, 571 U.S. at 213 n.4 (citing 42 U.S.C. § 2000e-2(m)). </w:t>
      </w:r>
      <w:bookmarkStart w:id="980" w:name="Bookmark_I5WHY2KX28T4C20040000400_2"/>
      <w:bookmarkEnd w:id="980"/>
      <w:r>
        <w:rPr>
          <w:rFonts w:ascii="Arial" w:eastAsia="Arial" w:hAnsi="Arial" w:cs="Arial"/>
          <w:color w:val="000000"/>
          <w:sz w:val="20"/>
        </w:rPr>
        <w:t xml:space="preserve">The Supreme Court also noted that courts have not yet found motivating factors </w:t>
      </w:r>
      <w:r>
        <w:rPr>
          <w:rFonts w:ascii="Arial" w:eastAsia="Arial" w:hAnsi="Arial" w:cs="Arial"/>
          <w:i/>
          <w:color w:val="000000"/>
          <w:sz w:val="20"/>
        </w:rPr>
        <w:t>simpliciter</w:t>
      </w:r>
      <w:r>
        <w:rPr>
          <w:rFonts w:ascii="Arial" w:eastAsia="Arial" w:hAnsi="Arial" w:cs="Arial"/>
          <w:color w:val="000000"/>
          <w:sz w:val="20"/>
        </w:rPr>
        <w:t xml:space="preserve"> to be sufficient in practice; in cases where such a factor was identified, it either was an "independently effective" cause among other sufficient causes or would satisfy the "but for" test in any event. </w:t>
      </w:r>
      <w:bookmarkStart w:id="981" w:name="Bookmark_I5WHY2KX28T4C20030000400"/>
      <w:bookmarkEnd w:id="981"/>
      <w:r>
        <w:rPr>
          <w:rFonts w:ascii="Arial" w:eastAsia="Arial" w:hAnsi="Arial" w:cs="Arial"/>
          <w:i/>
          <w:color w:val="000000"/>
          <w:sz w:val="20"/>
        </w:rPr>
        <w:t>Id.</w:t>
      </w:r>
      <w:r>
        <w:rPr>
          <w:rFonts w:ascii="Arial" w:eastAsia="Arial" w:hAnsi="Arial" w:cs="Arial"/>
          <w:color w:val="000000"/>
          <w:sz w:val="20"/>
        </w:rPr>
        <w:t xml:space="preserve"> at 215-16 (citation omitted).</w:t>
      </w:r>
    </w:p>
    <w:p w:rsidR="00E456CD" w:rsidRDefault="00000000">
      <w:pPr>
        <w:pStyle w:val="Normal3"/>
        <w:widowControl w:val="0"/>
        <w:spacing w:before="200" w:line="260" w:lineRule="atLeast"/>
        <w:jc w:val="both"/>
      </w:pPr>
      <w:bookmarkStart w:id="982" w:name="Bookmark_para_110"/>
      <w:bookmarkStart w:id="983" w:name="Bookmark_I5H1TNT1B6T000063S700015"/>
      <w:bookmarkStart w:id="984" w:name="Bookmark_I5H1TNT1CNR000063S700016"/>
      <w:bookmarkStart w:id="985" w:name="Bookmark_I5H1TNT1F4P000063S700017"/>
      <w:bookmarkStart w:id="986" w:name="Bookmark_I5WHY2KX2HM6XH0010000400"/>
      <w:bookmarkStart w:id="987" w:name="Bookmark_I5H1TNT414W000063S7000V9"/>
      <w:bookmarkStart w:id="988" w:name="Bookmark_I5WHY2KX2HM6XK0020000400"/>
      <w:bookmarkEnd w:id="982"/>
      <w:bookmarkEnd w:id="983"/>
      <w:bookmarkEnd w:id="984"/>
      <w:bookmarkEnd w:id="985"/>
      <w:bookmarkEnd w:id="986"/>
      <w:bookmarkEnd w:id="987"/>
      <w:bookmarkEnd w:id="988"/>
      <w:r>
        <w:rPr>
          <w:rFonts w:ascii="Arial" w:eastAsia="Arial" w:hAnsi="Arial" w:cs="Arial"/>
          <w:color w:val="000000"/>
          <w:sz w:val="20"/>
        </w:rPr>
        <w:t xml:space="preserve">This is not to say that Congress is forbidden from mandating only "motivating factor" causation. </w:t>
      </w:r>
      <w:r>
        <w:rPr>
          <w:rFonts w:ascii="Arial" w:eastAsia="Arial" w:hAnsi="Arial" w:cs="Arial"/>
          <w:i/>
          <w:color w:val="000000"/>
          <w:sz w:val="20"/>
        </w:rPr>
        <w:t xml:space="preserve">See, e.g., </w:t>
      </w:r>
      <w:bookmarkStart w:id="989" w:name="Bookmark_I5WHY2KX28T4C20050000400"/>
      <w:bookmarkEnd w:id="989"/>
      <w:r>
        <w:rPr>
          <w:rFonts w:ascii="Arial" w:eastAsia="Arial" w:hAnsi="Arial" w:cs="Arial"/>
          <w:i/>
          <w:color w:val="000000"/>
          <w:sz w:val="20"/>
        </w:rPr>
        <w:t>In re U.S. Office of Pers. Mgmt. Data Sec. Breach Litig.</w:t>
      </w:r>
      <w:r>
        <w:rPr>
          <w:rFonts w:ascii="Arial" w:eastAsia="Arial" w:hAnsi="Arial" w:cs="Arial"/>
          <w:color w:val="000000"/>
          <w:sz w:val="20"/>
        </w:rPr>
        <w:t xml:space="preserve">, No. 17-5217, 928 F.3d 42, 2019 U.S. App. LEXIS 18609, 2019 WL 2552955, at *15 (D.C. Cir. June 21, 2019) (per curiam); </w:t>
      </w:r>
      <w:bookmarkStart w:id="990" w:name="Bookmark_I5WHY2KX2HM6XH0020000400"/>
      <w:bookmarkEnd w:id="990"/>
      <w:r>
        <w:rPr>
          <w:rFonts w:ascii="Arial" w:eastAsia="Arial" w:hAnsi="Arial" w:cs="Arial"/>
          <w:i/>
          <w:color w:val="000000"/>
          <w:sz w:val="20"/>
        </w:rPr>
        <w:t>Ford</w:t>
      </w:r>
      <w:r>
        <w:rPr>
          <w:rFonts w:ascii="Arial" w:eastAsia="Arial" w:hAnsi="Arial" w:cs="Arial"/>
          <w:color w:val="000000"/>
          <w:sz w:val="20"/>
        </w:rPr>
        <w:t xml:space="preserve">, 629 F.3d at 206; </w:t>
      </w:r>
      <w:r>
        <w:rPr>
          <w:rFonts w:ascii="Arial" w:eastAsia="Arial" w:hAnsi="Arial" w:cs="Arial"/>
          <w:i/>
          <w:color w:val="000000"/>
          <w:sz w:val="20"/>
        </w:rPr>
        <w:t xml:space="preserve">cf. </w:t>
      </w:r>
      <w:bookmarkStart w:id="991" w:name="Bookmark_I5WHY2KX2HM6XH0040000400"/>
      <w:bookmarkEnd w:id="991"/>
      <w:r>
        <w:rPr>
          <w:rFonts w:ascii="Arial" w:eastAsia="Arial" w:hAnsi="Arial" w:cs="Arial"/>
          <w:i/>
          <w:color w:val="000000"/>
          <w:sz w:val="20"/>
        </w:rPr>
        <w:t>Burrage</w:t>
      </w:r>
      <w:r>
        <w:rPr>
          <w:rFonts w:ascii="Arial" w:eastAsia="Arial" w:hAnsi="Arial" w:cs="Arial"/>
          <w:color w:val="000000"/>
          <w:sz w:val="20"/>
        </w:rPr>
        <w:t xml:space="preserve">, 571 U.S. at 214 (noting the "undoubted reality that courts have not </w:t>
      </w:r>
      <w:r>
        <w:rPr>
          <w:rFonts w:ascii="Arial" w:eastAsia="Arial" w:hAnsi="Arial" w:cs="Arial"/>
          <w:i/>
          <w:color w:val="000000"/>
          <w:sz w:val="20"/>
        </w:rPr>
        <w:t>always</w:t>
      </w:r>
      <w:r>
        <w:rPr>
          <w:rFonts w:ascii="Arial" w:eastAsia="Arial" w:hAnsi="Arial" w:cs="Arial"/>
          <w:color w:val="000000"/>
          <w:sz w:val="20"/>
        </w:rPr>
        <w:t xml:space="preserve"> required strict but-for causality"). But given [***70]  the plain meaning of Title II's statutory language and </w:t>
      </w:r>
      <w:bookmarkStart w:id="992" w:name="Bookmark_I5WHY2KX2HM6XK0010000400"/>
      <w:bookmarkEnd w:id="992"/>
      <w:r>
        <w:rPr>
          <w:rFonts w:ascii="Arial" w:eastAsia="Arial" w:hAnsi="Arial" w:cs="Arial"/>
          <w:i/>
          <w:color w:val="000000"/>
          <w:sz w:val="20"/>
        </w:rPr>
        <w:t>Burrage</w:t>
      </w:r>
      <w:r>
        <w:rPr>
          <w:rFonts w:ascii="Arial" w:eastAsia="Arial" w:hAnsi="Arial" w:cs="Arial"/>
          <w:color w:val="000000"/>
          <w:sz w:val="20"/>
        </w:rPr>
        <w:t xml:space="preserve">'s illumination of </w:t>
      </w:r>
      <w:r>
        <w:rPr>
          <w:rFonts w:ascii="Arial" w:eastAsia="Arial" w:hAnsi="Arial" w:cs="Arial"/>
          <w:i/>
          <w:color w:val="000000"/>
          <w:sz w:val="20"/>
        </w:rPr>
        <w:t>Price Waterhouse</w:t>
      </w:r>
      <w:r>
        <w:rPr>
          <w:rFonts w:ascii="Arial" w:eastAsia="Arial" w:hAnsi="Arial" w:cs="Arial"/>
          <w:color w:val="000000"/>
          <w:sz w:val="20"/>
        </w:rPr>
        <w:t>, I am compelled to conclude that Congress wanted "but for" causation here.</w:t>
      </w:r>
    </w:p>
    <w:p w:rsidR="00E456CD" w:rsidRDefault="00000000">
      <w:pPr>
        <w:pStyle w:val="Normal3"/>
        <w:widowControl w:val="0"/>
        <w:spacing w:before="200" w:line="260" w:lineRule="atLeast"/>
        <w:jc w:val="both"/>
      </w:pPr>
      <w:bookmarkStart w:id="993" w:name="Bookmark_para_111"/>
      <w:bookmarkEnd w:id="993"/>
      <w:r>
        <w:rPr>
          <w:rFonts w:ascii="Arial" w:eastAsia="Arial" w:hAnsi="Arial" w:cs="Arial"/>
          <w:color w:val="000000"/>
          <w:sz w:val="20"/>
        </w:rPr>
        <w:t>But which side must prove the existence (or lack) of "but for" causation? The statutory language and precedents do not plainly lead to an answer.</w:t>
      </w:r>
    </w:p>
    <w:p w:rsidR="00E456CD" w:rsidRDefault="00000000">
      <w:pPr>
        <w:pStyle w:val="Normal3"/>
        <w:widowControl w:val="0"/>
        <w:spacing w:before="200" w:line="260" w:lineRule="atLeast"/>
        <w:jc w:val="both"/>
      </w:pPr>
      <w:bookmarkStart w:id="994" w:name="Bookmark_para_112"/>
      <w:bookmarkStart w:id="995" w:name="Bookmark_I5H1TNT1GJ2000063S7000N9"/>
      <w:bookmarkStart w:id="996" w:name="Bookmark_I5H1TNT1J0J000063S7000SK"/>
      <w:bookmarkStart w:id="997" w:name="Bookmark_I5WHY2KX2HM6XK0040000400"/>
      <w:bookmarkEnd w:id="994"/>
      <w:bookmarkEnd w:id="995"/>
      <w:bookmarkEnd w:id="996"/>
      <w:bookmarkEnd w:id="997"/>
      <w:r>
        <w:rPr>
          <w:rFonts w:ascii="Arial" w:eastAsia="Arial" w:hAnsi="Arial" w:cs="Arial"/>
          <w:color w:val="000000"/>
          <w:sz w:val="20"/>
        </w:rPr>
        <w:t xml:space="preserve">As </w:t>
      </w:r>
      <w:r>
        <w:rPr>
          <w:rFonts w:ascii="Arial" w:eastAsia="Arial" w:hAnsi="Arial" w:cs="Arial"/>
          <w:i/>
          <w:color w:val="000000"/>
          <w:sz w:val="20"/>
        </w:rPr>
        <w:t>Gross</w:t>
      </w:r>
      <w:r>
        <w:rPr>
          <w:rFonts w:ascii="Arial" w:eastAsia="Arial" w:hAnsi="Arial" w:cs="Arial"/>
          <w:color w:val="000000"/>
          <w:sz w:val="20"/>
        </w:rPr>
        <w:t xml:space="preserve"> made clear, when "the statutory text is 'silent on the allocation of the burden of persuasion,'" courts must "'begin with the ordinary default rule that plaintiffs bear the risk of failing to prove their claims.'" </w:t>
      </w:r>
      <w:bookmarkStart w:id="998" w:name="Bookmark_I5WHY2KX2HM6XK0030000400"/>
      <w:bookmarkEnd w:id="998"/>
      <w:r>
        <w:rPr>
          <w:rFonts w:ascii="Arial" w:eastAsia="Arial" w:hAnsi="Arial" w:cs="Arial"/>
          <w:color w:val="000000"/>
          <w:sz w:val="20"/>
        </w:rPr>
        <w:t xml:space="preserve">557 U.S. at 177 (quoting </w:t>
      </w:r>
      <w:bookmarkStart w:id="999" w:name="Bookmark_I5WHY2KX2HM6XK0050000400"/>
      <w:bookmarkEnd w:id="999"/>
      <w:r>
        <w:rPr>
          <w:rFonts w:ascii="Arial" w:eastAsia="Arial" w:hAnsi="Arial" w:cs="Arial"/>
          <w:i/>
          <w:color w:val="000000"/>
          <w:sz w:val="20"/>
        </w:rPr>
        <w:t>Schaffer ex rel. Schaffer v. Weast</w:t>
      </w:r>
      <w:r>
        <w:rPr>
          <w:rFonts w:ascii="Arial" w:eastAsia="Arial" w:hAnsi="Arial" w:cs="Arial"/>
          <w:color w:val="000000"/>
          <w:sz w:val="20"/>
        </w:rPr>
        <w:t xml:space="preserve">, 546 U.S. 49, 56, 126 S. Ct. 528, 163 L. Ed. 2d 387 (2005)). </w:t>
      </w:r>
      <w:bookmarkStart w:id="1000" w:name="Bookmark_I5H1TNT1KBT000063S7000SM"/>
      <w:bookmarkStart w:id="1001" w:name="Bookmark_I5WHY2KX2D6NW00030000400"/>
      <w:bookmarkEnd w:id="1000"/>
      <w:bookmarkEnd w:id="1001"/>
      <w:r>
        <w:rPr>
          <w:rFonts w:ascii="Arial" w:eastAsia="Arial" w:hAnsi="Arial" w:cs="Arial"/>
          <w:color w:val="000000"/>
          <w:sz w:val="20"/>
        </w:rPr>
        <w:t xml:space="preserve">Title II says nothing about burden of proof, which implicates the default rule that the plaintiffs bears the burden of demonstrating "but for" causation. The </w:t>
      </w:r>
      <w:r>
        <w:rPr>
          <w:rFonts w:ascii="Arial" w:eastAsia="Arial" w:hAnsi="Arial" w:cs="Arial"/>
          <w:i/>
          <w:color w:val="000000"/>
          <w:sz w:val="20"/>
        </w:rPr>
        <w:t>Gross</w:t>
      </w:r>
      <w:r>
        <w:rPr>
          <w:rFonts w:ascii="Arial" w:eastAsia="Arial" w:hAnsi="Arial" w:cs="Arial"/>
          <w:color w:val="000000"/>
          <w:sz w:val="20"/>
        </w:rPr>
        <w:t xml:space="preserve"> Court also suggested that the burden-shifting approach in </w:t>
      </w:r>
      <w:r>
        <w:rPr>
          <w:rFonts w:ascii="Arial" w:eastAsia="Arial" w:hAnsi="Arial" w:cs="Arial"/>
          <w:i/>
          <w:color w:val="000000"/>
          <w:sz w:val="20"/>
        </w:rPr>
        <w:t>Price Waterhouse</w:t>
      </w:r>
      <w:r>
        <w:rPr>
          <w:rFonts w:ascii="Arial" w:eastAsia="Arial" w:hAnsi="Arial" w:cs="Arial"/>
          <w:color w:val="000000"/>
          <w:sz w:val="20"/>
        </w:rPr>
        <w:t xml:space="preserve"> is "difficult to apply," and that the "perceivable benefit" of applying the approach to other statutory contexts may be "eliminated" by the practical problems. </w:t>
      </w:r>
      <w:bookmarkStart w:id="1002" w:name="Bookmark_I5WHY2KX2D6NW00030000400_2"/>
      <w:bookmarkStart w:id="1003" w:name="Bookmark_I5WHY2KX2D6NW00020000400"/>
      <w:bookmarkEnd w:id="1002"/>
      <w:bookmarkEnd w:id="1003"/>
      <w:r>
        <w:rPr>
          <w:rFonts w:ascii="Arial" w:eastAsia="Arial" w:hAnsi="Arial" w:cs="Arial"/>
          <w:i/>
          <w:color w:val="000000"/>
          <w:sz w:val="20"/>
        </w:rPr>
        <w:t>Id.</w:t>
      </w:r>
      <w:r>
        <w:rPr>
          <w:rFonts w:ascii="Arial" w:eastAsia="Arial" w:hAnsi="Arial" w:cs="Arial"/>
          <w:color w:val="000000"/>
          <w:sz w:val="20"/>
        </w:rPr>
        <w:t xml:space="preserve"> at 179.</w:t>
      </w:r>
    </w:p>
    <w:p w:rsidR="00E456CD" w:rsidRDefault="00000000">
      <w:pPr>
        <w:pStyle w:val="Normal3"/>
        <w:widowControl w:val="0"/>
        <w:spacing w:before="200" w:line="260" w:lineRule="atLeast"/>
        <w:jc w:val="both"/>
      </w:pPr>
      <w:bookmarkStart w:id="1004" w:name="Bookmark_para_113"/>
      <w:bookmarkEnd w:id="1004"/>
      <w:r>
        <w:rPr>
          <w:rFonts w:ascii="Arial" w:eastAsia="Arial" w:hAnsi="Arial" w:cs="Arial"/>
          <w:color w:val="000000"/>
          <w:sz w:val="20"/>
        </w:rPr>
        <w:t xml:space="preserve"> [*1100]  </w:t>
      </w:r>
      <w:bookmarkStart w:id="1005" w:name="Bookmark_I5H1TNT3YSY000063S7000V8"/>
      <w:bookmarkStart w:id="1006" w:name="Bookmark_I5WHY2KX2D6NW00050000400"/>
      <w:bookmarkStart w:id="1007" w:name="Bookmark_I5H1TNT1P5P000063S70001C"/>
      <w:bookmarkStart w:id="1008" w:name="Bookmark_I5H1TNT1RK8000063S70001D"/>
      <w:bookmarkStart w:id="1009" w:name="Bookmark_I5H1TNT1T0M000063S7000NG"/>
      <w:bookmarkStart w:id="1010" w:name="Bookmark_I5WHY2KX2SF7R00020000400"/>
      <w:bookmarkEnd w:id="1005"/>
      <w:bookmarkEnd w:id="1006"/>
      <w:bookmarkEnd w:id="1007"/>
      <w:bookmarkEnd w:id="1008"/>
      <w:bookmarkEnd w:id="1009"/>
      <w:bookmarkEnd w:id="1010"/>
      <w:r>
        <w:rPr>
          <w:rFonts w:ascii="Arial" w:eastAsia="Arial" w:hAnsi="Arial" w:cs="Arial"/>
          <w:color w:val="000000"/>
          <w:sz w:val="20"/>
        </w:rPr>
        <w:t xml:space="preserve"> [**185]  Still, certain cues suggest that burden-shifting akin to </w:t>
      </w:r>
      <w:bookmarkStart w:id="1011" w:name="Bookmark_I5WHY2KX2D6NW00040000400"/>
      <w:bookmarkEnd w:id="1011"/>
      <w:r>
        <w:rPr>
          <w:rFonts w:ascii="Arial" w:eastAsia="Arial" w:hAnsi="Arial" w:cs="Arial"/>
          <w:i/>
          <w:color w:val="000000"/>
          <w:sz w:val="20"/>
        </w:rPr>
        <w:t>Price Waterhouse</w:t>
      </w:r>
      <w:r>
        <w:rPr>
          <w:rFonts w:ascii="Arial" w:eastAsia="Arial" w:hAnsi="Arial" w:cs="Arial"/>
          <w:color w:val="000000"/>
          <w:sz w:val="20"/>
        </w:rPr>
        <w:t xml:space="preserve"> may occur here. The parallel Rehabilitation Act provision expressly bans discrimination "</w:t>
      </w:r>
      <w:r>
        <w:rPr>
          <w:rFonts w:ascii="Arial" w:eastAsia="Arial" w:hAnsi="Arial" w:cs="Arial"/>
          <w:i/>
          <w:color w:val="000000"/>
          <w:sz w:val="20"/>
        </w:rPr>
        <w:t>solely</w:t>
      </w:r>
      <w:r>
        <w:rPr>
          <w:rFonts w:ascii="Arial" w:eastAsia="Arial" w:hAnsi="Arial" w:cs="Arial"/>
          <w:color w:val="000000"/>
          <w:sz w:val="20"/>
        </w:rPr>
        <w:t xml:space="preserve"> by reason of" disability. 29 U.S.C. § 794(a). The omission of the word "solely" in Title II is a [***71]  reasonable signal that Congress wanted to adopt something like </w:t>
      </w:r>
      <w:r>
        <w:rPr>
          <w:rFonts w:ascii="Arial" w:eastAsia="Arial" w:hAnsi="Arial" w:cs="Arial"/>
          <w:i/>
          <w:color w:val="000000"/>
          <w:sz w:val="20"/>
        </w:rPr>
        <w:t>Price Waterhouse</w:t>
      </w:r>
      <w:r>
        <w:rPr>
          <w:rFonts w:ascii="Arial" w:eastAsia="Arial" w:hAnsi="Arial" w:cs="Arial"/>
          <w:color w:val="000000"/>
          <w:sz w:val="20"/>
        </w:rPr>
        <w:t xml:space="preserve"> burden-shifting. </w:t>
      </w:r>
      <w:bookmarkStart w:id="1012" w:name="Bookmark_I5H1TNT1VH9000063S7000ST"/>
      <w:bookmarkStart w:id="1013" w:name="Bookmark_I5WHY2KX2D6NW10030000400"/>
      <w:bookmarkEnd w:id="1012"/>
      <w:bookmarkEnd w:id="1013"/>
      <w:r>
        <w:rPr>
          <w:rFonts w:ascii="Arial" w:eastAsia="Arial" w:hAnsi="Arial" w:cs="Arial"/>
          <w:i/>
          <w:color w:val="000000"/>
          <w:sz w:val="20"/>
        </w:rPr>
        <w:t xml:space="preserve">See </w:t>
      </w:r>
      <w:bookmarkStart w:id="1014" w:name="Bookmark_I5WHY2KX2SF7R00010000400"/>
      <w:bookmarkEnd w:id="1014"/>
      <w:r>
        <w:rPr>
          <w:rFonts w:ascii="Arial" w:eastAsia="Arial" w:hAnsi="Arial" w:cs="Arial"/>
          <w:i/>
          <w:color w:val="000000"/>
          <w:sz w:val="20"/>
        </w:rPr>
        <w:t>Gross</w:t>
      </w:r>
      <w:r>
        <w:rPr>
          <w:rFonts w:ascii="Arial" w:eastAsia="Arial" w:hAnsi="Arial" w:cs="Arial"/>
          <w:color w:val="000000"/>
          <w:sz w:val="20"/>
        </w:rPr>
        <w:t xml:space="preserve">, 557 U.S. at 183 n.4 (Breyer, J., dissenting); </w:t>
      </w:r>
      <w:r>
        <w:rPr>
          <w:rFonts w:ascii="Arial" w:eastAsia="Arial" w:hAnsi="Arial" w:cs="Arial"/>
          <w:i/>
          <w:color w:val="000000"/>
          <w:sz w:val="20"/>
        </w:rPr>
        <w:t xml:space="preserve">see also </w:t>
      </w:r>
      <w:bookmarkStart w:id="1015" w:name="Bookmark_I5WHY2KX2SF7R00030000400"/>
      <w:bookmarkEnd w:id="1015"/>
      <w:r>
        <w:rPr>
          <w:rFonts w:ascii="Arial" w:eastAsia="Arial" w:hAnsi="Arial" w:cs="Arial"/>
          <w:i/>
          <w:color w:val="000000"/>
          <w:sz w:val="20"/>
        </w:rPr>
        <w:t>Price Waterhouse</w:t>
      </w:r>
      <w:r>
        <w:rPr>
          <w:rFonts w:ascii="Arial" w:eastAsia="Arial" w:hAnsi="Arial" w:cs="Arial"/>
          <w:color w:val="000000"/>
          <w:sz w:val="20"/>
        </w:rPr>
        <w:t xml:space="preserve">, 490 U.S. at 241 &amp; n.7 (plurality opinion); </w:t>
      </w:r>
      <w:bookmarkStart w:id="1016" w:name="Bookmark_I5WHY2KX2SF7R00050000400"/>
      <w:bookmarkEnd w:id="1016"/>
      <w:r>
        <w:rPr>
          <w:rFonts w:ascii="Arial" w:eastAsia="Arial" w:hAnsi="Arial" w:cs="Arial"/>
          <w:i/>
          <w:color w:val="000000"/>
          <w:sz w:val="20"/>
        </w:rPr>
        <w:t>id.</w:t>
      </w:r>
      <w:r>
        <w:rPr>
          <w:rFonts w:ascii="Arial" w:eastAsia="Arial" w:hAnsi="Arial" w:cs="Arial"/>
          <w:color w:val="000000"/>
          <w:sz w:val="20"/>
        </w:rPr>
        <w:t xml:space="preserve"> at 258-59, 268-69 (White, J., concurring in the judgment). </w:t>
      </w:r>
      <w:bookmarkStart w:id="1017" w:name="Bookmark_I5WHY2KX2D6NW10030000400_2"/>
      <w:bookmarkStart w:id="1018" w:name="Bookmark_I5H1TNT1Y7N000063S7000SW"/>
      <w:bookmarkStart w:id="1019" w:name="Bookmark_I5WHY2KX2D6NW10050000400"/>
      <w:bookmarkEnd w:id="1017"/>
      <w:bookmarkEnd w:id="1018"/>
      <w:bookmarkEnd w:id="1019"/>
      <w:r>
        <w:rPr>
          <w:rFonts w:ascii="Arial" w:eastAsia="Arial" w:hAnsi="Arial" w:cs="Arial"/>
          <w:color w:val="000000"/>
          <w:sz w:val="20"/>
        </w:rPr>
        <w:t xml:space="preserve">In addition, one can distinguish this case from </w:t>
      </w:r>
      <w:r>
        <w:rPr>
          <w:rFonts w:ascii="Arial" w:eastAsia="Arial" w:hAnsi="Arial" w:cs="Arial"/>
          <w:i/>
          <w:color w:val="000000"/>
          <w:sz w:val="20"/>
        </w:rPr>
        <w:t>Gross</w:t>
      </w:r>
      <w:r>
        <w:rPr>
          <w:rFonts w:ascii="Arial" w:eastAsia="Arial" w:hAnsi="Arial" w:cs="Arial"/>
          <w:color w:val="000000"/>
          <w:sz w:val="20"/>
        </w:rPr>
        <w:t xml:space="preserve">, which required the plaintiff to establish "but for" causation for claims under the Age Discrimination in Employment Act of 1967 (ADEA), Pub. L. No. 90-202, 81 Stat. 602 (codified as amended at 29 U.S.C. § 621 </w:t>
      </w:r>
      <w:r>
        <w:rPr>
          <w:rFonts w:ascii="Arial" w:eastAsia="Arial" w:hAnsi="Arial" w:cs="Arial"/>
          <w:i/>
          <w:color w:val="000000"/>
          <w:sz w:val="20"/>
        </w:rPr>
        <w:t>et seq.</w:t>
      </w:r>
      <w:r>
        <w:rPr>
          <w:rFonts w:ascii="Arial" w:eastAsia="Arial" w:hAnsi="Arial" w:cs="Arial"/>
          <w:color w:val="000000"/>
          <w:sz w:val="20"/>
        </w:rPr>
        <w:t xml:space="preserve">). </w:t>
      </w:r>
      <w:r>
        <w:rPr>
          <w:rFonts w:ascii="Arial" w:eastAsia="Arial" w:hAnsi="Arial" w:cs="Arial"/>
          <w:i/>
          <w:color w:val="000000"/>
          <w:sz w:val="20"/>
        </w:rPr>
        <w:t>Gross</w:t>
      </w:r>
      <w:r>
        <w:rPr>
          <w:rFonts w:ascii="Arial" w:eastAsia="Arial" w:hAnsi="Arial" w:cs="Arial"/>
          <w:color w:val="000000"/>
          <w:sz w:val="20"/>
        </w:rPr>
        <w:t xml:space="preserve"> emphasized that the Civil Rights Act of 1991 adopted a modified </w:t>
      </w:r>
      <w:r>
        <w:rPr>
          <w:rFonts w:ascii="Arial" w:eastAsia="Arial" w:hAnsi="Arial" w:cs="Arial"/>
          <w:i/>
          <w:color w:val="000000"/>
          <w:sz w:val="20"/>
        </w:rPr>
        <w:t>Price Waterhouse</w:t>
      </w:r>
      <w:r>
        <w:rPr>
          <w:rFonts w:ascii="Arial" w:eastAsia="Arial" w:hAnsi="Arial" w:cs="Arial"/>
          <w:color w:val="000000"/>
          <w:sz w:val="20"/>
        </w:rPr>
        <w:t xml:space="preserve"> burden-shifting regime for Title VII, amended the ADEA, and declined to create such a regime for the ADEA. </w:t>
      </w:r>
      <w:r>
        <w:rPr>
          <w:rFonts w:ascii="Arial" w:eastAsia="Arial" w:hAnsi="Arial" w:cs="Arial"/>
          <w:i/>
          <w:color w:val="000000"/>
          <w:sz w:val="20"/>
        </w:rPr>
        <w:t>See</w:t>
      </w:r>
      <w:r>
        <w:rPr>
          <w:rFonts w:ascii="Arial" w:eastAsia="Arial" w:hAnsi="Arial" w:cs="Arial"/>
          <w:color w:val="000000"/>
          <w:sz w:val="20"/>
        </w:rPr>
        <w:t xml:space="preserve"> </w:t>
      </w:r>
      <w:bookmarkStart w:id="1020" w:name="Bookmark_I5WHY2KX2D6NW10020000400"/>
      <w:bookmarkEnd w:id="1020"/>
      <w:r>
        <w:rPr>
          <w:rFonts w:ascii="Arial" w:eastAsia="Arial" w:hAnsi="Arial" w:cs="Arial"/>
          <w:color w:val="000000"/>
          <w:sz w:val="20"/>
        </w:rPr>
        <w:t xml:space="preserve">557 U.S. at 174-75. </w:t>
      </w:r>
      <w:bookmarkStart w:id="1021" w:name="Bookmark_I5WHY2KX2D6NW10050000400_2"/>
      <w:bookmarkEnd w:id="1021"/>
      <w:r>
        <w:rPr>
          <w:rFonts w:ascii="Arial" w:eastAsia="Arial" w:hAnsi="Arial" w:cs="Arial"/>
          <w:color w:val="000000"/>
          <w:sz w:val="20"/>
        </w:rPr>
        <w:t xml:space="preserve">The Supreme Court interpreted the omission as an intentional decision by Congress to forego the </w:t>
      </w:r>
      <w:r>
        <w:rPr>
          <w:rFonts w:ascii="Arial" w:eastAsia="Arial" w:hAnsi="Arial" w:cs="Arial"/>
          <w:i/>
          <w:color w:val="000000"/>
          <w:sz w:val="20"/>
        </w:rPr>
        <w:t>Price Waterhouse</w:t>
      </w:r>
      <w:r>
        <w:rPr>
          <w:rFonts w:ascii="Arial" w:eastAsia="Arial" w:hAnsi="Arial" w:cs="Arial"/>
          <w:color w:val="000000"/>
          <w:sz w:val="20"/>
        </w:rPr>
        <w:t xml:space="preserve"> framework for the ADEA. </w:t>
      </w:r>
      <w:r>
        <w:rPr>
          <w:rFonts w:ascii="Arial" w:eastAsia="Arial" w:hAnsi="Arial" w:cs="Arial"/>
          <w:i/>
          <w:color w:val="000000"/>
          <w:sz w:val="20"/>
        </w:rPr>
        <w:t xml:space="preserve">See </w:t>
      </w:r>
      <w:bookmarkStart w:id="1022" w:name="Bookmark_I5WHY2KX2D6NW10040000400"/>
      <w:bookmarkEnd w:id="1022"/>
      <w:r>
        <w:rPr>
          <w:rFonts w:ascii="Arial" w:eastAsia="Arial" w:hAnsi="Arial" w:cs="Arial"/>
          <w:i/>
          <w:color w:val="000000"/>
          <w:sz w:val="20"/>
        </w:rPr>
        <w:t>id.</w:t>
      </w:r>
      <w:r>
        <w:rPr>
          <w:rFonts w:ascii="Arial" w:eastAsia="Arial" w:hAnsi="Arial" w:cs="Arial"/>
          <w:color w:val="000000"/>
          <w:sz w:val="20"/>
        </w:rPr>
        <w:t xml:space="preserve"> at 174-75, 177 n.3. But the 1991 statute never touched Title II, and so the reasoning in </w:t>
      </w:r>
      <w:r>
        <w:rPr>
          <w:rFonts w:ascii="Arial" w:eastAsia="Arial" w:hAnsi="Arial" w:cs="Arial"/>
          <w:i/>
          <w:color w:val="000000"/>
          <w:sz w:val="20"/>
        </w:rPr>
        <w:t>Gross</w:t>
      </w:r>
      <w:r>
        <w:rPr>
          <w:rFonts w:ascii="Arial" w:eastAsia="Arial" w:hAnsi="Arial" w:cs="Arial"/>
          <w:color w:val="000000"/>
          <w:sz w:val="20"/>
        </w:rPr>
        <w:t xml:space="preserve"> does not squarely apply.</w:t>
      </w:r>
    </w:p>
    <w:p w:rsidR="00E456CD" w:rsidRDefault="00000000">
      <w:pPr>
        <w:pStyle w:val="Normal3"/>
        <w:widowControl w:val="0"/>
        <w:spacing w:before="200" w:line="260" w:lineRule="atLeast"/>
        <w:jc w:val="both"/>
      </w:pPr>
      <w:bookmarkStart w:id="1023" w:name="Bookmark_para_114"/>
      <w:bookmarkStart w:id="1024" w:name="Bookmark_I5H1TNT224P000063S70001K"/>
      <w:bookmarkStart w:id="1025" w:name="Bookmark_I5H1TNT23HH000063S70001M"/>
      <w:bookmarkStart w:id="1026" w:name="Bookmark_I5H1TNT254N000063S70001N"/>
      <w:bookmarkStart w:id="1027" w:name="Bookmark_I5H1TNT26K7000063S7000NP"/>
      <w:bookmarkStart w:id="1028" w:name="Bookmark_I5WHY2KX2HM6XN0020000400"/>
      <w:bookmarkEnd w:id="1023"/>
      <w:bookmarkEnd w:id="1024"/>
      <w:bookmarkEnd w:id="1025"/>
      <w:bookmarkEnd w:id="1026"/>
      <w:bookmarkEnd w:id="1027"/>
      <w:bookmarkEnd w:id="1028"/>
      <w:r>
        <w:rPr>
          <w:rFonts w:ascii="Arial" w:eastAsia="Arial" w:hAnsi="Arial" w:cs="Arial"/>
          <w:color w:val="000000"/>
          <w:sz w:val="20"/>
        </w:rPr>
        <w:t xml:space="preserve">Moreover, it is permissible to consider agency interpretations of a statutory gap. </w:t>
      </w:r>
      <w:r>
        <w:rPr>
          <w:rFonts w:ascii="Arial" w:eastAsia="Arial" w:hAnsi="Arial" w:cs="Arial"/>
          <w:i/>
          <w:color w:val="000000"/>
          <w:sz w:val="20"/>
        </w:rPr>
        <w:t xml:space="preserve">See </w:t>
      </w:r>
      <w:bookmarkStart w:id="1029" w:name="Bookmark_I5WHY2KX2HM6XN0010000400"/>
      <w:bookmarkEnd w:id="1029"/>
      <w:r>
        <w:rPr>
          <w:rFonts w:ascii="Arial" w:eastAsia="Arial" w:hAnsi="Arial" w:cs="Arial"/>
          <w:i/>
          <w:color w:val="000000"/>
          <w:sz w:val="20"/>
        </w:rPr>
        <w:t>Gross</w:t>
      </w:r>
      <w:r>
        <w:rPr>
          <w:rFonts w:ascii="Arial" w:eastAsia="Arial" w:hAnsi="Arial" w:cs="Arial"/>
          <w:color w:val="000000"/>
          <w:sz w:val="20"/>
        </w:rPr>
        <w:t xml:space="preserve">, 557 U.S. at 179 n.6 (citing </w:t>
      </w:r>
      <w:bookmarkStart w:id="1030" w:name="Bookmark_I5WHY2KX2HM6XN0030000400"/>
      <w:bookmarkEnd w:id="1030"/>
      <w:r>
        <w:rPr>
          <w:rFonts w:ascii="Arial" w:eastAsia="Arial" w:hAnsi="Arial" w:cs="Arial"/>
          <w:i/>
          <w:color w:val="000000"/>
          <w:sz w:val="20"/>
        </w:rPr>
        <w:t>NLRB v. Transp. Mgmt. Corp.</w:t>
      </w:r>
      <w:r>
        <w:rPr>
          <w:rFonts w:ascii="Arial" w:eastAsia="Arial" w:hAnsi="Arial" w:cs="Arial"/>
          <w:color w:val="000000"/>
          <w:sz w:val="20"/>
        </w:rPr>
        <w:t xml:space="preserve">, 462 U.S. 393, 400-03, 103 S. Ct. 2469, 76 L. Ed. 2d 667 (1983)); </w:t>
      </w:r>
      <w:r>
        <w:rPr>
          <w:rFonts w:ascii="Arial" w:eastAsia="Arial" w:hAnsi="Arial" w:cs="Arial"/>
          <w:i/>
          <w:color w:val="000000"/>
          <w:sz w:val="20"/>
        </w:rPr>
        <w:t xml:space="preserve">see also </w:t>
      </w:r>
      <w:bookmarkStart w:id="1031" w:name="Bookmark_I5WHY2KX2HM6XN0050000400"/>
      <w:bookmarkEnd w:id="1031"/>
      <w:r>
        <w:rPr>
          <w:rFonts w:ascii="Arial" w:eastAsia="Arial" w:hAnsi="Arial" w:cs="Arial"/>
          <w:i/>
          <w:color w:val="000000"/>
          <w:sz w:val="20"/>
        </w:rPr>
        <w:t>Olmstead</w:t>
      </w:r>
      <w:r>
        <w:rPr>
          <w:rFonts w:ascii="Arial" w:eastAsia="Arial" w:hAnsi="Arial" w:cs="Arial"/>
          <w:color w:val="000000"/>
          <w:sz w:val="20"/>
        </w:rPr>
        <w:t xml:space="preserve">, 527 U.S. at 598 (noting that the ADA regulations are entitled at least to "respect" under </w:t>
      </w:r>
      <w:bookmarkStart w:id="1032" w:name="Bookmark_I5WHY2KX2D6NW30020000400"/>
      <w:bookmarkEnd w:id="1032"/>
      <w:r>
        <w:rPr>
          <w:rFonts w:ascii="Arial" w:eastAsia="Arial" w:hAnsi="Arial" w:cs="Arial"/>
          <w:i/>
          <w:color w:val="000000"/>
          <w:sz w:val="20"/>
        </w:rPr>
        <w:t>Skidmore v. Swift &amp; Co.</w:t>
      </w:r>
      <w:r>
        <w:rPr>
          <w:rFonts w:ascii="Arial" w:eastAsia="Arial" w:hAnsi="Arial" w:cs="Arial"/>
          <w:color w:val="000000"/>
          <w:sz w:val="20"/>
        </w:rPr>
        <w:t xml:space="preserve">, 323 U.S. 134, 65 S. Ct. 161, 89 L. Ed. 124 (1944)). Unfortunately, the relevant Title II regulation on its face provides only some, but not much, help. </w:t>
      </w:r>
      <w:r>
        <w:rPr>
          <w:rFonts w:ascii="Arial" w:eastAsia="Arial" w:hAnsi="Arial" w:cs="Arial"/>
          <w:i/>
          <w:color w:val="000000"/>
          <w:sz w:val="20"/>
        </w:rPr>
        <w:t>See</w:t>
      </w:r>
      <w:r>
        <w:rPr>
          <w:rFonts w:ascii="Arial" w:eastAsia="Arial" w:hAnsi="Arial" w:cs="Arial"/>
          <w:color w:val="000000"/>
          <w:sz w:val="20"/>
        </w:rPr>
        <w:t xml:space="preserve"> 28 C.F.R. § 35.130(b)(7)(i) ("A public entity shall make reasonable modifications [***72]  in policies, practices, or procedures when the modifications are necessary to avoid discrimination on the basis of disability, unless the public entity can demonstrate that making the modifications would fundamentally alter the nature of the service, program, or activity."). </w:t>
      </w:r>
      <w:bookmarkStart w:id="1033" w:name="Bookmark_I5H1TNT27YM000063S7000NR"/>
      <w:bookmarkStart w:id="1034" w:name="Bookmark_I5H1TNT2BT0000063S7000NT"/>
      <w:bookmarkStart w:id="1035" w:name="Bookmark_I5H1TNT2FXV000063S70001V"/>
      <w:bookmarkStart w:id="1036" w:name="Bookmark_I5H1TNT2JS0000063S7000T9"/>
      <w:bookmarkStart w:id="1037" w:name="Bookmark_I5H1TNT2NHK000063S7000P0"/>
      <w:bookmarkStart w:id="1038" w:name="Bookmark_I5H1TNT2SCV000063S7000P2"/>
      <w:bookmarkStart w:id="1039" w:name="Bookmark_I5H1TNT2WDN000063S700023"/>
      <w:bookmarkStart w:id="1040" w:name="Bookmark_I5WHY2KX2D6NW30050000400"/>
      <w:bookmarkEnd w:id="1033"/>
      <w:bookmarkEnd w:id="1034"/>
      <w:bookmarkEnd w:id="1035"/>
      <w:bookmarkEnd w:id="1036"/>
      <w:bookmarkEnd w:id="1037"/>
      <w:bookmarkEnd w:id="1038"/>
      <w:bookmarkEnd w:id="1039"/>
      <w:bookmarkEnd w:id="1040"/>
      <w:r>
        <w:rPr>
          <w:rFonts w:ascii="Arial" w:eastAsia="Arial" w:hAnsi="Arial" w:cs="Arial"/>
          <w:color w:val="000000"/>
          <w:sz w:val="20"/>
        </w:rPr>
        <w:t xml:space="preserve">The regulation clearly outlines a burden-shifting framework, but it does not explicitly indicate that the burden of proving causation moves at any point. </w:t>
      </w:r>
      <w:bookmarkStart w:id="1041" w:name="Bookmark_I5WHY2KX2D6NW30050000400_2"/>
      <w:bookmarkEnd w:id="1041"/>
      <w:r>
        <w:rPr>
          <w:rFonts w:ascii="Arial" w:eastAsia="Arial" w:hAnsi="Arial" w:cs="Arial"/>
          <w:color w:val="000000"/>
          <w:sz w:val="20"/>
        </w:rPr>
        <w:t xml:space="preserve">The text of the regulation does not make clear whether the government's burden of establishing a fundamental alteration entails the burden of proving the absence of "but for" causation. As for the plaintiff's </w:t>
      </w:r>
      <w:r>
        <w:rPr>
          <w:rFonts w:ascii="Arial" w:eastAsia="Arial" w:hAnsi="Arial" w:cs="Arial"/>
          <w:i/>
          <w:color w:val="000000"/>
          <w:sz w:val="20"/>
        </w:rPr>
        <w:t>prima facie</w:t>
      </w:r>
      <w:r>
        <w:rPr>
          <w:rFonts w:ascii="Arial" w:eastAsia="Arial" w:hAnsi="Arial" w:cs="Arial"/>
          <w:color w:val="000000"/>
          <w:sz w:val="20"/>
        </w:rPr>
        <w:t xml:space="preserve"> case, the "necessary" prong of the regulation incorporates a demonstration of causation, </w:t>
      </w:r>
      <w:r>
        <w:rPr>
          <w:rFonts w:ascii="Arial" w:eastAsia="Arial" w:hAnsi="Arial" w:cs="Arial"/>
          <w:i/>
          <w:color w:val="000000"/>
          <w:sz w:val="20"/>
        </w:rPr>
        <w:t xml:space="preserve">see </w:t>
      </w:r>
      <w:bookmarkStart w:id="1042" w:name="Bookmark_I5WHY2KX2D6NW30040000400"/>
      <w:bookmarkEnd w:id="1042"/>
      <w:r>
        <w:rPr>
          <w:rFonts w:ascii="Arial" w:eastAsia="Arial" w:hAnsi="Arial" w:cs="Arial"/>
          <w:i/>
          <w:color w:val="000000"/>
          <w:sz w:val="20"/>
        </w:rPr>
        <w:t>Wis. Cmty. Servs., Inc. v. City of Milwaukee</w:t>
      </w:r>
      <w:r>
        <w:rPr>
          <w:rFonts w:ascii="Arial" w:eastAsia="Arial" w:hAnsi="Arial" w:cs="Arial"/>
          <w:color w:val="000000"/>
          <w:sz w:val="20"/>
        </w:rPr>
        <w:t xml:space="preserve">, 465 F.3d 737, 749 (7th Cir. 2006) (en banc), but it is not obvious whether "necessary" means that the plaintiff must show "but for" or only "motivating factor" causation in her </w:t>
      </w:r>
      <w:r>
        <w:rPr>
          <w:rFonts w:ascii="Arial" w:eastAsia="Arial" w:hAnsi="Arial" w:cs="Arial"/>
          <w:i/>
          <w:color w:val="000000"/>
          <w:sz w:val="20"/>
        </w:rPr>
        <w:t>prima facie</w:t>
      </w:r>
      <w:r>
        <w:rPr>
          <w:rFonts w:ascii="Arial" w:eastAsia="Arial" w:hAnsi="Arial" w:cs="Arial"/>
          <w:color w:val="000000"/>
          <w:sz w:val="20"/>
        </w:rPr>
        <w:t xml:space="preserve"> case. The prong uses the phrase "on the basis of," </w:t>
      </w:r>
      <w:r>
        <w:rPr>
          <w:rFonts w:ascii="Arial" w:eastAsia="Arial" w:hAnsi="Arial" w:cs="Arial"/>
          <w:i/>
          <w:color w:val="000000"/>
          <w:sz w:val="20"/>
        </w:rPr>
        <w:t>see</w:t>
      </w:r>
      <w:r>
        <w:rPr>
          <w:rFonts w:ascii="Arial" w:eastAsia="Arial" w:hAnsi="Arial" w:cs="Arial"/>
          <w:color w:val="000000"/>
          <w:sz w:val="20"/>
        </w:rPr>
        <w:t xml:space="preserve"> 28 C.F.R. § 35.130(b)(7)(i), but the legal meaning of that phrase has split our sister circuits in an analogous context, </w:t>
      </w:r>
      <w:r>
        <w:rPr>
          <w:rFonts w:ascii="Arial" w:eastAsia="Arial" w:hAnsi="Arial" w:cs="Arial"/>
          <w:i/>
          <w:color w:val="000000"/>
          <w:sz w:val="20"/>
        </w:rPr>
        <w:t xml:space="preserve">compare </w:t>
      </w:r>
      <w:bookmarkStart w:id="1043" w:name="Bookmark_I5WHY2KY28T4CF0010000400"/>
      <w:bookmarkEnd w:id="1043"/>
      <w:r>
        <w:rPr>
          <w:rFonts w:ascii="Arial" w:eastAsia="Arial" w:hAnsi="Arial" w:cs="Arial"/>
          <w:i/>
          <w:color w:val="000000"/>
          <w:sz w:val="20"/>
        </w:rPr>
        <w:t>Natofsky v. City of New York</w:t>
      </w:r>
      <w:r>
        <w:rPr>
          <w:rFonts w:ascii="Arial" w:eastAsia="Arial" w:hAnsi="Arial" w:cs="Arial"/>
          <w:color w:val="000000"/>
          <w:sz w:val="20"/>
        </w:rPr>
        <w:t xml:space="preserve">, 921 F.3d 337, 348 (2d Cir. 2019) (but for), </w:t>
      </w:r>
      <w:bookmarkStart w:id="1044" w:name="Bookmark_I5WHY2KY28T4CF0030000400"/>
      <w:bookmarkEnd w:id="1044"/>
      <w:r>
        <w:rPr>
          <w:rFonts w:ascii="Arial" w:eastAsia="Arial" w:hAnsi="Arial" w:cs="Arial"/>
          <w:i/>
          <w:color w:val="000000"/>
          <w:sz w:val="20"/>
        </w:rPr>
        <w:t>Gentry v. E. W. Partners Club Mgmt. Co., Inc.</w:t>
      </w:r>
      <w:r>
        <w:rPr>
          <w:rFonts w:ascii="Arial" w:eastAsia="Arial" w:hAnsi="Arial" w:cs="Arial"/>
          <w:color w:val="000000"/>
          <w:sz w:val="20"/>
        </w:rPr>
        <w:t xml:space="preserve">, 816 F.3d 228, 235-36 (4th Cir. 2016), </w:t>
      </w:r>
      <w:r>
        <w:rPr>
          <w:rFonts w:ascii="Arial" w:eastAsia="Arial" w:hAnsi="Arial" w:cs="Arial"/>
          <w:i/>
          <w:color w:val="000000"/>
          <w:sz w:val="20"/>
        </w:rPr>
        <w:t xml:space="preserve">and </w:t>
      </w:r>
      <w:bookmarkStart w:id="1045" w:name="Bookmark_I5WHY2KY28T4CF0050000400"/>
      <w:bookmarkEnd w:id="1045"/>
      <w:r>
        <w:rPr>
          <w:rFonts w:ascii="Arial" w:eastAsia="Arial" w:hAnsi="Arial" w:cs="Arial"/>
          <w:i/>
          <w:color w:val="000000"/>
          <w:sz w:val="20"/>
        </w:rPr>
        <w:t>Demyanovich v. Cadon Plating &amp; Coatings, L.L.C.</w:t>
      </w:r>
      <w:r>
        <w:rPr>
          <w:rFonts w:ascii="Arial" w:eastAsia="Arial" w:hAnsi="Arial" w:cs="Arial"/>
          <w:color w:val="000000"/>
          <w:sz w:val="20"/>
        </w:rPr>
        <w:t xml:space="preserve">, 747 F.3d 419, 433 (6th Cir. 2014), </w:t>
      </w:r>
      <w:r>
        <w:rPr>
          <w:rFonts w:ascii="Arial" w:eastAsia="Arial" w:hAnsi="Arial" w:cs="Arial"/>
          <w:i/>
          <w:color w:val="000000"/>
          <w:sz w:val="20"/>
        </w:rPr>
        <w:t xml:space="preserve">with </w:t>
      </w:r>
      <w:bookmarkStart w:id="1046" w:name="Bookmark_I5WHY2KY28T4CJ0020000400"/>
      <w:bookmarkEnd w:id="1046"/>
      <w:r>
        <w:rPr>
          <w:rFonts w:ascii="Arial" w:eastAsia="Arial" w:hAnsi="Arial" w:cs="Arial"/>
          <w:i/>
          <w:color w:val="000000"/>
          <w:sz w:val="20"/>
        </w:rPr>
        <w:t>EEOC v. LHC Grp., Inc.</w:t>
      </w:r>
      <w:r>
        <w:rPr>
          <w:rFonts w:ascii="Arial" w:eastAsia="Arial" w:hAnsi="Arial" w:cs="Arial"/>
          <w:color w:val="000000"/>
          <w:sz w:val="20"/>
        </w:rPr>
        <w:t xml:space="preserve">, 773 F.3d 688, 702-03 (5th Cir. 2014) (motivating factor), with at least two circuits reserving the issue, </w:t>
      </w:r>
      <w:r>
        <w:rPr>
          <w:rFonts w:ascii="Arial" w:eastAsia="Arial" w:hAnsi="Arial" w:cs="Arial"/>
          <w:i/>
          <w:color w:val="000000"/>
          <w:sz w:val="20"/>
        </w:rPr>
        <w:t xml:space="preserve">see </w:t>
      </w:r>
      <w:bookmarkStart w:id="1047" w:name="Bookmark_I5WHY2KY28T4CJ0040000400"/>
      <w:bookmarkEnd w:id="1047"/>
      <w:r>
        <w:rPr>
          <w:rFonts w:ascii="Arial" w:eastAsia="Arial" w:hAnsi="Arial" w:cs="Arial"/>
          <w:i/>
          <w:color w:val="000000"/>
          <w:sz w:val="20"/>
        </w:rPr>
        <w:t>Monroe v. Ind. Dep't of Transp.</w:t>
      </w:r>
      <w:r>
        <w:rPr>
          <w:rFonts w:ascii="Arial" w:eastAsia="Arial" w:hAnsi="Arial" w:cs="Arial"/>
          <w:color w:val="000000"/>
          <w:sz w:val="20"/>
        </w:rPr>
        <w:t xml:space="preserve">, 871 F.3d 495, 504 (7th Cir. 2017); </w:t>
      </w:r>
      <w:bookmarkStart w:id="1048" w:name="Bookmark_I5WHY2M02HM6Y30010000400"/>
      <w:bookmarkEnd w:id="1048"/>
      <w:r>
        <w:rPr>
          <w:rFonts w:ascii="Arial" w:eastAsia="Arial" w:hAnsi="Arial" w:cs="Arial"/>
          <w:i/>
          <w:color w:val="000000"/>
          <w:sz w:val="20"/>
        </w:rPr>
        <w:t>Oehmke v. Medtronic, Inc.</w:t>
      </w:r>
      <w:r>
        <w:rPr>
          <w:rFonts w:ascii="Arial" w:eastAsia="Arial" w:hAnsi="Arial" w:cs="Arial"/>
          <w:color w:val="000000"/>
          <w:sz w:val="20"/>
        </w:rPr>
        <w:t>, 844 F.3d 748, 757 n.6 (8th Cir. 2016).</w:t>
      </w:r>
    </w:p>
    <w:p w:rsidR="00E456CD" w:rsidRDefault="00000000">
      <w:pPr>
        <w:pStyle w:val="Normal3"/>
        <w:widowControl w:val="0"/>
        <w:spacing w:before="200" w:line="260" w:lineRule="atLeast"/>
        <w:jc w:val="both"/>
      </w:pPr>
      <w:bookmarkStart w:id="1049" w:name="Bookmark_para_115"/>
      <w:bookmarkEnd w:id="1049"/>
      <w:r>
        <w:rPr>
          <w:rFonts w:ascii="Arial" w:eastAsia="Arial" w:hAnsi="Arial" w:cs="Arial"/>
          <w:color w:val="000000"/>
          <w:sz w:val="20"/>
        </w:rPr>
        <w:t xml:space="preserve">After surveying the relevant cases and authorities, [***73]  I find that we have an ambiguous agency regulation filling a gap in the Title II provision. So how should we decide the burden of persuasion? </w:t>
      </w:r>
      <w:bookmarkStart w:id="1050" w:name="Bookmark_I5H1TNT308C000063S7000TK"/>
      <w:bookmarkStart w:id="1051" w:name="Bookmark_I5H1TNT31ND000063S7000P6"/>
      <w:bookmarkStart w:id="1052" w:name="Bookmark_I5WHY2M02HM6Y30040000400"/>
      <w:bookmarkEnd w:id="1050"/>
      <w:bookmarkEnd w:id="1051"/>
      <w:bookmarkEnd w:id="1052"/>
      <w:r>
        <w:rPr>
          <w:rFonts w:ascii="Arial" w:eastAsia="Arial" w:hAnsi="Arial" w:cs="Arial"/>
          <w:color w:val="000000"/>
          <w:sz w:val="20"/>
        </w:rPr>
        <w:t xml:space="preserve">Thankfully, I need not stake out any broad positions  [*1101]   [**186]  about all Title II claims in general. </w:t>
      </w:r>
      <w:bookmarkStart w:id="1053" w:name="Bookmark_I5H1TNT333P000063S7000P7"/>
      <w:bookmarkStart w:id="1054" w:name="Bookmark_I5WHY2M02N1PT50030000400"/>
      <w:bookmarkEnd w:id="1053"/>
      <w:bookmarkEnd w:id="1054"/>
      <w:r>
        <w:rPr>
          <w:rFonts w:ascii="Arial" w:eastAsia="Arial" w:hAnsi="Arial" w:cs="Arial"/>
          <w:color w:val="000000"/>
          <w:sz w:val="20"/>
        </w:rPr>
        <w:t xml:space="preserve">With respect to </w:t>
      </w:r>
      <w:r>
        <w:rPr>
          <w:rFonts w:ascii="Arial" w:eastAsia="Arial" w:hAnsi="Arial" w:cs="Arial"/>
          <w:i/>
          <w:color w:val="000000"/>
          <w:sz w:val="20"/>
        </w:rPr>
        <w:t>Olmstead</w:t>
      </w:r>
      <w:r>
        <w:rPr>
          <w:rFonts w:ascii="Arial" w:eastAsia="Arial" w:hAnsi="Arial" w:cs="Arial"/>
          <w:color w:val="000000"/>
          <w:sz w:val="20"/>
        </w:rPr>
        <w:t xml:space="preserve"> claims, we have useful interpretive guidance from the Department of Justice (DOJ), which promulgated the Title II regulations. As the District Court has recognized, </w:t>
      </w:r>
      <w:r>
        <w:rPr>
          <w:rFonts w:ascii="Arial" w:eastAsia="Arial" w:hAnsi="Arial" w:cs="Arial"/>
          <w:i/>
          <w:color w:val="000000"/>
          <w:sz w:val="20"/>
        </w:rPr>
        <w:t xml:space="preserve">see </w:t>
      </w:r>
      <w:bookmarkStart w:id="1055" w:name="Bookmark_I5WHY2M02HM6Y30030000400"/>
      <w:bookmarkEnd w:id="1055"/>
      <w:r>
        <w:rPr>
          <w:rFonts w:ascii="Arial" w:eastAsia="Arial" w:hAnsi="Arial" w:cs="Arial"/>
          <w:i/>
          <w:color w:val="000000"/>
          <w:sz w:val="20"/>
        </w:rPr>
        <w:t>Brown</w:t>
      </w:r>
      <w:r>
        <w:rPr>
          <w:rFonts w:ascii="Arial" w:eastAsia="Arial" w:hAnsi="Arial" w:cs="Arial"/>
          <w:color w:val="000000"/>
          <w:sz w:val="20"/>
        </w:rPr>
        <w:t xml:space="preserve">, 322 F.R.D. at 62 n.8, the DOJ believes that plaintiffs making an </w:t>
      </w:r>
      <w:r>
        <w:rPr>
          <w:rFonts w:ascii="Arial" w:eastAsia="Arial" w:hAnsi="Arial" w:cs="Arial"/>
          <w:i/>
          <w:color w:val="000000"/>
          <w:sz w:val="20"/>
        </w:rPr>
        <w:t>Olmstead</w:t>
      </w:r>
      <w:r>
        <w:rPr>
          <w:rFonts w:ascii="Arial" w:eastAsia="Arial" w:hAnsi="Arial" w:cs="Arial"/>
          <w:color w:val="000000"/>
          <w:sz w:val="20"/>
        </w:rPr>
        <w:t xml:space="preserve"> claim "could make out a case . . . even if they could not prove [that] 'but for' the disability, they would have received the community-based services they sought," </w:t>
      </w:r>
      <w:r>
        <w:rPr>
          <w:rFonts w:ascii="Arial" w:eastAsia="Arial" w:hAnsi="Arial" w:cs="Arial"/>
          <w:smallCaps/>
          <w:color w:val="000000"/>
          <w:sz w:val="20"/>
        </w:rPr>
        <w:t>U.S. Dep't of Justice, Civil Rights Div., Statement of the Department of Justice on Enforcement of the Integration Mandate of Title II of the Americans with Disabilities Act and</w:t>
      </w:r>
      <w:r>
        <w:rPr>
          <w:rFonts w:ascii="Arial" w:eastAsia="Arial" w:hAnsi="Arial" w:cs="Arial"/>
          <w:color w:val="000000"/>
          <w:sz w:val="20"/>
        </w:rPr>
        <w:t xml:space="preserve"> </w:t>
      </w:r>
      <w:r>
        <w:rPr>
          <w:rFonts w:ascii="Arial" w:eastAsia="Arial" w:hAnsi="Arial" w:cs="Arial"/>
          <w:i/>
          <w:smallCaps/>
          <w:color w:val="000000"/>
          <w:sz w:val="20"/>
        </w:rPr>
        <w:t>Olmstead v. L.C.</w:t>
      </w:r>
      <w:r>
        <w:rPr>
          <w:rFonts w:ascii="Arial" w:eastAsia="Arial" w:hAnsi="Arial" w:cs="Arial"/>
          <w:color w:val="000000"/>
          <w:sz w:val="20"/>
        </w:rPr>
        <w:t xml:space="preserve"> 4 (June 22, 2011), https://www.ada.gov/olmstead/q&amp;a_olmstead.pdf. I need not determine whether the DOJ's interpretation warrants deference under </w:t>
      </w:r>
      <w:bookmarkStart w:id="1056" w:name="Bookmark_I5WHY2M02HM6Y30050000400"/>
      <w:bookmarkEnd w:id="1056"/>
      <w:r>
        <w:rPr>
          <w:rFonts w:ascii="Arial" w:eastAsia="Arial" w:hAnsi="Arial" w:cs="Arial"/>
          <w:i/>
          <w:color w:val="000000"/>
          <w:sz w:val="20"/>
        </w:rPr>
        <w:t>Auer v. Robbins</w:t>
      </w:r>
      <w:r>
        <w:rPr>
          <w:rFonts w:ascii="Arial" w:eastAsia="Arial" w:hAnsi="Arial" w:cs="Arial"/>
          <w:color w:val="000000"/>
          <w:sz w:val="20"/>
        </w:rPr>
        <w:t xml:space="preserve">, 519 U.S. 452, 117 S. Ct. 905, 137 L. Ed. 2d 79 (1997). </w:t>
      </w:r>
      <w:bookmarkStart w:id="1057" w:name="Bookmark_I5WHY2M02N1PT50030000400_2"/>
      <w:bookmarkStart w:id="1058" w:name="Bookmark_I5H1TNT3652000063S7000P9"/>
      <w:bookmarkStart w:id="1059" w:name="Bookmark_I5WHY2M02N1PT50050000400"/>
      <w:bookmarkEnd w:id="1057"/>
      <w:bookmarkEnd w:id="1058"/>
      <w:bookmarkEnd w:id="1059"/>
      <w:r>
        <w:rPr>
          <w:rFonts w:ascii="Arial" w:eastAsia="Arial" w:hAnsi="Arial" w:cs="Arial"/>
          <w:i/>
          <w:color w:val="000000"/>
          <w:sz w:val="20"/>
        </w:rPr>
        <w:t xml:space="preserve">See </w:t>
      </w:r>
      <w:bookmarkStart w:id="1060" w:name="Bookmark_I5WHY2M02N1PT50020000400"/>
      <w:bookmarkEnd w:id="1060"/>
      <w:r>
        <w:rPr>
          <w:rFonts w:ascii="Arial" w:eastAsia="Arial" w:hAnsi="Arial" w:cs="Arial"/>
          <w:i/>
          <w:color w:val="000000"/>
          <w:sz w:val="20"/>
        </w:rPr>
        <w:t>Kisor v. Wilkie</w:t>
      </w:r>
      <w:r>
        <w:rPr>
          <w:rFonts w:ascii="Arial" w:eastAsia="Arial" w:hAnsi="Arial" w:cs="Arial"/>
          <w:color w:val="000000"/>
          <w:sz w:val="20"/>
        </w:rPr>
        <w:t xml:space="preserve">, No. 18-15, 139 S. Ct. 2400, 204 L. Ed. 2d 841, 2019 U.S. LEXIS 4397, 2019 WL 2605554, at *8-10 (U.S. June 26, 2019) (describing multifactor test for </w:t>
      </w:r>
      <w:r>
        <w:rPr>
          <w:rFonts w:ascii="Arial" w:eastAsia="Arial" w:hAnsi="Arial" w:cs="Arial"/>
          <w:i/>
          <w:color w:val="000000"/>
          <w:sz w:val="20"/>
        </w:rPr>
        <w:t>Auer</w:t>
      </w:r>
      <w:r>
        <w:rPr>
          <w:rFonts w:ascii="Arial" w:eastAsia="Arial" w:hAnsi="Arial" w:cs="Arial"/>
          <w:color w:val="000000"/>
          <w:sz w:val="20"/>
        </w:rPr>
        <w:t xml:space="preserve"> deference). </w:t>
      </w:r>
      <w:bookmarkStart w:id="1061" w:name="Bookmark_I5WHY2M02N1PT50050000400_2"/>
      <w:bookmarkEnd w:id="1061"/>
      <w:r>
        <w:rPr>
          <w:rFonts w:ascii="Arial" w:eastAsia="Arial" w:hAnsi="Arial" w:cs="Arial"/>
          <w:color w:val="000000"/>
          <w:sz w:val="20"/>
        </w:rPr>
        <w:t xml:space="preserve">Regardless, the interpretation would merit </w:t>
      </w:r>
      <w:r>
        <w:rPr>
          <w:rFonts w:ascii="Arial" w:eastAsia="Arial" w:hAnsi="Arial" w:cs="Arial"/>
          <w:i/>
          <w:color w:val="000000"/>
          <w:sz w:val="20"/>
        </w:rPr>
        <w:t>Skidmore</w:t>
      </w:r>
      <w:r>
        <w:rPr>
          <w:rFonts w:ascii="Arial" w:eastAsia="Arial" w:hAnsi="Arial" w:cs="Arial"/>
          <w:color w:val="000000"/>
          <w:sz w:val="20"/>
        </w:rPr>
        <w:t xml:space="preserve"> respect because the interpretation has not changed over time and the DOJ has amassed a considerable "body [***74]  of experience and informed judgment" on the issue of disability discrimination in government treatment programs. </w:t>
      </w:r>
      <w:r>
        <w:rPr>
          <w:rFonts w:ascii="Arial" w:eastAsia="Arial" w:hAnsi="Arial" w:cs="Arial"/>
          <w:i/>
          <w:color w:val="000000"/>
          <w:sz w:val="20"/>
        </w:rPr>
        <w:t xml:space="preserve">See </w:t>
      </w:r>
      <w:bookmarkStart w:id="1062" w:name="Bookmark_I5WHY2M02N1PT50040000400"/>
      <w:bookmarkEnd w:id="1062"/>
      <w:r>
        <w:rPr>
          <w:rFonts w:ascii="Arial" w:eastAsia="Arial" w:hAnsi="Arial" w:cs="Arial"/>
          <w:i/>
          <w:color w:val="000000"/>
          <w:sz w:val="20"/>
        </w:rPr>
        <w:t>Olmstead</w:t>
      </w:r>
      <w:r>
        <w:rPr>
          <w:rFonts w:ascii="Arial" w:eastAsia="Arial" w:hAnsi="Arial" w:cs="Arial"/>
          <w:color w:val="000000"/>
          <w:sz w:val="20"/>
        </w:rPr>
        <w:t xml:space="preserve">, 527 U.S. at 598 (citation omitted). </w:t>
      </w:r>
      <w:r>
        <w:rPr>
          <w:rFonts w:ascii="Arial" w:eastAsia="Arial" w:hAnsi="Arial" w:cs="Arial"/>
          <w:i/>
          <w:color w:val="000000"/>
          <w:sz w:val="20"/>
        </w:rPr>
        <w:t>See generally</w:t>
      </w:r>
      <w:r>
        <w:rPr>
          <w:rFonts w:ascii="Arial" w:eastAsia="Arial" w:hAnsi="Arial" w:cs="Arial"/>
          <w:color w:val="000000"/>
          <w:sz w:val="20"/>
        </w:rPr>
        <w:t xml:space="preserve"> </w:t>
      </w:r>
      <w:r>
        <w:rPr>
          <w:rFonts w:ascii="Arial" w:eastAsia="Arial" w:hAnsi="Arial" w:cs="Arial"/>
          <w:smallCaps/>
          <w:color w:val="000000"/>
          <w:sz w:val="20"/>
        </w:rPr>
        <w:t>Olmstead: Community Integration for Everyone</w:t>
      </w:r>
      <w:r>
        <w:rPr>
          <w:rFonts w:ascii="Arial" w:eastAsia="Arial" w:hAnsi="Arial" w:cs="Arial"/>
          <w:color w:val="000000"/>
          <w:sz w:val="20"/>
        </w:rPr>
        <w:t xml:space="preserve">, https://www.ada.gov/olmstead (last visited June 13, 2019). And despite having an opportunity to do so, the government has not challenged the interpretation in this litigation. </w:t>
      </w:r>
      <w:bookmarkStart w:id="1063" w:name="Bookmark_I5H1TNT396S000063S70002B"/>
      <w:bookmarkStart w:id="1064" w:name="Bookmark_I5WHY2M12SF7RN0020000400"/>
      <w:bookmarkEnd w:id="1063"/>
      <w:bookmarkEnd w:id="1064"/>
      <w:r>
        <w:rPr>
          <w:rFonts w:ascii="Arial" w:eastAsia="Arial" w:hAnsi="Arial" w:cs="Arial"/>
          <w:i/>
          <w:color w:val="000000"/>
          <w:sz w:val="20"/>
        </w:rPr>
        <w:t>See generally</w:t>
      </w:r>
      <w:r>
        <w:rPr>
          <w:rFonts w:ascii="Arial" w:eastAsia="Arial" w:hAnsi="Arial" w:cs="Arial"/>
          <w:color w:val="000000"/>
          <w:sz w:val="20"/>
        </w:rPr>
        <w:t xml:space="preserve"> Reply to Plaintiffs' Opposition, </w:t>
      </w:r>
      <w:r>
        <w:rPr>
          <w:rFonts w:ascii="Arial" w:eastAsia="Arial" w:hAnsi="Arial" w:cs="Arial"/>
          <w:i/>
          <w:color w:val="000000"/>
          <w:sz w:val="20"/>
        </w:rPr>
        <w:t>Brown v. District of Columbia</w:t>
      </w:r>
      <w:r>
        <w:rPr>
          <w:rFonts w:ascii="Arial" w:eastAsia="Arial" w:hAnsi="Arial" w:cs="Arial"/>
          <w:color w:val="000000"/>
          <w:sz w:val="20"/>
        </w:rPr>
        <w:t xml:space="preserve">, No. 1:10-cv-02250-ESH (D.D.C. filed Nov. 4, 2016), ECF No. 226. (The District Court suggested that the DOJ's interpretation might apply only in the individual case, not in class actions. </w:t>
      </w:r>
      <w:r>
        <w:rPr>
          <w:rFonts w:ascii="Arial" w:eastAsia="Arial" w:hAnsi="Arial" w:cs="Arial"/>
          <w:i/>
          <w:color w:val="000000"/>
          <w:sz w:val="20"/>
        </w:rPr>
        <w:t xml:space="preserve">See </w:t>
      </w:r>
      <w:bookmarkStart w:id="1065" w:name="Bookmark_I5WHY2M12SF7RN0010000400"/>
      <w:bookmarkEnd w:id="1065"/>
      <w:r>
        <w:rPr>
          <w:rFonts w:ascii="Arial" w:eastAsia="Arial" w:hAnsi="Arial" w:cs="Arial"/>
          <w:i/>
          <w:color w:val="000000"/>
          <w:sz w:val="20"/>
        </w:rPr>
        <w:t>Brown</w:t>
      </w:r>
      <w:r>
        <w:rPr>
          <w:rFonts w:ascii="Arial" w:eastAsia="Arial" w:hAnsi="Arial" w:cs="Arial"/>
          <w:color w:val="000000"/>
          <w:sz w:val="20"/>
        </w:rPr>
        <w:t>, 322 F.R.D. at 62 n.8. That cannot be correct; the upshot would be that individual and class actions have different proof-of-causation regimes, which would be a clear REA violation.)</w:t>
      </w:r>
    </w:p>
    <w:p w:rsidR="00E456CD" w:rsidRDefault="00000000">
      <w:pPr>
        <w:pStyle w:val="Normal3"/>
        <w:widowControl w:val="0"/>
        <w:spacing w:before="200" w:line="260" w:lineRule="atLeast"/>
        <w:jc w:val="both"/>
      </w:pPr>
      <w:bookmarkStart w:id="1066" w:name="Bookmark_para_116"/>
      <w:bookmarkStart w:id="1067" w:name="Bookmark_I5H1TNT3BN8000063S7000PC"/>
      <w:bookmarkStart w:id="1068" w:name="Bookmark_I5WHY2M12SF7RN0040000400"/>
      <w:bookmarkEnd w:id="1066"/>
      <w:bookmarkEnd w:id="1067"/>
      <w:bookmarkEnd w:id="1068"/>
      <w:r>
        <w:rPr>
          <w:rFonts w:ascii="Arial" w:eastAsia="Arial" w:hAnsi="Arial" w:cs="Arial"/>
          <w:color w:val="000000"/>
          <w:sz w:val="20"/>
        </w:rPr>
        <w:t xml:space="preserve">To reconcile Title II's requirement of "but for" causation and the DOJ's interpretation that plaintiffs need not shoulder the burden of proving it in the </w:t>
      </w:r>
      <w:r>
        <w:rPr>
          <w:rFonts w:ascii="Arial" w:eastAsia="Arial" w:hAnsi="Arial" w:cs="Arial"/>
          <w:i/>
          <w:color w:val="000000"/>
          <w:sz w:val="20"/>
        </w:rPr>
        <w:t>Olmstead</w:t>
      </w:r>
      <w:r>
        <w:rPr>
          <w:rFonts w:ascii="Arial" w:eastAsia="Arial" w:hAnsi="Arial" w:cs="Arial"/>
          <w:color w:val="000000"/>
          <w:sz w:val="20"/>
        </w:rPr>
        <w:t xml:space="preserve"> context, I conclude that </w:t>
      </w:r>
      <w:r>
        <w:rPr>
          <w:rFonts w:ascii="Arial" w:eastAsia="Arial" w:hAnsi="Arial" w:cs="Arial"/>
          <w:i/>
          <w:color w:val="000000"/>
          <w:sz w:val="20"/>
        </w:rPr>
        <w:t>Olmstead</w:t>
      </w:r>
      <w:r>
        <w:rPr>
          <w:rFonts w:ascii="Arial" w:eastAsia="Arial" w:hAnsi="Arial" w:cs="Arial"/>
          <w:color w:val="000000"/>
          <w:sz w:val="20"/>
        </w:rPr>
        <w:t xml:space="preserve"> claims must proceed under the </w:t>
      </w:r>
      <w:r>
        <w:rPr>
          <w:rFonts w:ascii="Arial" w:eastAsia="Arial" w:hAnsi="Arial" w:cs="Arial"/>
          <w:i/>
          <w:color w:val="000000"/>
          <w:sz w:val="20"/>
        </w:rPr>
        <w:t>Price Waterhouse</w:t>
      </w:r>
      <w:r>
        <w:rPr>
          <w:rFonts w:ascii="Arial" w:eastAsia="Arial" w:hAnsi="Arial" w:cs="Arial"/>
          <w:color w:val="000000"/>
          <w:sz w:val="20"/>
        </w:rPr>
        <w:t xml:space="preserve"> framework. The plaintiff in an </w:t>
      </w:r>
      <w:r>
        <w:rPr>
          <w:rFonts w:ascii="Arial" w:eastAsia="Arial" w:hAnsi="Arial" w:cs="Arial"/>
          <w:i/>
          <w:color w:val="000000"/>
          <w:sz w:val="20"/>
        </w:rPr>
        <w:t>Olmstead</w:t>
      </w:r>
      <w:r>
        <w:rPr>
          <w:rFonts w:ascii="Arial" w:eastAsia="Arial" w:hAnsi="Arial" w:cs="Arial"/>
          <w:color w:val="000000"/>
          <w:sz w:val="20"/>
        </w:rPr>
        <w:t xml:space="preserve"> claim must show that the government's failure to provide the requested accommodations was a motivating factor in [***75]  her institutionalization. </w:t>
      </w:r>
      <w:r>
        <w:rPr>
          <w:rFonts w:ascii="Arial" w:eastAsia="Arial" w:hAnsi="Arial" w:cs="Arial"/>
          <w:i/>
          <w:color w:val="000000"/>
          <w:sz w:val="20"/>
        </w:rPr>
        <w:t xml:space="preserve">See </w:t>
      </w:r>
      <w:bookmarkStart w:id="1069" w:name="Bookmark_I5WHY2M12SF7RN0030000400"/>
      <w:bookmarkEnd w:id="1069"/>
      <w:r>
        <w:rPr>
          <w:rFonts w:ascii="Arial" w:eastAsia="Arial" w:hAnsi="Arial" w:cs="Arial"/>
          <w:i/>
          <w:color w:val="000000"/>
          <w:sz w:val="20"/>
        </w:rPr>
        <w:t>Thorpe</w:t>
      </w:r>
      <w:r>
        <w:rPr>
          <w:rFonts w:ascii="Arial" w:eastAsia="Arial" w:hAnsi="Arial" w:cs="Arial"/>
          <w:color w:val="000000"/>
          <w:sz w:val="20"/>
        </w:rPr>
        <w:t>, 303 F.R.D. at 148 (noting that the "lack of transition services" must "</w:t>
      </w:r>
      <w:r>
        <w:rPr>
          <w:rFonts w:ascii="Arial" w:eastAsia="Arial" w:hAnsi="Arial" w:cs="Arial"/>
          <w:i/>
          <w:color w:val="000000"/>
          <w:sz w:val="20"/>
        </w:rPr>
        <w:t>contribute</w:t>
      </w:r>
      <w:r>
        <w:rPr>
          <w:rFonts w:ascii="Arial" w:eastAsia="Arial" w:hAnsi="Arial" w:cs="Arial"/>
          <w:color w:val="000000"/>
          <w:sz w:val="20"/>
        </w:rPr>
        <w:t>[] to the lack of placements of residents into community-based services" (emphasis added)). And at the fundamental alteration stage, the government may establish by a preponderance of the evidence that the institutionalization would have occurred even with all the accommodations. In doing so, the government would sever the "but for" link between the plaintiffs' disabilities and their isolation.</w:t>
      </w:r>
    </w:p>
    <w:p w:rsidR="00E456CD" w:rsidRDefault="00000000">
      <w:pPr>
        <w:pStyle w:val="Normal3"/>
        <w:widowControl w:val="0"/>
        <w:spacing w:before="200" w:line="260" w:lineRule="atLeast"/>
        <w:jc w:val="both"/>
      </w:pPr>
      <w:bookmarkStart w:id="1070" w:name="Bookmark_para_117"/>
      <w:bookmarkStart w:id="1071" w:name="Bookmark_I5H1TNT3D2M000063S7000TW"/>
      <w:bookmarkStart w:id="1072" w:name="Bookmark_I5H1TNT3FG0000063S7000TX"/>
      <w:bookmarkStart w:id="1073" w:name="Bookmark_I5WHY2M12HM6Y90010000400"/>
      <w:bookmarkStart w:id="1074" w:name="Bookmark_I5H1TNT3GW5000063S7000PF"/>
      <w:bookmarkStart w:id="1075" w:name="Bookmark_I5WHY2M12HM6Y90050000400"/>
      <w:bookmarkEnd w:id="1070"/>
      <w:bookmarkEnd w:id="1071"/>
      <w:bookmarkEnd w:id="1072"/>
      <w:bookmarkEnd w:id="1073"/>
      <w:bookmarkEnd w:id="1074"/>
      <w:bookmarkEnd w:id="1075"/>
      <w:r>
        <w:rPr>
          <w:rFonts w:ascii="Arial" w:eastAsia="Arial" w:hAnsi="Arial" w:cs="Arial"/>
          <w:color w:val="000000"/>
          <w:sz w:val="20"/>
        </w:rPr>
        <w:t xml:space="preserve">The class plaintiffs clearly made their </w:t>
      </w:r>
      <w:r>
        <w:rPr>
          <w:rFonts w:ascii="Arial" w:eastAsia="Arial" w:hAnsi="Arial" w:cs="Arial"/>
          <w:i/>
          <w:color w:val="000000"/>
          <w:sz w:val="20"/>
        </w:rPr>
        <w:t>prima facie</w:t>
      </w:r>
      <w:r>
        <w:rPr>
          <w:rFonts w:ascii="Arial" w:eastAsia="Arial" w:hAnsi="Arial" w:cs="Arial"/>
          <w:color w:val="000000"/>
          <w:sz w:val="20"/>
        </w:rPr>
        <w:t xml:space="preserve"> showing of causation here. By establishing that the government thinks it appropriate for them to receive community treatment, and that they desire a community placement, </w:t>
      </w:r>
      <w:r>
        <w:rPr>
          <w:rFonts w:ascii="Arial" w:eastAsia="Arial" w:hAnsi="Arial" w:cs="Arial"/>
          <w:i/>
          <w:color w:val="000000"/>
          <w:sz w:val="20"/>
        </w:rPr>
        <w:t xml:space="preserve">see </w:t>
      </w:r>
      <w:bookmarkStart w:id="1076" w:name="Bookmark_I5WHY2M12SF7RN0050000400"/>
      <w:bookmarkEnd w:id="1076"/>
      <w:r>
        <w:rPr>
          <w:rFonts w:ascii="Arial" w:eastAsia="Arial" w:hAnsi="Arial" w:cs="Arial"/>
          <w:i/>
          <w:color w:val="000000"/>
          <w:sz w:val="20"/>
        </w:rPr>
        <w:t>Brown</w:t>
      </w:r>
      <w:r>
        <w:rPr>
          <w:rFonts w:ascii="Arial" w:eastAsia="Arial" w:hAnsi="Arial" w:cs="Arial"/>
          <w:color w:val="000000"/>
          <w:sz w:val="20"/>
        </w:rPr>
        <w:t xml:space="preserve">, 322 F.R.D. at 87, they have made the preliminary showing of their "unjustified institutional isolation," </w:t>
      </w:r>
      <w:bookmarkStart w:id="1077" w:name="Bookmark_I5WHY2M12HM6Y90020000400"/>
      <w:bookmarkEnd w:id="1077"/>
      <w:r>
        <w:rPr>
          <w:rFonts w:ascii="Arial" w:eastAsia="Arial" w:hAnsi="Arial" w:cs="Arial"/>
          <w:i/>
          <w:color w:val="000000"/>
          <w:sz w:val="20"/>
        </w:rPr>
        <w:t>Olmstead</w:t>
      </w:r>
      <w:r>
        <w:rPr>
          <w:rFonts w:ascii="Arial" w:eastAsia="Arial" w:hAnsi="Arial" w:cs="Arial"/>
          <w:color w:val="000000"/>
          <w:sz w:val="20"/>
        </w:rPr>
        <w:t xml:space="preserve">, 527 U.S. at 600, 602-03. As a matter of law, the Supreme Court has explained, such "[d]issimilar treatment" is discrimination by reason of their disability: "In order to receive needed medical services [from the government], [they] must, </w:t>
      </w:r>
      <w:r>
        <w:rPr>
          <w:rFonts w:ascii="Arial" w:eastAsia="Arial" w:hAnsi="Arial" w:cs="Arial"/>
          <w:i/>
          <w:color w:val="000000"/>
          <w:sz w:val="20"/>
        </w:rPr>
        <w:t>because of</w:t>
      </w:r>
      <w:r>
        <w:rPr>
          <w:rFonts w:ascii="Arial" w:eastAsia="Arial" w:hAnsi="Arial" w:cs="Arial"/>
          <w:color w:val="000000"/>
          <w:sz w:val="20"/>
        </w:rPr>
        <w:t xml:space="preserve"> [their] disabilities, relinquish participation in community life they could enjoy given reasonable accommodations, while persons without [those] disabilities can receive [***76]  the medical services . . . without similar sacrifice."  [*1102]   [**187]  </w:t>
      </w:r>
      <w:bookmarkStart w:id="1078" w:name="Bookmark_I5WHY2M12HM6Y90040000400"/>
      <w:bookmarkEnd w:id="1078"/>
      <w:r>
        <w:rPr>
          <w:rFonts w:ascii="Arial" w:eastAsia="Arial" w:hAnsi="Arial" w:cs="Arial"/>
          <w:i/>
          <w:color w:val="000000"/>
          <w:sz w:val="20"/>
        </w:rPr>
        <w:t>Id.</w:t>
      </w:r>
      <w:r>
        <w:rPr>
          <w:rFonts w:ascii="Arial" w:eastAsia="Arial" w:hAnsi="Arial" w:cs="Arial"/>
          <w:color w:val="000000"/>
          <w:sz w:val="20"/>
        </w:rPr>
        <w:t xml:space="preserve"> at 601 (emphasis added).</w:t>
      </w:r>
    </w:p>
    <w:p w:rsidR="00E456CD" w:rsidRDefault="00000000">
      <w:pPr>
        <w:pStyle w:val="Normal3"/>
        <w:widowControl w:val="0"/>
        <w:spacing w:before="200" w:line="260" w:lineRule="atLeast"/>
        <w:jc w:val="both"/>
      </w:pPr>
      <w:bookmarkStart w:id="1079" w:name="Bookmark_para_118"/>
      <w:bookmarkEnd w:id="1079"/>
      <w:r>
        <w:rPr>
          <w:rFonts w:ascii="Arial" w:eastAsia="Arial" w:hAnsi="Arial" w:cs="Arial"/>
          <w:color w:val="000000"/>
          <w:sz w:val="20"/>
        </w:rPr>
        <w:t>On remand, the District may attempt to prove that "but for" causation does not exist — in other words, that the plaintiffs would remain in their nursing facilities even if the government were to fix the identified deficiencies. When read alongside the DOJ's interpretation of the Title II regulation, the fundamental alteration standard must allow for such an attack on causation. This makes eminent sense; it is inequitable to require the government to change its programming if the change is futile.</w:t>
      </w:r>
    </w:p>
    <w:p w:rsidR="00E456CD" w:rsidRDefault="00000000">
      <w:pPr>
        <w:pStyle w:val="Normal3"/>
        <w:widowControl w:val="0"/>
        <w:spacing w:before="200" w:line="260" w:lineRule="atLeast"/>
        <w:jc w:val="both"/>
      </w:pPr>
      <w:bookmarkStart w:id="1080" w:name="Bookmark_para_119"/>
      <w:bookmarkStart w:id="1081" w:name="Bookmark_I5H1TNT3J85000063S7000PG"/>
      <w:bookmarkStart w:id="1082" w:name="Bookmark_I5WHY2M12HM6YB0020000400"/>
      <w:bookmarkEnd w:id="1080"/>
      <w:bookmarkEnd w:id="1081"/>
      <w:bookmarkEnd w:id="1082"/>
      <w:r>
        <w:rPr>
          <w:rFonts w:ascii="Arial" w:eastAsia="Arial" w:hAnsi="Arial" w:cs="Arial"/>
          <w:color w:val="000000"/>
          <w:sz w:val="20"/>
        </w:rPr>
        <w:t xml:space="preserve">The District Court expressed concerns that the lack of housing might break the causal link. </w:t>
      </w:r>
      <w:r>
        <w:rPr>
          <w:rFonts w:ascii="Arial" w:eastAsia="Arial" w:hAnsi="Arial" w:cs="Arial"/>
          <w:i/>
          <w:color w:val="000000"/>
          <w:sz w:val="20"/>
        </w:rPr>
        <w:t xml:space="preserve">See </w:t>
      </w:r>
      <w:bookmarkStart w:id="1083" w:name="Bookmark_I5WHY2M12HM6YB0010000400"/>
      <w:bookmarkEnd w:id="1083"/>
      <w:r>
        <w:rPr>
          <w:rFonts w:ascii="Arial" w:eastAsia="Arial" w:hAnsi="Arial" w:cs="Arial"/>
          <w:i/>
          <w:color w:val="000000"/>
          <w:sz w:val="20"/>
        </w:rPr>
        <w:t>Brown</w:t>
      </w:r>
      <w:r>
        <w:rPr>
          <w:rFonts w:ascii="Arial" w:eastAsia="Arial" w:hAnsi="Arial" w:cs="Arial"/>
          <w:color w:val="000000"/>
          <w:sz w:val="20"/>
        </w:rPr>
        <w:t xml:space="preserve">, 322 F.R.D. at 63. Perhaps. But that is for to the District to prove and for the District Court to conclude. As the </w:t>
      </w:r>
      <w:r>
        <w:rPr>
          <w:rFonts w:ascii="Arial" w:eastAsia="Arial" w:hAnsi="Arial" w:cs="Arial"/>
          <w:i/>
          <w:color w:val="000000"/>
          <w:sz w:val="20"/>
        </w:rPr>
        <w:t>Price Waterhouse</w:t>
      </w:r>
      <w:r>
        <w:rPr>
          <w:rFonts w:ascii="Arial" w:eastAsia="Arial" w:hAnsi="Arial" w:cs="Arial"/>
          <w:color w:val="000000"/>
          <w:sz w:val="20"/>
        </w:rPr>
        <w:t xml:space="preserve"> framework makes clear, if the government succeeds in rebutting the </w:t>
      </w:r>
      <w:r>
        <w:rPr>
          <w:rFonts w:ascii="Arial" w:eastAsia="Arial" w:hAnsi="Arial" w:cs="Arial"/>
          <w:i/>
          <w:color w:val="000000"/>
          <w:sz w:val="20"/>
        </w:rPr>
        <w:t>prima facie</w:t>
      </w:r>
      <w:r>
        <w:rPr>
          <w:rFonts w:ascii="Arial" w:eastAsia="Arial" w:hAnsi="Arial" w:cs="Arial"/>
          <w:color w:val="000000"/>
          <w:sz w:val="20"/>
        </w:rPr>
        <w:t xml:space="preserve"> showing of causation, the District Court should enter judgment in its favor.</w:t>
      </w:r>
    </w:p>
    <w:p w:rsidR="00E456CD" w:rsidRDefault="00000000">
      <w:pPr>
        <w:pStyle w:val="Normal3"/>
        <w:widowControl w:val="0"/>
        <w:spacing w:before="200" w:line="260" w:lineRule="atLeast"/>
        <w:jc w:val="both"/>
      </w:pPr>
      <w:bookmarkStart w:id="1084" w:name="Bookmark_para_120"/>
      <w:bookmarkEnd w:id="1084"/>
      <w:r>
        <w:rPr>
          <w:rFonts w:ascii="Arial" w:eastAsia="Arial" w:hAnsi="Arial" w:cs="Arial"/>
          <w:color w:val="000000"/>
          <w:sz w:val="20"/>
        </w:rPr>
        <w:t>Accordingly, I break from my colleagues' suggestion that a demonstrated lack of housing "alone" could never "resolve the litigation in the District's favor." Majority Op. 26 n.13. For that additional reason, I cannot join the majority opinion. I therefore respectfully [***77]  concur only in the judgment.</w:t>
      </w:r>
    </w:p>
    <w:p w:rsidR="00E456CD" w:rsidRDefault="00E456CD">
      <w:pPr>
        <w:pStyle w:val="Normal3"/>
      </w:pPr>
    </w:p>
    <w:p w:rsidR="00E456CD" w:rsidRDefault="00000000">
      <w:pPr>
        <w:pStyle w:val="Normal3"/>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0077184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8879B"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
        <w:sectPr w:rsidR="00E456CD">
          <w:headerReference w:type="even" r:id="rId30"/>
          <w:headerReference w:type="default" r:id="rId31"/>
          <w:footerReference w:type="even" r:id="rId32"/>
          <w:footerReference w:type="default" r:id="rId33"/>
          <w:headerReference w:type="first" r:id="rId34"/>
          <w:footerReference w:type="first" r:id="rId35"/>
          <w:pgSz w:w="12240" w:h="15840"/>
          <w:pgMar w:top="840" w:right="1000" w:bottom="840" w:left="1000" w:header="400" w:footer="400" w:gutter="0"/>
          <w:cols w:space="720"/>
          <w:titlePg/>
        </w:sectPr>
      </w:pPr>
    </w:p>
    <w:p w:rsidR="00E456CD" w:rsidRDefault="00E456CD">
      <w:pPr>
        <w:pStyle w:val="Normal4"/>
      </w:pPr>
    </w:p>
    <w:p w:rsidR="00E456CD" w:rsidRDefault="00000000">
      <w:pPr>
        <w:pStyle w:val="Heading13"/>
        <w:keepNext w:val="0"/>
        <w:widowControl w:val="0"/>
        <w:spacing w:after="200" w:line="340" w:lineRule="atLeast"/>
        <w:jc w:val="center"/>
      </w:pPr>
      <w:r>
        <w:rPr>
          <w:rFonts w:eastAsia="Arial"/>
          <w:color w:val="000000"/>
          <w:sz w:val="28"/>
        </w:rPr>
        <w:t>Kokinda v. Pa. Dep't of Corr.</w:t>
      </w:r>
    </w:p>
    <w:p w:rsidR="00E456CD" w:rsidRDefault="00000000">
      <w:pPr>
        <w:pStyle w:val="Normal4"/>
        <w:widowControl w:val="0"/>
        <w:spacing w:before="120" w:line="260" w:lineRule="atLeast"/>
        <w:jc w:val="center"/>
      </w:pPr>
      <w:r>
        <w:rPr>
          <w:rFonts w:ascii="Arial" w:eastAsia="Arial" w:hAnsi="Arial" w:cs="Arial"/>
          <w:color w:val="000000"/>
          <w:sz w:val="20"/>
        </w:rPr>
        <w:t>United States Court of Appeals for the Third Circuit</w:t>
      </w:r>
    </w:p>
    <w:p w:rsidR="00E456CD" w:rsidRDefault="00000000">
      <w:pPr>
        <w:pStyle w:val="Normal4"/>
        <w:widowControl w:val="0"/>
        <w:spacing w:before="120" w:line="260" w:lineRule="atLeast"/>
        <w:jc w:val="center"/>
      </w:pPr>
      <w:r>
        <w:rPr>
          <w:rFonts w:ascii="Arial" w:eastAsia="Arial" w:hAnsi="Arial" w:cs="Arial"/>
          <w:color w:val="000000"/>
          <w:sz w:val="20"/>
        </w:rPr>
        <w:t>July 19, 2018, Submitted Pursuant to Third Circuit LAR 34.1(a); June 24, 2019, Opinion Filed</w:t>
      </w:r>
    </w:p>
    <w:p w:rsidR="00E456CD" w:rsidRDefault="00000000">
      <w:pPr>
        <w:pStyle w:val="Normal4"/>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17-3165</w:t>
      </w:r>
    </w:p>
    <w:p w:rsidR="00E456CD" w:rsidRDefault="00E456CD">
      <w:pPr>
        <w:pStyle w:val="Normal4"/>
        <w:widowControl w:val="0"/>
        <w:spacing w:line="240" w:lineRule="atLeast"/>
        <w:jc w:val="both"/>
      </w:pPr>
      <w:bookmarkStart w:id="1085" w:name="Bookmark_5"/>
      <w:bookmarkEnd w:id="1085"/>
    </w:p>
    <w:p w:rsidR="00E456CD" w:rsidRDefault="00000000">
      <w:pPr>
        <w:pStyle w:val="Normal4"/>
        <w:widowControl w:val="0"/>
        <w:spacing w:before="200" w:line="240" w:lineRule="atLeast"/>
      </w:pPr>
      <w:bookmarkStart w:id="1086" w:name="Reporter_3"/>
      <w:bookmarkEnd w:id="1086"/>
      <w:r>
        <w:rPr>
          <w:rFonts w:ascii="Arial" w:eastAsia="Arial" w:hAnsi="Arial" w:cs="Arial"/>
          <w:b/>
          <w:color w:val="000000"/>
          <w:sz w:val="18"/>
        </w:rPr>
        <w:t>Reporter</w:t>
      </w:r>
    </w:p>
    <w:p w:rsidR="00E456CD" w:rsidRDefault="00000000">
      <w:pPr>
        <w:pStyle w:val="Normal4"/>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779 Fed. Appx. 938 *; 2019 U.S. App. LEXIS 18776 **; 2019 WL 2577750</w:t>
      </w:r>
    </w:p>
    <w:p w:rsidR="00E456CD" w:rsidRDefault="00000000">
      <w:pPr>
        <w:pStyle w:val="Normal4"/>
        <w:widowControl w:val="0"/>
        <w:spacing w:before="120" w:line="260" w:lineRule="atLeast"/>
      </w:pPr>
      <w:r>
        <w:rPr>
          <w:rFonts w:ascii="Arial" w:eastAsia="Arial" w:hAnsi="Arial" w:cs="Arial"/>
          <w:color w:val="000000"/>
          <w:sz w:val="20"/>
        </w:rPr>
        <w:t>JASON KOKINDA, Appellant v. PENNSYLVANIA DEPARTMENT OF CORRECTIONS; DR. PILLAI, (Official/personal capacity); CHRISTOPHER H. OPPMAN, MBA, MHA (official/personal capacity); PATRICIA STOVER, (official/personal capacity); IRMA VIHLIDAL, (Medical Director) (official/personal capacity); MARK DIALESANDRO, DSCS (official/ personal capacity); ROBERT GILMORE, (Superintendent) (official/personal capacity); JOHN DOE #1, CHCA (official/personal capacity); SHELLEY MANKEY, (Unit Manager) (official/personal capacity); CORRECT CARE SOLUTIONS, (Official/personal capacity)</w:t>
      </w:r>
    </w:p>
    <w:p w:rsidR="00E456CD" w:rsidRDefault="00000000">
      <w:pPr>
        <w:pStyle w:val="Normal4"/>
        <w:widowControl w:val="0"/>
        <w:spacing w:before="240" w:line="260" w:lineRule="atLeast"/>
        <w:jc w:val="both"/>
      </w:pPr>
      <w:bookmarkStart w:id="1087" w:name="Notice_0"/>
      <w:bookmarkEnd w:id="1087"/>
      <w:r>
        <w:rPr>
          <w:rFonts w:ascii="Arial" w:eastAsia="Arial" w:hAnsi="Arial" w:cs="Arial"/>
          <w:b/>
          <w:color w:val="000000"/>
          <w:sz w:val="20"/>
        </w:rPr>
        <w:t>Notice:</w:t>
      </w:r>
      <w:r>
        <w:rPr>
          <w:rFonts w:ascii="Arial" w:eastAsia="Arial" w:hAnsi="Arial" w:cs="Arial"/>
          <w:color w:val="000000"/>
          <w:sz w:val="20"/>
        </w:rPr>
        <w:t> </w:t>
      </w:r>
      <w:bookmarkStart w:id="1088" w:name="Bookmark_para_1_3"/>
      <w:bookmarkEnd w:id="1088"/>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4"/>
        <w:widowControl w:val="0"/>
        <w:spacing w:before="240" w:line="260" w:lineRule="atLeast"/>
        <w:jc w:val="both"/>
      </w:pPr>
      <w:bookmarkStart w:id="1089" w:name="Prior_History_3"/>
      <w:bookmarkEnd w:id="1089"/>
      <w:r>
        <w:rPr>
          <w:rFonts w:ascii="Arial" w:eastAsia="Arial" w:hAnsi="Arial" w:cs="Arial"/>
          <w:b/>
          <w:color w:val="000000"/>
          <w:sz w:val="20"/>
        </w:rPr>
        <w:t>Prior History:</w:t>
      </w:r>
      <w:r>
        <w:rPr>
          <w:rFonts w:ascii="Arial" w:eastAsia="Arial" w:hAnsi="Arial" w:cs="Arial"/>
          <w:color w:val="000000"/>
          <w:sz w:val="20"/>
        </w:rPr>
        <w:t> </w:t>
      </w:r>
      <w:bookmarkStart w:id="1090" w:name="Bookmark_para_2_3"/>
      <w:bookmarkEnd w:id="1090"/>
      <w:r>
        <w:rPr>
          <w:rFonts w:ascii="Arial" w:eastAsia="Arial" w:hAnsi="Arial" w:cs="Arial"/>
          <w:color w:val="000000"/>
          <w:sz w:val="20"/>
        </w:rPr>
        <w:t> [**1] On Appeal from the United States District Court for the Western District of Pennsylvania. (D.C. Civil No. 16-cv-01457). District Judge: Honorable Mark R. Hornak.</w:t>
      </w:r>
    </w:p>
    <w:p w:rsidR="00E456CD" w:rsidRDefault="00000000">
      <w:pPr>
        <w:pStyle w:val="Normal4"/>
        <w:widowControl w:val="0"/>
        <w:spacing w:before="120" w:line="260" w:lineRule="atLeast"/>
      </w:pPr>
      <w:r>
        <w:rPr>
          <w:rFonts w:ascii="Arial" w:eastAsia="Arial" w:hAnsi="Arial" w:cs="Arial"/>
          <w:color w:val="000000"/>
          <w:sz w:val="20"/>
        </w:rPr>
        <w:t>Kokinda v. Pa. Dep't of Corr., 2017 U.S. Dist. LEXIS 147349 (W.D. Pa., Sept. 12, 2017)</w:t>
      </w:r>
    </w:p>
    <w:p w:rsidR="00E456CD" w:rsidRDefault="00000000">
      <w:pPr>
        <w:pStyle w:val="Normal4"/>
        <w:widowControl w:val="0"/>
        <w:spacing w:before="240" w:line="260" w:lineRule="atLeast"/>
      </w:pPr>
      <w:bookmarkStart w:id="1091" w:name="Counsel_3"/>
      <w:bookmarkEnd w:id="1091"/>
      <w:r>
        <w:rPr>
          <w:rFonts w:ascii="Arial" w:eastAsia="Arial" w:hAnsi="Arial" w:cs="Arial"/>
          <w:b/>
          <w:color w:val="000000"/>
          <w:sz w:val="20"/>
        </w:rPr>
        <w:t>Counsel:</w:t>
      </w:r>
      <w:r>
        <w:rPr>
          <w:rFonts w:ascii="Arial" w:eastAsia="Arial" w:hAnsi="Arial" w:cs="Arial"/>
          <w:color w:val="000000"/>
          <w:sz w:val="20"/>
        </w:rPr>
        <w:t> Jason Kokinda, Plaintiff - Appellant, Pro se, Hammonton, NJ.</w:t>
      </w:r>
    </w:p>
    <w:p w:rsidR="00E456CD" w:rsidRDefault="00000000">
      <w:pPr>
        <w:pStyle w:val="Normal4"/>
        <w:widowControl w:val="0"/>
        <w:spacing w:before="120" w:line="260" w:lineRule="atLeast"/>
      </w:pPr>
      <w:r>
        <w:rPr>
          <w:rFonts w:ascii="Arial" w:eastAsia="Arial" w:hAnsi="Arial" w:cs="Arial"/>
          <w:color w:val="000000"/>
          <w:sz w:val="20"/>
        </w:rPr>
        <w:t>For Pennsylvania Department of Corrections, CHRISTOPHER H. OPPMAN, MBA, MHA (official/personal capacity), PATRICIA STOVER, (official/personal capacity), IRMA VIHLIDAL, (Medical Director) (official/personal capacity), DIALESANDRO, DSCS (official/ personal capacity), ROBERT GILMORE, (Superintendent) (official/personal capacity), SHELLY MANKEY, (Unit Manager) (official/personal capacity), Defendant - Appellees: Timothy Mazzocca, Esq., Kemal A. Mericli, Esq., Office of Attorney General of Pennsylvania, Pittsburgh, PA.</w:t>
      </w:r>
    </w:p>
    <w:p w:rsidR="00E456CD" w:rsidRDefault="00000000">
      <w:pPr>
        <w:pStyle w:val="Normal4"/>
        <w:widowControl w:val="0"/>
        <w:spacing w:before="120" w:line="260" w:lineRule="atLeast"/>
      </w:pPr>
      <w:r>
        <w:rPr>
          <w:rFonts w:ascii="Arial" w:eastAsia="Arial" w:hAnsi="Arial" w:cs="Arial"/>
          <w:color w:val="000000"/>
          <w:sz w:val="20"/>
        </w:rPr>
        <w:t>For PILLAI, (Official/personal capacity), Defendant - Appellee: Cassidy L. Neal, Esq., Matis Baum &amp; O'Connor, Pittsburgh, PA.</w:t>
      </w:r>
    </w:p>
    <w:p w:rsidR="00E456CD" w:rsidRDefault="00000000">
      <w:pPr>
        <w:pStyle w:val="Normal4"/>
        <w:widowControl w:val="0"/>
        <w:spacing w:before="120" w:line="260" w:lineRule="atLeast"/>
      </w:pPr>
      <w:r>
        <w:rPr>
          <w:rFonts w:ascii="Arial" w:eastAsia="Arial" w:hAnsi="Arial" w:cs="Arial"/>
          <w:color w:val="000000"/>
          <w:sz w:val="20"/>
        </w:rPr>
        <w:t>For CORRECT CARE SOLUTIONS, (Official/personal capacity), Defendant - Appellee: Samuel H. Foreman, Esq., Benjamin M. Lombard, Esq., Tiffany R. Temas, Esq., Weber Gallagher Simpson Stapleton Fires &amp; Newby, Pittsburgh, PA.</w:t>
      </w:r>
    </w:p>
    <w:p w:rsidR="00E456CD" w:rsidRDefault="00000000">
      <w:pPr>
        <w:pStyle w:val="Normal4"/>
        <w:widowControl w:val="0"/>
        <w:spacing w:before="240" w:line="260" w:lineRule="atLeast"/>
      </w:pPr>
      <w:bookmarkStart w:id="1092" w:name="Judges_3"/>
      <w:bookmarkEnd w:id="1092"/>
      <w:r>
        <w:rPr>
          <w:rFonts w:ascii="Arial" w:eastAsia="Arial" w:hAnsi="Arial" w:cs="Arial"/>
          <w:b/>
          <w:color w:val="000000"/>
          <w:sz w:val="20"/>
        </w:rPr>
        <w:t>Judges:</w:t>
      </w:r>
      <w:r>
        <w:rPr>
          <w:rFonts w:ascii="Arial" w:eastAsia="Arial" w:hAnsi="Arial" w:cs="Arial"/>
          <w:color w:val="000000"/>
          <w:sz w:val="20"/>
        </w:rPr>
        <w:t> Before: GREENAWAY, JR., BIBAS and ROTH, Circuit Judges.</w:t>
      </w:r>
    </w:p>
    <w:p w:rsidR="00E456CD" w:rsidRDefault="00000000">
      <w:pPr>
        <w:pStyle w:val="Normal4"/>
        <w:keepNext/>
        <w:widowControl w:val="0"/>
        <w:spacing w:before="240" w:line="340" w:lineRule="atLeast"/>
      </w:pPr>
      <w:bookmarkStart w:id="1093" w:name="Opinion_3"/>
      <w:bookmarkEnd w:id="1093"/>
      <w:r>
        <w:rPr>
          <w:rFonts w:ascii="Arial" w:eastAsia="Arial" w:hAnsi="Arial" w:cs="Arial"/>
          <w:b/>
          <w:color w:val="000000"/>
          <w:sz w:val="28"/>
        </w:rPr>
        <w:t>Opinion</w:t>
      </w:r>
    </w:p>
    <w:p w:rsidR="00E456CD" w:rsidRDefault="00E22289">
      <w:pPr>
        <w:pStyle w:val="Normal4"/>
        <w:spacing w:line="60" w:lineRule="exact"/>
      </w:pPr>
      <w:r>
        <w:rPr>
          <w:noProof/>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56591513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748BB" id="Line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
        <w:spacing w:line="120" w:lineRule="exact"/>
      </w:pPr>
    </w:p>
    <w:p w:rsidR="00E456CD" w:rsidRDefault="00000000">
      <w:pPr>
        <w:pStyle w:val="Normal4"/>
        <w:widowControl w:val="0"/>
        <w:spacing w:before="240" w:line="260" w:lineRule="atLeast"/>
      </w:pPr>
      <w:r>
        <w:br/>
      </w:r>
      <w:r>
        <w:rPr>
          <w:rFonts w:ascii="Arial" w:eastAsia="Arial" w:hAnsi="Arial" w:cs="Arial"/>
          <w:color w:val="000000"/>
          <w:sz w:val="20"/>
        </w:rPr>
        <w:t> [*939]  OPINION</w:t>
      </w:r>
      <w:r>
        <w:rPr>
          <w:rFonts w:ascii="Arial" w:eastAsia="Arial" w:hAnsi="Arial" w:cs="Arial"/>
          <w:vertAlign w:val="superscript"/>
        </w:rPr>
        <w:footnoteReference w:customMarkFollows="1" w:id="54"/>
        <w:t>*</w:t>
      </w:r>
    </w:p>
    <w:p w:rsidR="00E456CD" w:rsidRDefault="00000000">
      <w:pPr>
        <w:pStyle w:val="Normal4"/>
        <w:widowControl w:val="0"/>
        <w:spacing w:before="200" w:line="260" w:lineRule="atLeast"/>
        <w:jc w:val="both"/>
      </w:pPr>
      <w:bookmarkStart w:id="1095" w:name="Bookmark_para_3_3"/>
      <w:bookmarkEnd w:id="1095"/>
      <w:r>
        <w:rPr>
          <w:rFonts w:ascii="Arial" w:eastAsia="Arial" w:hAnsi="Arial" w:cs="Arial"/>
          <w:color w:val="000000"/>
          <w:sz w:val="20"/>
        </w:rPr>
        <w:t>PER CURIAM</w:t>
      </w:r>
    </w:p>
    <w:p w:rsidR="00E456CD" w:rsidRDefault="00000000">
      <w:pPr>
        <w:pStyle w:val="Normal4"/>
        <w:widowControl w:val="0"/>
        <w:spacing w:before="200" w:line="260" w:lineRule="atLeast"/>
        <w:jc w:val="both"/>
      </w:pPr>
      <w:bookmarkStart w:id="1096" w:name="Bookmark_para_4_3"/>
      <w:bookmarkEnd w:id="1096"/>
      <w:r>
        <w:rPr>
          <w:rFonts w:ascii="Arial" w:eastAsia="Arial" w:hAnsi="Arial" w:cs="Arial"/>
          <w:color w:val="000000"/>
          <w:sz w:val="20"/>
        </w:rPr>
        <w:t>Appellant, Jason Kokinda, appeals from the District [**2]  Court's order dismissing his  [*940]  civil action. We will affirm the District Court's judgment.</w:t>
      </w:r>
    </w:p>
    <w:p w:rsidR="00E456CD" w:rsidRDefault="00000000">
      <w:pPr>
        <w:pStyle w:val="Normal4"/>
        <w:widowControl w:val="0"/>
        <w:spacing w:before="200" w:line="260" w:lineRule="atLeast"/>
        <w:jc w:val="both"/>
      </w:pPr>
      <w:bookmarkStart w:id="1097" w:name="Bookmark_para_5_3"/>
      <w:bookmarkEnd w:id="1097"/>
      <w:r>
        <w:rPr>
          <w:rFonts w:ascii="Arial" w:eastAsia="Arial" w:hAnsi="Arial" w:cs="Arial"/>
          <w:color w:val="000000"/>
          <w:sz w:val="20"/>
        </w:rPr>
        <w:t>Kokinda, formerly a Pennsylvania prisoner at the State Correctional Institution in Waynesburg, Pennsylvania ("SCI-Greene"), filed a civil rights complaint pursuant to 42 U.S.C. §§ 1983, 1985(3) and 1986, as well as Title II of the Americans with Disabilities Act ("ADA"), 42 U.S.C. § 12132. Named as defendants were the Pennsylvania Department of Corrections ("DOC"), numerous employees of the DOC, a medical-services contractor, and a prison medical-services provider.</w:t>
      </w:r>
      <w:r>
        <w:rPr>
          <w:rFonts w:ascii="Arial" w:eastAsia="Arial" w:hAnsi="Arial" w:cs="Arial"/>
          <w:vertAlign w:val="superscript"/>
        </w:rPr>
        <w:footnoteReference w:customMarkFollows="1" w:id="55"/>
        <w:t>1</w:t>
      </w:r>
      <w:r>
        <w:rPr>
          <w:rFonts w:ascii="Arial" w:eastAsia="Arial" w:hAnsi="Arial" w:cs="Arial"/>
          <w:color w:val="000000"/>
          <w:sz w:val="20"/>
        </w:rPr>
        <w:t xml:space="preserve"> Defendants were sued in their official and individual capacities. In his third amended complaint (which is the operative pleading), Kokinda alleged that the various defendants violated his First, Eighth, and Fourteenth Amendment rights by denying him proper mental health treatment and related ADA accommodations, and by engaging in retaliation and a civil conspiracy.</w:t>
      </w:r>
    </w:p>
    <w:p w:rsidR="00E456CD" w:rsidRDefault="00000000">
      <w:pPr>
        <w:pStyle w:val="Normal4"/>
        <w:widowControl w:val="0"/>
        <w:spacing w:before="200" w:line="260" w:lineRule="atLeast"/>
        <w:jc w:val="both"/>
      </w:pPr>
      <w:bookmarkStart w:id="1099" w:name="Bookmark_para_6_3"/>
      <w:bookmarkEnd w:id="1099"/>
      <w:r>
        <w:rPr>
          <w:rFonts w:ascii="Arial" w:eastAsia="Arial" w:hAnsi="Arial" w:cs="Arial"/>
          <w:color w:val="000000"/>
          <w:sz w:val="20"/>
        </w:rPr>
        <w:t xml:space="preserve">The Magistrate Judge ("MJ") to whom the action was referred issued a Report and Recommendation ("R&amp;R") that sets forth, in detail, the allegations of Kokinda's complaint against defendants. </w:t>
      </w:r>
      <w:r>
        <w:rPr>
          <w:rFonts w:ascii="Arial" w:eastAsia="Arial" w:hAnsi="Arial" w:cs="Arial"/>
          <w:color w:val="000000"/>
          <w:sz w:val="20"/>
          <w:u w:val="single"/>
        </w:rPr>
        <w:t>See</w:t>
      </w:r>
      <w:r>
        <w:rPr>
          <w:rFonts w:ascii="Arial" w:eastAsia="Arial" w:hAnsi="Arial" w:cs="Arial"/>
          <w:color w:val="000000"/>
          <w:sz w:val="20"/>
        </w:rPr>
        <w:t xml:space="preserve"> R&amp;R at 2-6. Accordingly, we only briefly summarize those allegations here. Kokinda claims that on September 30, 2014, when he was housed on the mental health block at [**3]  SCI-Greene, he submitted a request slip to CHCA Vihlidal that included an Inmate Disability Accommodation Form. In that form, he requested several accommodations for his alleged disabilities of Obsessive Compulsive Disorder and Hallucinogen Persisting Perception Disorder ("OCD/HPPD"), which resulted from his use of LSD as a teenager. When experiencing a stressful environment like the mental health block at SCI-Greene, Kokinda asserts that his OCD/HPPD "results in agitating ego-dystonic dreamlike visual thoughts ... and [the] perception of things being contaminated with LSD; causing disorientation if [he] fails to effectuate specific cleaning rituals." Compl. at ¶¶ 1-2. To assist with managing his condition, Kokinda requested permission to take nightly showers, to be housed on a particular unit in a single cell, to be provided with a special soap containing lye, to be able to clean adequately, to be treated under more relaxed policies, and to be able to direct the order that prison officials searched his cell. </w:t>
      </w:r>
      <w:r>
        <w:rPr>
          <w:rFonts w:ascii="Arial" w:eastAsia="Arial" w:hAnsi="Arial" w:cs="Arial"/>
          <w:color w:val="000000"/>
          <w:sz w:val="20"/>
          <w:u w:val="single"/>
        </w:rPr>
        <w:t>Id.</w:t>
      </w:r>
      <w:r>
        <w:rPr>
          <w:rFonts w:ascii="Arial" w:eastAsia="Arial" w:hAnsi="Arial" w:cs="Arial"/>
          <w:color w:val="000000"/>
          <w:sz w:val="20"/>
        </w:rPr>
        <w:t xml:space="preserve"> at ¶¶ 10-11. CHCA Vihlidal ultimately denied Kokinda's requests in one form or another, and denied his subsequent request for, inter alia, an immediate transfer to a lower [**4]  security prison that does not use "misanthropic psychological adversity techniques as a form of mind-control security." </w:t>
      </w:r>
      <w:r>
        <w:rPr>
          <w:rFonts w:ascii="Arial" w:eastAsia="Arial" w:hAnsi="Arial" w:cs="Arial"/>
          <w:color w:val="000000"/>
          <w:sz w:val="20"/>
          <w:u w:val="single"/>
        </w:rPr>
        <w:t>Id.</w:t>
      </w:r>
      <w:r>
        <w:rPr>
          <w:rFonts w:ascii="Arial" w:eastAsia="Arial" w:hAnsi="Arial" w:cs="Arial"/>
          <w:color w:val="000000"/>
          <w:sz w:val="20"/>
        </w:rPr>
        <w:t xml:space="preserve"> at ¶ 22.</w:t>
      </w:r>
    </w:p>
    <w:p w:rsidR="00E456CD" w:rsidRDefault="00000000">
      <w:pPr>
        <w:pStyle w:val="Normal4"/>
        <w:widowControl w:val="0"/>
        <w:spacing w:before="200" w:line="260" w:lineRule="atLeast"/>
        <w:jc w:val="both"/>
      </w:pPr>
      <w:bookmarkStart w:id="1100" w:name="Bookmark_para_7_3"/>
      <w:bookmarkEnd w:id="1100"/>
      <w:r>
        <w:rPr>
          <w:rFonts w:ascii="Arial" w:eastAsia="Arial" w:hAnsi="Arial" w:cs="Arial"/>
          <w:color w:val="000000"/>
          <w:sz w:val="20"/>
        </w:rPr>
        <w:t xml:space="preserve">Kokinda asserts that the lack of accommodations caused him to suffer effects similar to a "bad trip" on LSD. </w:t>
      </w:r>
      <w:r>
        <w:rPr>
          <w:rFonts w:ascii="Arial" w:eastAsia="Arial" w:hAnsi="Arial" w:cs="Arial"/>
          <w:color w:val="000000"/>
          <w:sz w:val="20"/>
          <w:u w:val="single"/>
        </w:rPr>
        <w:t>Id.</w:t>
      </w:r>
      <w:r>
        <w:rPr>
          <w:rFonts w:ascii="Arial" w:eastAsia="Arial" w:hAnsi="Arial" w:cs="Arial"/>
          <w:color w:val="000000"/>
          <w:sz w:val="20"/>
        </w:rPr>
        <w:t xml:space="preserve"> at ¶ 20. He claims that, by denying his requests, CHCA Vihlidal showed deliberate indifference to his serious medical needs. </w:t>
      </w:r>
      <w:r>
        <w:rPr>
          <w:rFonts w:ascii="Arial" w:eastAsia="Arial" w:hAnsi="Arial" w:cs="Arial"/>
          <w:color w:val="000000"/>
          <w:sz w:val="20"/>
          <w:u w:val="single"/>
        </w:rPr>
        <w:t>Id.</w:t>
      </w:r>
      <w:r>
        <w:rPr>
          <w:rFonts w:ascii="Arial" w:eastAsia="Arial" w:hAnsi="Arial" w:cs="Arial"/>
          <w:color w:val="000000"/>
          <w:sz w:val="20"/>
        </w:rPr>
        <w:t xml:space="preserve"> at ¶ 24. Defendants Oppman, Stover, DSCS DiAlesandro and Gilmore were alleged to be responsible as a result of their supervisory positions within the DOC. </w:t>
      </w:r>
      <w:r>
        <w:rPr>
          <w:rFonts w:ascii="Arial" w:eastAsia="Arial" w:hAnsi="Arial" w:cs="Arial"/>
          <w:color w:val="000000"/>
          <w:sz w:val="20"/>
          <w:u w:val="single"/>
        </w:rPr>
        <w:t>Id.</w:t>
      </w:r>
      <w:r>
        <w:rPr>
          <w:rFonts w:ascii="Arial" w:eastAsia="Arial" w:hAnsi="Arial" w:cs="Arial"/>
          <w:color w:val="000000"/>
          <w:sz w:val="20"/>
        </w:rPr>
        <w:t xml:space="preserve"> at ¶¶ 38-41. Supervisory liability was likewise asserted against CCS, as was a claim of liability based on its failure to ensure that prisoners with disabilities are "properly accommodated with flexible policies" and  [*941]  for its failure to ensure that prisoners "are not fully denied handicap-related medical services." </w:t>
      </w:r>
      <w:r>
        <w:rPr>
          <w:rFonts w:ascii="Arial" w:eastAsia="Arial" w:hAnsi="Arial" w:cs="Arial"/>
          <w:color w:val="000000"/>
          <w:sz w:val="20"/>
          <w:u w:val="single"/>
        </w:rPr>
        <w:t>Id.</w:t>
      </w:r>
      <w:r>
        <w:rPr>
          <w:rFonts w:ascii="Arial" w:eastAsia="Arial" w:hAnsi="Arial" w:cs="Arial"/>
          <w:color w:val="000000"/>
          <w:sz w:val="20"/>
        </w:rPr>
        <w:t xml:space="preserve"> at ¶ 37. Dr. Pillai, a treating physician at SCIGreene, was alleged to have been liable for "not recording nor reporting the severity of [Kokinda's] 'stress-induced symptoms,'" not "helping [him] obtain ADA accommodations," and denying him "handicap-related medical services altogether; by not even providing any treatment for his severe OCD/HPPD [**5]  at all, whatsoever." </w:t>
      </w:r>
      <w:r>
        <w:rPr>
          <w:rFonts w:ascii="Arial" w:eastAsia="Arial" w:hAnsi="Arial" w:cs="Arial"/>
          <w:color w:val="000000"/>
          <w:sz w:val="20"/>
          <w:u w:val="single"/>
        </w:rPr>
        <w:t>Id.</w:t>
      </w:r>
      <w:r>
        <w:rPr>
          <w:rFonts w:ascii="Arial" w:eastAsia="Arial" w:hAnsi="Arial" w:cs="Arial"/>
          <w:color w:val="000000"/>
          <w:sz w:val="20"/>
        </w:rPr>
        <w:t xml:space="preserve"> at ¶¶ 42, 44. Kokinda further alleged that all defendants are culpable as conspirators due to their participation in a "secret unconstitutional policy of greed (generating profits at the expense of prisoners' health and lives), above any sense of morality or conscience." </w:t>
      </w:r>
      <w:r>
        <w:rPr>
          <w:rFonts w:ascii="Arial" w:eastAsia="Arial" w:hAnsi="Arial" w:cs="Arial"/>
          <w:color w:val="000000"/>
          <w:sz w:val="20"/>
          <w:u w:val="single"/>
        </w:rPr>
        <w:t>Id.</w:t>
      </w:r>
      <w:r>
        <w:rPr>
          <w:rFonts w:ascii="Arial" w:eastAsia="Arial" w:hAnsi="Arial" w:cs="Arial"/>
          <w:color w:val="000000"/>
          <w:sz w:val="20"/>
        </w:rPr>
        <w:t xml:space="preserve"> at ¶¶ 38-41, 43, 50, 59-66. Finally, Kokinda alleged that all of the defendants looked for his weaknesses for the purpose of using "psychological stressors to traumatize [him] through adversarial psychology techniques ... carr[ied] out under the guise of security" in retaliation for his filing of grievances about abusive prison conditions at SCI-Greene. </w:t>
      </w:r>
      <w:r>
        <w:rPr>
          <w:rFonts w:ascii="Arial" w:eastAsia="Arial" w:hAnsi="Arial" w:cs="Arial"/>
          <w:color w:val="000000"/>
          <w:sz w:val="20"/>
          <w:u w:val="single"/>
        </w:rPr>
        <w:t>Id.</w:t>
      </w:r>
      <w:r>
        <w:rPr>
          <w:rFonts w:ascii="Arial" w:eastAsia="Arial" w:hAnsi="Arial" w:cs="Arial"/>
          <w:color w:val="000000"/>
          <w:sz w:val="20"/>
        </w:rPr>
        <w:t xml:space="preserve"> at ¶¶ 33, 57.</w:t>
      </w:r>
    </w:p>
    <w:p w:rsidR="00E456CD" w:rsidRDefault="00000000">
      <w:pPr>
        <w:pStyle w:val="Normal4"/>
        <w:widowControl w:val="0"/>
        <w:spacing w:before="200" w:line="260" w:lineRule="atLeast"/>
        <w:jc w:val="both"/>
      </w:pPr>
      <w:bookmarkStart w:id="1101" w:name="Bookmark_para_8_3"/>
      <w:bookmarkEnd w:id="1101"/>
      <w:r>
        <w:rPr>
          <w:rFonts w:ascii="Arial" w:eastAsia="Arial" w:hAnsi="Arial" w:cs="Arial"/>
          <w:color w:val="000000"/>
          <w:sz w:val="20"/>
        </w:rPr>
        <w:t>Defendants filed motions to dismiss for failure to state a claim for which relief could be granted. The MJ issued a Report recommending that the motions be granted and that Kokinda's third amended complaint be dismissed with prejudice. Over Kokinda's objections and after de novo review, the District Court adopted the R&amp;R as the opinion of the court, granted defendants' motions and dismissed the third amended complaint with prejudice. The District Court subsequently denied Kokinda's motion for reconsideration filed pursuant [**6]  to Fed. R. Civ. P. 59(e). This timely appeal followed.</w:t>
      </w:r>
      <w:r>
        <w:rPr>
          <w:rFonts w:ascii="Arial" w:eastAsia="Arial" w:hAnsi="Arial" w:cs="Arial"/>
          <w:vertAlign w:val="superscript"/>
        </w:rPr>
        <w:footnoteReference w:customMarkFollows="1" w:id="56"/>
        <w:t>2</w:t>
      </w:r>
    </w:p>
    <w:p w:rsidR="00E456CD" w:rsidRDefault="00000000">
      <w:pPr>
        <w:pStyle w:val="Normal4"/>
        <w:widowControl w:val="0"/>
        <w:spacing w:before="200" w:line="260" w:lineRule="atLeast"/>
        <w:jc w:val="both"/>
      </w:pPr>
      <w:bookmarkStart w:id="1108" w:name="Bookmark_para_9_3"/>
      <w:bookmarkStart w:id="1109" w:name="Bookmark_I5WFKCCV2D6NVW0010000400"/>
      <w:bookmarkStart w:id="1110" w:name="Bookmark_I5WFKCCV2D6NVW0030000400"/>
      <w:bookmarkStart w:id="1111" w:name="Bookmark_I5WFKCCV2D6NVW0050000400"/>
      <w:bookmarkEnd w:id="1108"/>
      <w:bookmarkEnd w:id="1109"/>
      <w:bookmarkEnd w:id="1110"/>
      <w:bookmarkEnd w:id="1111"/>
      <w:r>
        <w:rPr>
          <w:rFonts w:ascii="Arial" w:eastAsia="Arial" w:hAnsi="Arial" w:cs="Arial"/>
          <w:color w:val="000000"/>
          <w:sz w:val="20"/>
        </w:rPr>
        <w:t>We have jurisdiction pursuant to 28 U.S.C. § 1291, and exercise plenary review of a District Court's decision to grant a motion to dismiss pursuant to Fed. R. Civ. P. 12(b)(6).</w:t>
      </w:r>
      <w:r>
        <w:rPr>
          <w:rFonts w:ascii="Arial" w:eastAsia="Arial" w:hAnsi="Arial" w:cs="Arial"/>
          <w:vertAlign w:val="superscript"/>
        </w:rPr>
        <w:footnoteReference w:customMarkFollows="1" w:id="57"/>
        <w:t>3</w:t>
      </w:r>
      <w:r>
        <w:rPr>
          <w:rFonts w:ascii="Arial" w:eastAsia="Arial" w:hAnsi="Arial" w:cs="Arial"/>
          <w:color w:val="000000"/>
          <w:sz w:val="20"/>
        </w:rPr>
        <w:t xml:space="preserve"> </w:t>
      </w:r>
      <w:bookmarkStart w:id="1119" w:name="Bookmark_I5WFKCCT2D6NVS0050000400"/>
      <w:bookmarkEnd w:id="1119"/>
      <w:r>
        <w:rPr>
          <w:rFonts w:ascii="Arial" w:eastAsia="Arial" w:hAnsi="Arial" w:cs="Arial"/>
          <w:color w:val="000000"/>
          <w:sz w:val="20"/>
          <w:u w:val="single"/>
        </w:rPr>
        <w:t>Fowler v. UPMC Shadyside</w:t>
      </w:r>
      <w:r>
        <w:rPr>
          <w:rFonts w:ascii="Arial" w:eastAsia="Arial" w:hAnsi="Arial" w:cs="Arial"/>
          <w:color w:val="000000"/>
          <w:sz w:val="20"/>
        </w:rPr>
        <w:t xml:space="preserve">, 578 F.3d 203, 206 (3d Cir. 2009). "[I]n deciding a motion to dismiss, all well-pleaded allegations . . . must be taken as true and interpreted in the light most favorable to the plaintiff[], and all inferences must be drawn in favor of [him]." </w:t>
      </w:r>
      <w:bookmarkStart w:id="1120" w:name="Bookmark_I5WFKCCV2D6NVW0020000400"/>
      <w:bookmarkEnd w:id="1120"/>
      <w:r>
        <w:rPr>
          <w:rFonts w:ascii="Arial" w:eastAsia="Arial" w:hAnsi="Arial" w:cs="Arial"/>
          <w:color w:val="000000"/>
          <w:sz w:val="20"/>
          <w:u w:val="single"/>
        </w:rPr>
        <w:t>McTernan v. City of York</w:t>
      </w:r>
      <w:r>
        <w:rPr>
          <w:rFonts w:ascii="Arial" w:eastAsia="Arial" w:hAnsi="Arial" w:cs="Arial"/>
          <w:color w:val="000000"/>
          <w:sz w:val="20"/>
        </w:rPr>
        <w:t xml:space="preserve">, 577 F.3d 521, 526 (3d Cir. 2009) (internal citation omitted). </w:t>
      </w:r>
      <w:bookmarkStart w:id="1121" w:name="Bookmark_I5WFKCCW28T4C30040000400"/>
      <w:bookmarkEnd w:id="1121"/>
      <w:r>
        <w:rPr>
          <w:rFonts w:ascii="Arial" w:eastAsia="Arial" w:hAnsi="Arial" w:cs="Arial"/>
          <w:color w:val="000000"/>
          <w:sz w:val="20"/>
        </w:rPr>
        <w:t xml:space="preserve">To withstand a Rule 12(b)(6) motion to dismiss, a complaint "must contain sufficient factual matter, accepted as true, to 'state a claim to relief that is plausible on its face.'" </w:t>
      </w:r>
      <w:bookmarkStart w:id="1122" w:name="Bookmark_I5WFKCCV2D6NVW0040000400"/>
      <w:bookmarkEnd w:id="1122"/>
      <w:r>
        <w:rPr>
          <w:rFonts w:ascii="Arial" w:eastAsia="Arial" w:hAnsi="Arial" w:cs="Arial"/>
          <w:color w:val="000000"/>
          <w:sz w:val="20"/>
          <w:u w:val="single"/>
        </w:rPr>
        <w:t>Ashcroft v. Iqbal</w:t>
      </w:r>
      <w:r>
        <w:rPr>
          <w:rFonts w:ascii="Arial" w:eastAsia="Arial" w:hAnsi="Arial" w:cs="Arial"/>
          <w:color w:val="000000"/>
          <w:sz w:val="20"/>
        </w:rPr>
        <w:t xml:space="preserve">, 556 U.S. 662, 678, 129 S. Ct. 1937, 173 L. Ed. 2d 868 (2009) (quoting </w:t>
      </w:r>
      <w:bookmarkStart w:id="1123" w:name="Bookmark_I5WFKCCW28T4C30010000400"/>
      <w:bookmarkEnd w:id="1123"/>
      <w:r>
        <w:rPr>
          <w:rFonts w:ascii="Arial" w:eastAsia="Arial" w:hAnsi="Arial" w:cs="Arial"/>
          <w:color w:val="000000"/>
          <w:sz w:val="20"/>
          <w:u w:val="single"/>
        </w:rPr>
        <w:t>Bell Atl. Corp. v. Twombly</w:t>
      </w:r>
      <w:r>
        <w:rPr>
          <w:rFonts w:ascii="Arial" w:eastAsia="Arial" w:hAnsi="Arial" w:cs="Arial"/>
          <w:color w:val="000000"/>
          <w:sz w:val="20"/>
        </w:rPr>
        <w:t xml:space="preserve">, 550 U.S. 544, 570, 127 S. Ct. 1955, 167 L. Ed. 2d 929 (2007)). </w:t>
      </w:r>
      <w:bookmarkStart w:id="1124" w:name="Bookmark_I5WFKCCW28T4C30040000400_2"/>
      <w:bookmarkEnd w:id="1124"/>
      <w:r>
        <w:rPr>
          <w:rFonts w:ascii="Arial" w:eastAsia="Arial" w:hAnsi="Arial" w:cs="Arial"/>
          <w:color w:val="000000"/>
          <w:sz w:val="20"/>
        </w:rPr>
        <w:t xml:space="preserve">As did the District Court, we construe Kokinda's pro se pleadings liberally. </w:t>
      </w:r>
      <w:r>
        <w:rPr>
          <w:rFonts w:ascii="Arial" w:eastAsia="Arial" w:hAnsi="Arial" w:cs="Arial"/>
          <w:color w:val="000000"/>
          <w:sz w:val="20"/>
          <w:u w:val="single"/>
        </w:rPr>
        <w:t xml:space="preserve">See </w:t>
      </w:r>
      <w:bookmarkStart w:id="1125" w:name="Bookmark_I5WFKCCW28T4C30030000400"/>
      <w:bookmarkEnd w:id="1125"/>
      <w:r>
        <w:rPr>
          <w:rFonts w:ascii="Arial" w:eastAsia="Arial" w:hAnsi="Arial" w:cs="Arial"/>
          <w:color w:val="000000"/>
          <w:sz w:val="20"/>
          <w:u w:val="single"/>
        </w:rPr>
        <w:t>Haines v. Kerner</w:t>
      </w:r>
      <w:r>
        <w:rPr>
          <w:rFonts w:ascii="Arial" w:eastAsia="Arial" w:hAnsi="Arial" w:cs="Arial"/>
          <w:color w:val="000000"/>
          <w:sz w:val="20"/>
        </w:rPr>
        <w:t>, 404 U.S. 519, 520, [*942]  92 S. Ct. 594, 30 L. Ed. 2d 652 (1972) (per curiam).</w:t>
      </w:r>
    </w:p>
    <w:p w:rsidR="00E456CD" w:rsidRDefault="00000000">
      <w:pPr>
        <w:pStyle w:val="Normal4"/>
        <w:widowControl w:val="0"/>
        <w:spacing w:before="200" w:line="260" w:lineRule="atLeast"/>
        <w:jc w:val="both"/>
      </w:pPr>
      <w:bookmarkStart w:id="1126" w:name="Bookmark_para_10_3"/>
      <w:bookmarkStart w:id="1127" w:name="Bookmark_I5WFKCCX2HM6XM0020000400"/>
      <w:bookmarkEnd w:id="1126"/>
      <w:bookmarkEnd w:id="1127"/>
      <w:r>
        <w:rPr>
          <w:rFonts w:ascii="Arial" w:eastAsia="Arial" w:hAnsi="Arial" w:cs="Arial"/>
          <w:color w:val="000000"/>
          <w:sz w:val="20"/>
        </w:rPr>
        <w:t xml:space="preserve">Even with such liberal construction, we agree with the District Court's summary disposition of Kokinda's claimed violations of §§ 1983, 1985(3), and 1986 against the DOC and the individual Commonwealth defendants sued in their official capacities because those claims are barred by the Eleventh Amendment. </w:t>
      </w:r>
      <w:bookmarkStart w:id="1128" w:name="Bookmark_I5WFKCCX2HM6XM0040000400"/>
      <w:bookmarkStart w:id="1129" w:name="Bookmark_I5WFKCD028T4C90010000400"/>
      <w:bookmarkEnd w:id="1128"/>
      <w:bookmarkEnd w:id="1129"/>
      <w:r>
        <w:rPr>
          <w:rFonts w:ascii="Arial" w:eastAsia="Arial" w:hAnsi="Arial" w:cs="Arial"/>
          <w:color w:val="000000"/>
          <w:sz w:val="20"/>
          <w:u w:val="single"/>
        </w:rPr>
        <w:t xml:space="preserve">See </w:t>
      </w:r>
      <w:bookmarkStart w:id="1130" w:name="Bookmark_I5WFKCCX2HM6XM0010000400"/>
      <w:bookmarkEnd w:id="1130"/>
      <w:r>
        <w:rPr>
          <w:rFonts w:ascii="Arial" w:eastAsia="Arial" w:hAnsi="Arial" w:cs="Arial"/>
          <w:color w:val="000000"/>
          <w:sz w:val="20"/>
          <w:u w:val="single"/>
        </w:rPr>
        <w:t>Pa. Fedn. of Sportsmen's Clubs, Inc. v. Hess</w:t>
      </w:r>
      <w:r>
        <w:rPr>
          <w:rFonts w:ascii="Arial" w:eastAsia="Arial" w:hAnsi="Arial" w:cs="Arial"/>
          <w:color w:val="000000"/>
          <w:sz w:val="20"/>
        </w:rPr>
        <w:t xml:space="preserve">, 297 F.3d 310, 323 (3d Cir. 2002). </w:t>
      </w:r>
      <w:bookmarkStart w:id="1131" w:name="Bookmark_I5WFKCCY2D6NW10030000400"/>
      <w:bookmarkEnd w:id="1131"/>
      <w:r>
        <w:rPr>
          <w:rFonts w:ascii="Arial" w:eastAsia="Arial" w:hAnsi="Arial" w:cs="Arial"/>
          <w:color w:val="000000"/>
          <w:sz w:val="20"/>
        </w:rPr>
        <w:t xml:space="preserve">Additionally, Kokinda failed to state a claim under 42 U.S.C. § 1985(3) because he did not allege discrimination on account of his race or any other class-based ground for animus. </w:t>
      </w:r>
      <w:bookmarkStart w:id="1132" w:name="Bookmark_I5WFKCCY2D6NW10030000400_2"/>
      <w:bookmarkStart w:id="1133" w:name="Bookmark_I5WFKCD028T4C90010000400_2"/>
      <w:bookmarkStart w:id="1134" w:name="Bookmark_I5WFKCCX2HM6XM0040000400_2"/>
      <w:bookmarkEnd w:id="1132"/>
      <w:bookmarkEnd w:id="1133"/>
      <w:bookmarkEnd w:id="1134"/>
      <w:r>
        <w:rPr>
          <w:rFonts w:ascii="Arial" w:eastAsia="Arial" w:hAnsi="Arial" w:cs="Arial"/>
          <w:color w:val="000000"/>
          <w:sz w:val="20"/>
          <w:u w:val="single"/>
        </w:rPr>
        <w:t xml:space="preserve">See </w:t>
      </w:r>
      <w:bookmarkStart w:id="1135" w:name="Bookmark_I5WFKCCX2HM6XM0030000400"/>
      <w:bookmarkEnd w:id="1135"/>
      <w:r>
        <w:rPr>
          <w:rFonts w:ascii="Arial" w:eastAsia="Arial" w:hAnsi="Arial" w:cs="Arial"/>
          <w:color w:val="000000"/>
          <w:sz w:val="20"/>
          <w:u w:val="single"/>
        </w:rPr>
        <w:t>Griffin v. Breckenridge</w:t>
      </w:r>
      <w:r>
        <w:rPr>
          <w:rFonts w:ascii="Arial" w:eastAsia="Arial" w:hAnsi="Arial" w:cs="Arial"/>
          <w:color w:val="000000"/>
          <w:sz w:val="20"/>
        </w:rPr>
        <w:t xml:space="preserve">, 403 U.S 88, 102, 91 S. Ct. 1790, 29 L. Ed. 2d 338 (1971) (requiring racial or "otherwise class-based invidiously [**7]  discriminatory animus"); </w:t>
      </w:r>
      <w:r>
        <w:rPr>
          <w:rFonts w:ascii="Arial" w:eastAsia="Arial" w:hAnsi="Arial" w:cs="Arial"/>
          <w:color w:val="000000"/>
          <w:sz w:val="20"/>
          <w:u w:val="single"/>
        </w:rPr>
        <w:t xml:space="preserve">cf. </w:t>
      </w:r>
      <w:bookmarkStart w:id="1136" w:name="Bookmark_I5WFKCCX2HM6XM0050000400"/>
      <w:bookmarkEnd w:id="1136"/>
      <w:r>
        <w:rPr>
          <w:rFonts w:ascii="Arial" w:eastAsia="Arial" w:hAnsi="Arial" w:cs="Arial"/>
          <w:color w:val="000000"/>
          <w:sz w:val="20"/>
          <w:u w:val="single"/>
        </w:rPr>
        <w:t>Abdul-Akbar v. McKelvie</w:t>
      </w:r>
      <w:r>
        <w:rPr>
          <w:rFonts w:ascii="Arial" w:eastAsia="Arial" w:hAnsi="Arial" w:cs="Arial"/>
          <w:color w:val="000000"/>
          <w:sz w:val="20"/>
        </w:rPr>
        <w:t>, 239 F.3d 307, 317 (3d Cir. 2001) (en banc) (neither prisoners nor indigents are suspect classes for Fourteenth Amendment equal protection purposes).</w:t>
      </w:r>
      <w:r>
        <w:rPr>
          <w:rFonts w:ascii="Arial" w:eastAsia="Arial" w:hAnsi="Arial" w:cs="Arial"/>
          <w:vertAlign w:val="superscript"/>
        </w:rPr>
        <w:footnoteReference w:customMarkFollows="1" w:id="58"/>
        <w:t>4</w:t>
      </w:r>
      <w:r>
        <w:rPr>
          <w:rFonts w:ascii="Arial" w:eastAsia="Arial" w:hAnsi="Arial" w:cs="Arial"/>
          <w:color w:val="000000"/>
          <w:sz w:val="20"/>
        </w:rPr>
        <w:t xml:space="preserve"> Because Kokinda failed to state a viable claim under § 1985(3), his claim pursuant to 42 U.S.C. § 1986 necessarily fails. </w:t>
      </w:r>
      <w:bookmarkStart w:id="1139" w:name="Bookmark_I5WFKCCY2D6NW10050000400"/>
      <w:bookmarkEnd w:id="1139"/>
      <w:r>
        <w:rPr>
          <w:rFonts w:ascii="Arial" w:eastAsia="Arial" w:hAnsi="Arial" w:cs="Arial"/>
          <w:color w:val="000000"/>
          <w:sz w:val="20"/>
          <w:u w:val="single"/>
        </w:rPr>
        <w:t xml:space="preserve">See </w:t>
      </w:r>
      <w:bookmarkStart w:id="1140" w:name="Bookmark_I5WFKCCY2D6NW10020000400"/>
      <w:bookmarkEnd w:id="1140"/>
      <w:r>
        <w:rPr>
          <w:rFonts w:ascii="Arial" w:eastAsia="Arial" w:hAnsi="Arial" w:cs="Arial"/>
          <w:color w:val="000000"/>
          <w:sz w:val="20"/>
          <w:u w:val="single"/>
        </w:rPr>
        <w:t>Rogin v. Bensalem Twp.</w:t>
      </w:r>
      <w:r>
        <w:rPr>
          <w:rFonts w:ascii="Arial" w:eastAsia="Arial" w:hAnsi="Arial" w:cs="Arial"/>
          <w:color w:val="000000"/>
          <w:sz w:val="20"/>
        </w:rPr>
        <w:t xml:space="preserve">, 616 F.2d 680, 696 (3d Cir. 1980). </w:t>
      </w:r>
      <w:bookmarkStart w:id="1141" w:name="Bookmark_I5WFKCCY2D6NW10050000400_2"/>
      <w:bookmarkEnd w:id="1141"/>
      <w:r>
        <w:rPr>
          <w:rFonts w:ascii="Arial" w:eastAsia="Arial" w:hAnsi="Arial" w:cs="Arial"/>
          <w:color w:val="000000"/>
          <w:sz w:val="20"/>
        </w:rPr>
        <w:t xml:space="preserve">Kokinda's claims for individual damages liability under Title II of the ADA fail for the simple reason that there is no such liability. </w:t>
      </w:r>
      <w:r>
        <w:rPr>
          <w:rFonts w:ascii="Arial" w:eastAsia="Arial" w:hAnsi="Arial" w:cs="Arial"/>
          <w:color w:val="000000"/>
          <w:sz w:val="20"/>
          <w:u w:val="single"/>
        </w:rPr>
        <w:t xml:space="preserve">See </w:t>
      </w:r>
      <w:bookmarkStart w:id="1142" w:name="Bookmark_I5WFKCCY2D6NW10040000400"/>
      <w:bookmarkEnd w:id="1142"/>
      <w:r>
        <w:rPr>
          <w:rFonts w:ascii="Arial" w:eastAsia="Arial" w:hAnsi="Arial" w:cs="Arial"/>
          <w:color w:val="000000"/>
          <w:sz w:val="20"/>
          <w:u w:val="single"/>
        </w:rPr>
        <w:t>Garcia v. S.U.N.Y. Health Scis. Ctr. of Brooklyn</w:t>
      </w:r>
      <w:r>
        <w:rPr>
          <w:rFonts w:ascii="Arial" w:eastAsia="Arial" w:hAnsi="Arial" w:cs="Arial"/>
          <w:color w:val="000000"/>
          <w:sz w:val="20"/>
        </w:rPr>
        <w:t xml:space="preserve">, 280 F.3d 98, 107 (2d Cir. 2001); </w:t>
      </w:r>
      <w:bookmarkStart w:id="1143" w:name="Bookmark_I5WFKCCY2SF7R20010000400"/>
      <w:bookmarkEnd w:id="1143"/>
      <w:r>
        <w:rPr>
          <w:rFonts w:ascii="Arial" w:eastAsia="Arial" w:hAnsi="Arial" w:cs="Arial"/>
          <w:color w:val="000000"/>
          <w:sz w:val="20"/>
          <w:u w:val="single"/>
        </w:rPr>
        <w:t>Alsbrook v. City of Maumelle</w:t>
      </w:r>
      <w:r>
        <w:rPr>
          <w:rFonts w:ascii="Arial" w:eastAsia="Arial" w:hAnsi="Arial" w:cs="Arial"/>
          <w:color w:val="000000"/>
          <w:sz w:val="20"/>
        </w:rPr>
        <w:t xml:space="preserve">, 184 F.3d 999, 1005 n.8 (8th Cir. 1999) (en banc); </w:t>
      </w:r>
      <w:r>
        <w:rPr>
          <w:rFonts w:ascii="Arial" w:eastAsia="Arial" w:hAnsi="Arial" w:cs="Arial"/>
          <w:color w:val="000000"/>
          <w:sz w:val="20"/>
          <w:u w:val="single"/>
        </w:rPr>
        <w:t xml:space="preserve">see also </w:t>
      </w:r>
      <w:bookmarkStart w:id="1144" w:name="Bookmark_I5WFKCCY2SF7R20030000400"/>
      <w:bookmarkEnd w:id="1144"/>
      <w:r>
        <w:rPr>
          <w:rFonts w:ascii="Arial" w:eastAsia="Arial" w:hAnsi="Arial" w:cs="Arial"/>
          <w:color w:val="000000"/>
          <w:sz w:val="20"/>
          <w:u w:val="single"/>
        </w:rPr>
        <w:t>Koslow v. Pennsylvania</w:t>
      </w:r>
      <w:r>
        <w:rPr>
          <w:rFonts w:ascii="Arial" w:eastAsia="Arial" w:hAnsi="Arial" w:cs="Arial"/>
          <w:color w:val="000000"/>
          <w:sz w:val="20"/>
        </w:rPr>
        <w:t>, 302 F.3d 161, 178 (3d Cir. 2002) (noting that "there appears to be no individual liability for damages under Title I of the ADA").</w:t>
      </w:r>
    </w:p>
    <w:p w:rsidR="00E456CD" w:rsidRDefault="00000000">
      <w:pPr>
        <w:pStyle w:val="Normal4"/>
        <w:widowControl w:val="0"/>
        <w:spacing w:before="200" w:line="260" w:lineRule="atLeast"/>
        <w:jc w:val="both"/>
      </w:pPr>
      <w:bookmarkStart w:id="1145" w:name="Bookmark_para_11_3"/>
      <w:bookmarkStart w:id="1146" w:name="Bookmark_I5WFKCD028T4C90030000400"/>
      <w:bookmarkEnd w:id="1145"/>
      <w:bookmarkEnd w:id="1146"/>
      <w:r>
        <w:rPr>
          <w:rFonts w:ascii="Arial" w:eastAsia="Arial" w:hAnsi="Arial" w:cs="Arial"/>
          <w:color w:val="000000"/>
          <w:sz w:val="20"/>
        </w:rPr>
        <w:t xml:space="preserve">The District Court was likewise correct to dismiss the complaint as to defendants Oppman, Stover, DSCS DiAlesandro, Gilmore and UM Mankey given Kokinda's failure to sufficiently plead that they were personally involved in any of the alleged violations. </w:t>
      </w:r>
      <w:r>
        <w:rPr>
          <w:rFonts w:ascii="Arial" w:eastAsia="Arial" w:hAnsi="Arial" w:cs="Arial"/>
          <w:color w:val="000000"/>
          <w:sz w:val="20"/>
          <w:u w:val="single"/>
        </w:rPr>
        <w:t xml:space="preserve">See </w:t>
      </w:r>
      <w:bookmarkStart w:id="1147" w:name="Bookmark_I5WFKCD028T4C90020000400"/>
      <w:bookmarkEnd w:id="1147"/>
      <w:r>
        <w:rPr>
          <w:rFonts w:ascii="Arial" w:eastAsia="Arial" w:hAnsi="Arial" w:cs="Arial"/>
          <w:color w:val="000000"/>
          <w:sz w:val="20"/>
          <w:u w:val="single"/>
        </w:rPr>
        <w:t>Evancho v. Fisher</w:t>
      </w:r>
      <w:r>
        <w:rPr>
          <w:rFonts w:ascii="Arial" w:eastAsia="Arial" w:hAnsi="Arial" w:cs="Arial"/>
          <w:color w:val="000000"/>
          <w:sz w:val="20"/>
        </w:rPr>
        <w:t xml:space="preserve">, 423 F.3d 347, 353 (3d Cir. 2005) (quoting </w:t>
      </w:r>
      <w:bookmarkStart w:id="1148" w:name="Bookmark_I5WFKCD028T4C90040000400"/>
      <w:bookmarkEnd w:id="1148"/>
      <w:r>
        <w:rPr>
          <w:rFonts w:ascii="Arial" w:eastAsia="Arial" w:hAnsi="Arial" w:cs="Arial"/>
          <w:color w:val="000000"/>
          <w:sz w:val="20"/>
          <w:u w:val="single"/>
        </w:rPr>
        <w:t>Rode v. Dellarciprete</w:t>
      </w:r>
      <w:r>
        <w:rPr>
          <w:rFonts w:ascii="Arial" w:eastAsia="Arial" w:hAnsi="Arial" w:cs="Arial"/>
          <w:color w:val="000000"/>
          <w:sz w:val="20"/>
        </w:rPr>
        <w:t xml:space="preserve">, 845 F.2d 1195, 1207 (3d Cir. 1988)) ("A[n individual government] defendant in a civil rights action must have personal involvement in the alleged wrongdoing; liability cannot be predicated solely on the operation of respondeat superior."). </w:t>
      </w:r>
      <w:bookmarkStart w:id="1149" w:name="Bookmark_I5WFKCD12SF7R60020000400"/>
      <w:bookmarkEnd w:id="1149"/>
      <w:r>
        <w:rPr>
          <w:rFonts w:ascii="Arial" w:eastAsia="Arial" w:hAnsi="Arial" w:cs="Arial"/>
          <w:color w:val="000000"/>
          <w:sz w:val="20"/>
        </w:rPr>
        <w:t xml:space="preserve">With the exception of UM Mankey's response to his request for state-issued soap, Kokinda's third amended complaint fails to set forth specific allegations that these defendants were personally involved in any of the actions about [**8]  which he complains. </w:t>
      </w:r>
      <w:bookmarkStart w:id="1150" w:name="Bookmark_I5WFKCD12SF7R60020000400_2"/>
      <w:bookmarkEnd w:id="1150"/>
      <w:r>
        <w:rPr>
          <w:rFonts w:ascii="Arial" w:eastAsia="Arial" w:hAnsi="Arial" w:cs="Arial"/>
          <w:color w:val="000000"/>
          <w:sz w:val="20"/>
        </w:rPr>
        <w:t xml:space="preserve">Moreover, UM Mankey's response instructing Kokinda how to make a proper request for certain soap does not amount to personal involvement within the meaning of § 1983. </w:t>
      </w:r>
      <w:bookmarkStart w:id="1151" w:name="Bookmark_I5WFKCD12SF7R60040000400"/>
      <w:bookmarkEnd w:id="1151"/>
      <w:r>
        <w:rPr>
          <w:rFonts w:ascii="Arial" w:eastAsia="Arial" w:hAnsi="Arial" w:cs="Arial"/>
          <w:color w:val="000000"/>
          <w:sz w:val="20"/>
          <w:u w:val="single"/>
        </w:rPr>
        <w:t xml:space="preserve">See </w:t>
      </w:r>
      <w:bookmarkStart w:id="1152" w:name="Bookmark_I5WFKCD12SF7R60010000400"/>
      <w:bookmarkEnd w:id="1152"/>
      <w:r>
        <w:rPr>
          <w:rFonts w:ascii="Arial" w:eastAsia="Arial" w:hAnsi="Arial" w:cs="Arial"/>
          <w:color w:val="000000"/>
          <w:sz w:val="20"/>
          <w:u w:val="single"/>
        </w:rPr>
        <w:t>Rode</w:t>
      </w:r>
      <w:r>
        <w:rPr>
          <w:rFonts w:ascii="Arial" w:eastAsia="Arial" w:hAnsi="Arial" w:cs="Arial"/>
          <w:color w:val="000000"/>
          <w:sz w:val="20"/>
        </w:rPr>
        <w:t xml:space="preserve">, 845 F.2d at 1208. </w:t>
      </w:r>
      <w:bookmarkStart w:id="1153" w:name="Bookmark_I5WFKCD12SF7R60040000400_2"/>
      <w:bookmarkEnd w:id="1153"/>
      <w:r>
        <w:rPr>
          <w:rFonts w:ascii="Arial" w:eastAsia="Arial" w:hAnsi="Arial" w:cs="Arial"/>
          <w:color w:val="000000"/>
          <w:sz w:val="20"/>
        </w:rPr>
        <w:t xml:space="preserve">Kokinda's conclusory allegations of a conspiracy among defendants to implement "a policy of greed over civil rights" does little to salvage his claim. </w:t>
      </w:r>
      <w:r>
        <w:rPr>
          <w:rFonts w:ascii="Arial" w:eastAsia="Arial" w:hAnsi="Arial" w:cs="Arial"/>
          <w:color w:val="000000"/>
          <w:sz w:val="20"/>
          <w:u w:val="single"/>
        </w:rPr>
        <w:t xml:space="preserve">See </w:t>
      </w:r>
      <w:bookmarkStart w:id="1154" w:name="Bookmark_I5WFKCD12SF7R60030000400"/>
      <w:bookmarkEnd w:id="1154"/>
      <w:r>
        <w:rPr>
          <w:rFonts w:ascii="Arial" w:eastAsia="Arial" w:hAnsi="Arial" w:cs="Arial"/>
          <w:color w:val="000000"/>
          <w:sz w:val="20"/>
          <w:u w:val="single"/>
        </w:rPr>
        <w:t>Fantone v. Latini</w:t>
      </w:r>
      <w:r>
        <w:rPr>
          <w:rFonts w:ascii="Arial" w:eastAsia="Arial" w:hAnsi="Arial" w:cs="Arial"/>
          <w:color w:val="000000"/>
          <w:sz w:val="20"/>
        </w:rPr>
        <w:t xml:space="preserve">, 780 F.3d 184, 191 (3d Cir. 2015) (a conspiracy claim depends on whether a constitutional violation occurred); </w:t>
      </w:r>
      <w:r>
        <w:rPr>
          <w:rFonts w:ascii="Arial" w:eastAsia="Arial" w:hAnsi="Arial" w:cs="Arial"/>
          <w:color w:val="000000"/>
          <w:sz w:val="20"/>
          <w:u w:val="single"/>
        </w:rPr>
        <w:t xml:space="preserve">see also </w:t>
      </w:r>
      <w:bookmarkStart w:id="1155" w:name="Bookmark_I5WFKCD12SF7R60050000400"/>
      <w:bookmarkEnd w:id="1155"/>
      <w:r>
        <w:rPr>
          <w:rFonts w:ascii="Arial" w:eastAsia="Arial" w:hAnsi="Arial" w:cs="Arial"/>
          <w:color w:val="000000"/>
          <w:sz w:val="20"/>
          <w:u w:val="single"/>
        </w:rPr>
        <w:t>Capogrosso v. Supreme Ct. of N.J.</w:t>
      </w:r>
      <w:r>
        <w:rPr>
          <w:rFonts w:ascii="Arial" w:eastAsia="Arial" w:hAnsi="Arial" w:cs="Arial"/>
          <w:color w:val="000000"/>
          <w:sz w:val="20"/>
        </w:rPr>
        <w:t>, 588 F.3d 180, 184 (3d Cir. 2009) (per curiam) (A conspiracy claim "must include at least a discernible factual basis to survive a Rule 12(b)(6) dismissal.").</w:t>
      </w:r>
    </w:p>
    <w:p w:rsidR="00E456CD" w:rsidRDefault="00000000">
      <w:pPr>
        <w:pStyle w:val="Normal4"/>
        <w:widowControl w:val="0"/>
        <w:spacing w:before="200" w:line="260" w:lineRule="atLeast"/>
        <w:jc w:val="both"/>
      </w:pPr>
      <w:bookmarkStart w:id="1156" w:name="Bookmark_para_12_2"/>
      <w:bookmarkEnd w:id="1156"/>
      <w:r>
        <w:rPr>
          <w:rFonts w:ascii="Arial" w:eastAsia="Arial" w:hAnsi="Arial" w:cs="Arial"/>
          <w:color w:val="000000"/>
          <w:sz w:val="20"/>
        </w:rPr>
        <w:t xml:space="preserve"> [*943]  </w:t>
      </w:r>
      <w:bookmarkStart w:id="1157" w:name="Bookmark_I5WFKCD128T4CD0030000400"/>
      <w:bookmarkEnd w:id="1157"/>
      <w:r>
        <w:rPr>
          <w:rFonts w:ascii="Arial" w:eastAsia="Arial" w:hAnsi="Arial" w:cs="Arial"/>
          <w:color w:val="000000"/>
          <w:sz w:val="20"/>
        </w:rPr>
        <w:t xml:space="preserve">The claims against defendants CHCA Vihlidal and Dr. Pillai fare no better. </w:t>
      </w:r>
      <w:bookmarkStart w:id="1158" w:name="Bookmark_I5WFKCD128T4CD0050000400"/>
      <w:bookmarkEnd w:id="1158"/>
      <w:r>
        <w:rPr>
          <w:rFonts w:ascii="Arial" w:eastAsia="Arial" w:hAnsi="Arial" w:cs="Arial"/>
          <w:color w:val="000000"/>
          <w:sz w:val="20"/>
        </w:rPr>
        <w:t xml:space="preserve">The Eighth Amendment imposes duties on prison officials to "provide humane conditions of confinement" and "ensure that inmates receive adequate food, clothing, shelter, and medical care." </w:t>
      </w:r>
      <w:bookmarkStart w:id="1159" w:name="Bookmark_I5WFKCD128T4CD0020000400"/>
      <w:bookmarkEnd w:id="1159"/>
      <w:r>
        <w:rPr>
          <w:rFonts w:ascii="Arial" w:eastAsia="Arial" w:hAnsi="Arial" w:cs="Arial"/>
          <w:color w:val="000000"/>
          <w:sz w:val="20"/>
          <w:u w:val="single"/>
        </w:rPr>
        <w:t>Farmer v. Brennan</w:t>
      </w:r>
      <w:r>
        <w:rPr>
          <w:rFonts w:ascii="Arial" w:eastAsia="Arial" w:hAnsi="Arial" w:cs="Arial"/>
          <w:color w:val="000000"/>
          <w:sz w:val="20"/>
        </w:rPr>
        <w:t xml:space="preserve">, 511 U.S. 825, 832, 114 S. Ct. 1970, 128 L. Ed. 2d 811 (1994) (citations omitted). </w:t>
      </w:r>
      <w:bookmarkStart w:id="1160" w:name="Bookmark_I5WFKCD128T4CF0020000400"/>
      <w:bookmarkEnd w:id="1160"/>
      <w:r>
        <w:rPr>
          <w:rFonts w:ascii="Arial" w:eastAsia="Arial" w:hAnsi="Arial" w:cs="Arial"/>
          <w:color w:val="000000"/>
          <w:sz w:val="20"/>
        </w:rPr>
        <w:t xml:space="preserve">To state an Eighth Amendment conditions of confinement claim, Kokinda must allege that (1) the deprivation alleged was objectively, "sufficiently serious" such that the prison officials' acts or omissions resulted in the denial of "the minimal civilized measure of life's necessities"; and (2) that the prison officials exhibited a "deliberate indifference" to his health and safety. </w:t>
      </w:r>
      <w:bookmarkStart w:id="1161" w:name="Bookmark_I5WFKCD128T4CF0020000400_2"/>
      <w:bookmarkStart w:id="1162" w:name="Bookmark_I5WFKCD128T4CD0050000400_2"/>
      <w:bookmarkStart w:id="1163" w:name="Bookmark_I5WFKCD128T4CD0040000400"/>
      <w:bookmarkEnd w:id="1161"/>
      <w:bookmarkEnd w:id="1162"/>
      <w:bookmarkEnd w:id="1163"/>
      <w:r>
        <w:rPr>
          <w:rFonts w:ascii="Arial" w:eastAsia="Arial" w:hAnsi="Arial" w:cs="Arial"/>
          <w:color w:val="000000"/>
          <w:sz w:val="20"/>
          <w:u w:val="single"/>
        </w:rPr>
        <w:t>Id.</w:t>
      </w:r>
      <w:r>
        <w:rPr>
          <w:rFonts w:ascii="Arial" w:eastAsia="Arial" w:hAnsi="Arial" w:cs="Arial"/>
          <w:color w:val="000000"/>
          <w:sz w:val="20"/>
        </w:rPr>
        <w:t xml:space="preserve"> at 834 (citations omitted). [**9]  Where conditions are not "cruel and unusual" but merely "restrictive and even harsh," they do not violate the Eighth Amendment but rather "are part of the penalty that criminal offenders pay for their offenses against society." </w:t>
      </w:r>
      <w:bookmarkStart w:id="1164" w:name="Bookmark_I5WFKCD128T4CF0010000400"/>
      <w:bookmarkEnd w:id="1164"/>
      <w:r>
        <w:rPr>
          <w:rFonts w:ascii="Arial" w:eastAsia="Arial" w:hAnsi="Arial" w:cs="Arial"/>
          <w:color w:val="000000"/>
          <w:sz w:val="20"/>
          <w:u w:val="single"/>
        </w:rPr>
        <w:t>Rhodes v. Chapman</w:t>
      </w:r>
      <w:r>
        <w:rPr>
          <w:rFonts w:ascii="Arial" w:eastAsia="Arial" w:hAnsi="Arial" w:cs="Arial"/>
          <w:color w:val="000000"/>
          <w:sz w:val="20"/>
        </w:rPr>
        <w:t xml:space="preserve">, 452 U.S. 337, 347, 101 S. Ct. 2392, 69 L. Ed. 2d 59 (1981); </w:t>
      </w:r>
      <w:r>
        <w:rPr>
          <w:rFonts w:ascii="Arial" w:eastAsia="Arial" w:hAnsi="Arial" w:cs="Arial"/>
          <w:color w:val="000000"/>
          <w:sz w:val="20"/>
          <w:u w:val="single"/>
        </w:rPr>
        <w:t xml:space="preserve">see also </w:t>
      </w:r>
      <w:bookmarkStart w:id="1165" w:name="Bookmark_I5WFKCD128T4CF0030000400"/>
      <w:bookmarkEnd w:id="1165"/>
      <w:r>
        <w:rPr>
          <w:rFonts w:ascii="Arial" w:eastAsia="Arial" w:hAnsi="Arial" w:cs="Arial"/>
          <w:color w:val="000000"/>
          <w:sz w:val="20"/>
          <w:u w:val="single"/>
        </w:rPr>
        <w:t>Wilson v. Schillinger</w:t>
      </w:r>
      <w:r>
        <w:rPr>
          <w:rFonts w:ascii="Arial" w:eastAsia="Arial" w:hAnsi="Arial" w:cs="Arial"/>
          <w:color w:val="000000"/>
          <w:sz w:val="20"/>
        </w:rPr>
        <w:t>, 761 F.2d 921, 925 (3d Cir. 1985) (An inmate's rights are "subject to limitations and restrictions that would be intolerable if imposed against the general public.").</w:t>
      </w:r>
    </w:p>
    <w:p w:rsidR="00E456CD" w:rsidRDefault="00000000">
      <w:pPr>
        <w:pStyle w:val="Normal4"/>
        <w:widowControl w:val="0"/>
        <w:spacing w:before="200" w:line="260" w:lineRule="atLeast"/>
        <w:jc w:val="both"/>
      </w:pPr>
      <w:bookmarkStart w:id="1166" w:name="Bookmark_para_13_2"/>
      <w:bookmarkStart w:id="1167" w:name="Bookmark_I5WFKCD228T4CG0010000400"/>
      <w:bookmarkStart w:id="1168" w:name="Bookmark_I5WFKCD228T4CG0030000400"/>
      <w:bookmarkStart w:id="1169" w:name="Bookmark_I5WFKCD228T4CG0050000400"/>
      <w:bookmarkEnd w:id="1166"/>
      <w:bookmarkEnd w:id="1167"/>
      <w:bookmarkEnd w:id="1168"/>
      <w:bookmarkEnd w:id="1169"/>
      <w:r>
        <w:rPr>
          <w:rFonts w:ascii="Arial" w:eastAsia="Arial" w:hAnsi="Arial" w:cs="Arial"/>
          <w:color w:val="000000"/>
          <w:sz w:val="20"/>
        </w:rPr>
        <w:t xml:space="preserve">Kokinda's complaint is void of allegations that defendant CHCA Vihlidal caused him to suffer the deprivation of those means necessary for the maintenance of life's necessities (and, in particular, his hygiene) because he was denied residue-free lye soap, nightly private showers, and a laundry policy permitting the more frequent washing of his bedding and coat. Moreover, as the District Court correctly stated, Kokinda had no protected right to be placed in the cell of his choice, </w:t>
      </w:r>
      <w:r>
        <w:rPr>
          <w:rFonts w:ascii="Arial" w:eastAsia="Arial" w:hAnsi="Arial" w:cs="Arial"/>
          <w:color w:val="000000"/>
          <w:sz w:val="20"/>
          <w:u w:val="single"/>
        </w:rPr>
        <w:t xml:space="preserve">see </w:t>
      </w:r>
      <w:bookmarkStart w:id="1170" w:name="Bookmark_I5WFKCD128T4CF0050000400"/>
      <w:bookmarkEnd w:id="1170"/>
      <w:r>
        <w:rPr>
          <w:rFonts w:ascii="Arial" w:eastAsia="Arial" w:hAnsi="Arial" w:cs="Arial"/>
          <w:color w:val="000000"/>
          <w:sz w:val="20"/>
          <w:u w:val="single"/>
        </w:rPr>
        <w:t>Sheehan v. Beyer</w:t>
      </w:r>
      <w:r>
        <w:rPr>
          <w:rFonts w:ascii="Arial" w:eastAsia="Arial" w:hAnsi="Arial" w:cs="Arial"/>
          <w:color w:val="000000"/>
          <w:sz w:val="20"/>
        </w:rPr>
        <w:t xml:space="preserve">, 51 F.3d 1170, 1174 (3d Cir. 1995), or to be transferred to a particular penal institution. </w:t>
      </w:r>
      <w:r>
        <w:rPr>
          <w:rFonts w:ascii="Arial" w:eastAsia="Arial" w:hAnsi="Arial" w:cs="Arial"/>
          <w:color w:val="000000"/>
          <w:sz w:val="20"/>
          <w:u w:val="single"/>
        </w:rPr>
        <w:t xml:space="preserve">See </w:t>
      </w:r>
      <w:bookmarkStart w:id="1171" w:name="Bookmark_I5WFKCD228T4CG0020000400"/>
      <w:bookmarkEnd w:id="1171"/>
      <w:r>
        <w:rPr>
          <w:rFonts w:ascii="Arial" w:eastAsia="Arial" w:hAnsi="Arial" w:cs="Arial"/>
          <w:color w:val="000000"/>
          <w:sz w:val="20"/>
          <w:u w:val="single"/>
        </w:rPr>
        <w:t>Asquith v. Dep't of Corr.</w:t>
      </w:r>
      <w:r>
        <w:rPr>
          <w:rFonts w:ascii="Arial" w:eastAsia="Arial" w:hAnsi="Arial" w:cs="Arial"/>
          <w:color w:val="000000"/>
          <w:sz w:val="20"/>
        </w:rPr>
        <w:t xml:space="preserve">, 186 F.3d 407, 410 (3d Cir. 1999). Given that "maintaining institutional security and preserving internal order and discipline" is of paramount importance to prison officials, we likewise agree with the District Court that Kokinda's constitutional rights were not violated simply because he could not dictate the manner in which [**10]  prison officials conducted searches of his cell. </w:t>
      </w:r>
      <w:r>
        <w:rPr>
          <w:rFonts w:ascii="Arial" w:eastAsia="Arial" w:hAnsi="Arial" w:cs="Arial"/>
          <w:color w:val="000000"/>
          <w:sz w:val="20"/>
          <w:u w:val="single"/>
        </w:rPr>
        <w:t xml:space="preserve">See </w:t>
      </w:r>
      <w:bookmarkStart w:id="1172" w:name="Bookmark_I5WFKCD228T4CG0040000400"/>
      <w:bookmarkEnd w:id="1172"/>
      <w:r>
        <w:rPr>
          <w:rFonts w:ascii="Arial" w:eastAsia="Arial" w:hAnsi="Arial" w:cs="Arial"/>
          <w:color w:val="000000"/>
          <w:sz w:val="20"/>
          <w:u w:val="single"/>
        </w:rPr>
        <w:t>Bell v. Wolfish</w:t>
      </w:r>
      <w:r>
        <w:rPr>
          <w:rFonts w:ascii="Arial" w:eastAsia="Arial" w:hAnsi="Arial" w:cs="Arial"/>
          <w:color w:val="000000"/>
          <w:sz w:val="20"/>
        </w:rPr>
        <w:t>, 441 U.S. 520, 546, 99 S. Ct. 1861, 60 L. Ed. 2d 447 (1979).</w:t>
      </w:r>
    </w:p>
    <w:p w:rsidR="00E456CD" w:rsidRDefault="00000000">
      <w:pPr>
        <w:pStyle w:val="Normal4"/>
        <w:widowControl w:val="0"/>
        <w:spacing w:before="200" w:line="260" w:lineRule="atLeast"/>
        <w:jc w:val="both"/>
      </w:pPr>
      <w:bookmarkStart w:id="1173" w:name="Bookmark_para_14_2"/>
      <w:bookmarkEnd w:id="1173"/>
      <w:r>
        <w:rPr>
          <w:rFonts w:ascii="Arial" w:eastAsia="Arial" w:hAnsi="Arial" w:cs="Arial"/>
          <w:color w:val="000000"/>
          <w:sz w:val="20"/>
        </w:rPr>
        <w:t xml:space="preserve">Perhaps somewhat troubling, at first blush, is Kokinda's allegation that defendant Dr. Pillai violated his Eighth Amendment rights by failing to provide treatment or handicap-related medical services to reduce the stress of his OCD/HPPD. </w:t>
      </w:r>
      <w:bookmarkStart w:id="1174" w:name="Bookmark_I5WFKCD32HM6Y00020000400"/>
      <w:bookmarkEnd w:id="1174"/>
      <w:r>
        <w:rPr>
          <w:rFonts w:ascii="Arial" w:eastAsia="Arial" w:hAnsi="Arial" w:cs="Arial"/>
          <w:color w:val="000000"/>
          <w:sz w:val="20"/>
        </w:rPr>
        <w:t xml:space="preserve">Compl. at ¶¶ 44-45. </w:t>
      </w:r>
      <w:bookmarkStart w:id="1175" w:name="Bookmark_I5WFKCD32HM6Y00040000400"/>
      <w:bookmarkEnd w:id="1175"/>
      <w:r>
        <w:rPr>
          <w:rFonts w:ascii="Arial" w:eastAsia="Arial" w:hAnsi="Arial" w:cs="Arial"/>
          <w:color w:val="000000"/>
          <w:sz w:val="20"/>
        </w:rPr>
        <w:t xml:space="preserve">However, we must agree with the District Court's conclusion that Kokinda's assertion is conclusory and lacking in supporting factual detail. </w:t>
      </w:r>
      <w:bookmarkStart w:id="1176" w:name="Bookmark_I5WFKCD32N1PT00010000400"/>
      <w:bookmarkEnd w:id="1176"/>
      <w:r>
        <w:rPr>
          <w:rFonts w:ascii="Arial" w:eastAsia="Arial" w:hAnsi="Arial" w:cs="Arial"/>
          <w:color w:val="000000"/>
          <w:sz w:val="20"/>
          <w:u w:val="single"/>
        </w:rPr>
        <w:t xml:space="preserve">See </w:t>
      </w:r>
      <w:bookmarkStart w:id="1177" w:name="Bookmark_I5WFKCD32HM6Y00010000400"/>
      <w:bookmarkEnd w:id="1177"/>
      <w:r>
        <w:rPr>
          <w:rFonts w:ascii="Arial" w:eastAsia="Arial" w:hAnsi="Arial" w:cs="Arial"/>
          <w:color w:val="000000"/>
          <w:sz w:val="20"/>
          <w:u w:val="single"/>
        </w:rPr>
        <w:t>Iqbal</w:t>
      </w:r>
      <w:r>
        <w:rPr>
          <w:rFonts w:ascii="Arial" w:eastAsia="Arial" w:hAnsi="Arial" w:cs="Arial"/>
          <w:color w:val="000000"/>
          <w:sz w:val="20"/>
        </w:rPr>
        <w:t xml:space="preserve">, 556 U.S. at 678-79. </w:t>
      </w:r>
      <w:bookmarkStart w:id="1178" w:name="Bookmark_I5WFKCD32N1PT00010000400_2"/>
      <w:bookmarkStart w:id="1179" w:name="Bookmark_I5WFKCD32HM6Y00040000400_2"/>
      <w:bookmarkEnd w:id="1178"/>
      <w:bookmarkEnd w:id="1179"/>
      <w:r>
        <w:rPr>
          <w:rFonts w:ascii="Arial" w:eastAsia="Arial" w:hAnsi="Arial" w:cs="Arial"/>
          <w:color w:val="000000"/>
          <w:sz w:val="20"/>
        </w:rPr>
        <w:t xml:space="preserve">The Supreme Court has held that "deliberate indifference to serious medical needs of prisoners constitutes the 'unnecessary and wanton infliction of pain' . . . proscribed by the Eighth Amendment." </w:t>
      </w:r>
      <w:bookmarkStart w:id="1180" w:name="Bookmark_I5WFKCD32HM6Y00030000400"/>
      <w:bookmarkEnd w:id="1180"/>
      <w:r>
        <w:rPr>
          <w:rFonts w:ascii="Arial" w:eastAsia="Arial" w:hAnsi="Arial" w:cs="Arial"/>
          <w:color w:val="000000"/>
          <w:sz w:val="20"/>
          <w:u w:val="single"/>
        </w:rPr>
        <w:t>Estelle v. Gamble</w:t>
      </w:r>
      <w:r>
        <w:rPr>
          <w:rFonts w:ascii="Arial" w:eastAsia="Arial" w:hAnsi="Arial" w:cs="Arial"/>
          <w:color w:val="000000"/>
          <w:sz w:val="20"/>
        </w:rPr>
        <w:t xml:space="preserve">, 429 U.S. 97, 104, 97 S. Ct. 285, 50 L. Ed. 2d 251 (1976). Establishing a claim requires proving both an objective component—"a serious medical need"—and a subjective component—"acts or omissions by prison officials that indicate deliberate indifference to that need." </w:t>
      </w:r>
      <w:bookmarkStart w:id="1181" w:name="Bookmark_I5WFKCD32HM6Y00050000400"/>
      <w:bookmarkEnd w:id="1181"/>
      <w:r>
        <w:rPr>
          <w:rFonts w:ascii="Arial" w:eastAsia="Arial" w:hAnsi="Arial" w:cs="Arial"/>
          <w:color w:val="000000"/>
          <w:sz w:val="20"/>
          <w:u w:val="single"/>
        </w:rPr>
        <w:t>Natale v. Camden Cty. Corr. Facility</w:t>
      </w:r>
      <w:r>
        <w:rPr>
          <w:rFonts w:ascii="Arial" w:eastAsia="Arial" w:hAnsi="Arial" w:cs="Arial"/>
          <w:color w:val="000000"/>
          <w:sz w:val="20"/>
        </w:rPr>
        <w:t xml:space="preserve">, 318 F.3d 575, 582 (3d Cir. 2003). A plaintiff may show deliberate indifference by demonstrating that "there was objective evidence that [the] plaintiff had serious need for medical care . . . and prison officials ignored that evidence" or where "necessary medical treatment is delayed for non-medical reasons." </w:t>
      </w:r>
      <w:r>
        <w:rPr>
          <w:rFonts w:ascii="Arial" w:eastAsia="Arial" w:hAnsi="Arial" w:cs="Arial"/>
          <w:color w:val="000000"/>
          <w:sz w:val="20"/>
          <w:u w:val="single"/>
        </w:rPr>
        <w:t>Id.</w:t>
      </w:r>
      <w:r>
        <w:rPr>
          <w:rFonts w:ascii="Arial" w:eastAsia="Arial" w:hAnsi="Arial" w:cs="Arial"/>
          <w:color w:val="000000"/>
          <w:sz w:val="20"/>
        </w:rPr>
        <w:t xml:space="preserve"> (internal quotation marks omitted). Even assuming arguendo that his OCD/HPPD amounted [**11]  to a serious  [*944]  medical condition, the third amended complaint falls short of stating an Eighth Amendment violation against Dr. Pillai. </w:t>
      </w:r>
      <w:bookmarkStart w:id="1182" w:name="Bookmark_I5WFKCD32N1PT00030000400"/>
      <w:bookmarkEnd w:id="1182"/>
      <w:r>
        <w:rPr>
          <w:rFonts w:ascii="Arial" w:eastAsia="Arial" w:hAnsi="Arial" w:cs="Arial"/>
          <w:color w:val="000000"/>
          <w:sz w:val="20"/>
        </w:rPr>
        <w:t xml:space="preserve">Rather than allege that he requested necessary medication or treatment from Dr. Pillai that was denied, Kokinda instead acknowledged that past treatment attempts (by health care providers other than Dr. Pillai) in the form of tranquilizers, antipsychotic medications, and relaxation techniques were unsuccessful, and some came with "severe intolerable side-effects." </w:t>
      </w:r>
      <w:r>
        <w:rPr>
          <w:rFonts w:ascii="Arial" w:eastAsia="Arial" w:hAnsi="Arial" w:cs="Arial"/>
          <w:color w:val="000000"/>
          <w:sz w:val="20"/>
          <w:u w:val="single"/>
        </w:rPr>
        <w:t>See</w:t>
      </w:r>
      <w:r>
        <w:rPr>
          <w:rFonts w:ascii="Arial" w:eastAsia="Arial" w:hAnsi="Arial" w:cs="Arial"/>
          <w:color w:val="000000"/>
          <w:sz w:val="20"/>
        </w:rPr>
        <w:t xml:space="preserve"> Compl. at ¶¶ 31-32. Eighth Amendment liability does not fall upon Dr. Pillai simply because Kokinda discovered after his release from confinement that certain antidepressants and over-the-counter herbal supplements appeared to be effective in helping to manage his OCD/HPPD symptoms in certain environments. </w:t>
      </w:r>
      <w:r>
        <w:rPr>
          <w:rFonts w:ascii="Arial" w:eastAsia="Arial" w:hAnsi="Arial" w:cs="Arial"/>
          <w:color w:val="000000"/>
          <w:sz w:val="20"/>
          <w:u w:val="single"/>
        </w:rPr>
        <w:t xml:space="preserve">See </w:t>
      </w:r>
      <w:bookmarkStart w:id="1183" w:name="Bookmark_I5WFKCD32N1PT00020000400"/>
      <w:bookmarkEnd w:id="1183"/>
      <w:r>
        <w:rPr>
          <w:rFonts w:ascii="Arial" w:eastAsia="Arial" w:hAnsi="Arial" w:cs="Arial"/>
          <w:color w:val="000000"/>
          <w:sz w:val="20"/>
          <w:u w:val="single"/>
        </w:rPr>
        <w:t>Spruill v. Gillis</w:t>
      </w:r>
      <w:r>
        <w:rPr>
          <w:rFonts w:ascii="Arial" w:eastAsia="Arial" w:hAnsi="Arial" w:cs="Arial"/>
          <w:color w:val="000000"/>
          <w:sz w:val="20"/>
        </w:rPr>
        <w:t>, 372 F.3d 218, 235 (3d Cir. 2004).</w:t>
      </w:r>
    </w:p>
    <w:p w:rsidR="00E456CD" w:rsidRDefault="00000000">
      <w:pPr>
        <w:pStyle w:val="Normal4"/>
        <w:widowControl w:val="0"/>
        <w:spacing w:before="200" w:line="260" w:lineRule="atLeast"/>
        <w:jc w:val="both"/>
      </w:pPr>
      <w:bookmarkStart w:id="1184" w:name="Bookmark_para_15_2"/>
      <w:bookmarkStart w:id="1185" w:name="Bookmark_I5WFKCD32N1PT00050000400"/>
      <w:bookmarkEnd w:id="1184"/>
      <w:bookmarkEnd w:id="1185"/>
      <w:r>
        <w:rPr>
          <w:rFonts w:ascii="Arial" w:eastAsia="Arial" w:hAnsi="Arial" w:cs="Arial"/>
          <w:color w:val="000000"/>
          <w:sz w:val="20"/>
        </w:rPr>
        <w:t xml:space="preserve">We dispose of Kokinda's First Amendment claim with little discussion as the District Court properly concluded that he failed to sufficiently allege retaliatory conduct that caused him to suffer an adverse action. </w:t>
      </w:r>
      <w:bookmarkStart w:id="1186" w:name="Bookmark_I5WFKCD42D6NWG0020000400"/>
      <w:bookmarkEnd w:id="1186"/>
      <w:r>
        <w:rPr>
          <w:rFonts w:ascii="Arial" w:eastAsia="Arial" w:hAnsi="Arial" w:cs="Arial"/>
          <w:color w:val="000000"/>
          <w:sz w:val="20"/>
          <w:u w:val="single"/>
        </w:rPr>
        <w:t xml:space="preserve">See </w:t>
      </w:r>
      <w:bookmarkStart w:id="1187" w:name="Bookmark_I5WFKCD32N1PT00040000400"/>
      <w:bookmarkEnd w:id="1187"/>
      <w:r>
        <w:rPr>
          <w:rFonts w:ascii="Arial" w:eastAsia="Arial" w:hAnsi="Arial" w:cs="Arial"/>
          <w:color w:val="000000"/>
          <w:sz w:val="20"/>
          <w:u w:val="single"/>
        </w:rPr>
        <w:t>Rauser v. Horn</w:t>
      </w:r>
      <w:r>
        <w:rPr>
          <w:rFonts w:ascii="Arial" w:eastAsia="Arial" w:hAnsi="Arial" w:cs="Arial"/>
          <w:color w:val="000000"/>
          <w:sz w:val="20"/>
        </w:rPr>
        <w:t xml:space="preserve">, 241 F.3d 330, 333-34 (3d Cir. 2001). </w:t>
      </w:r>
      <w:bookmarkStart w:id="1188" w:name="Bookmark_I5WFKCD42D6NWG0040000400"/>
      <w:bookmarkEnd w:id="1188"/>
      <w:r>
        <w:rPr>
          <w:rFonts w:ascii="Arial" w:eastAsia="Arial" w:hAnsi="Arial" w:cs="Arial"/>
          <w:color w:val="000000"/>
          <w:sz w:val="20"/>
        </w:rPr>
        <w:t xml:space="preserve">Kokinda's third amended complaint likewise falls woefully short of alleging a Fourteenth Amendment equal protection claim. </w:t>
      </w:r>
      <w:bookmarkStart w:id="1189" w:name="Bookmark_I5WFKCD42D6NWG0040000400_2"/>
      <w:bookmarkStart w:id="1190" w:name="Bookmark_I5WFKCD42D6NWG0020000400_2"/>
      <w:bookmarkEnd w:id="1189"/>
      <w:bookmarkEnd w:id="1190"/>
      <w:r>
        <w:rPr>
          <w:rFonts w:ascii="Arial" w:eastAsia="Arial" w:hAnsi="Arial" w:cs="Arial"/>
          <w:color w:val="000000"/>
          <w:sz w:val="20"/>
          <w:u w:val="single"/>
        </w:rPr>
        <w:t xml:space="preserve">See </w:t>
      </w:r>
      <w:bookmarkStart w:id="1191" w:name="Bookmark_I5WFKCD42D6NWG0010000400"/>
      <w:bookmarkEnd w:id="1191"/>
      <w:r>
        <w:rPr>
          <w:rFonts w:ascii="Arial" w:eastAsia="Arial" w:hAnsi="Arial" w:cs="Arial"/>
          <w:color w:val="000000"/>
          <w:sz w:val="20"/>
          <w:u w:val="single"/>
        </w:rPr>
        <w:t>Phillips v. County of Allegheny</w:t>
      </w:r>
      <w:r>
        <w:rPr>
          <w:rFonts w:ascii="Arial" w:eastAsia="Arial" w:hAnsi="Arial" w:cs="Arial"/>
          <w:color w:val="000000"/>
          <w:sz w:val="20"/>
        </w:rPr>
        <w:t xml:space="preserve">, 515 F.3d 224, 245 (3d Cir. 2008). Finally, the District Court did not err in concluding that Kokinda's claim under Title II of the ADA against [**12]  the DOC fails as a matter of law insofar as he did not assert that he was denied adequate accommodations or medical treatment on account of or because of his disability as required. 42 U.S.C. 12132; </w:t>
      </w:r>
      <w:r>
        <w:rPr>
          <w:rFonts w:ascii="Arial" w:eastAsia="Arial" w:hAnsi="Arial" w:cs="Arial"/>
          <w:color w:val="000000"/>
          <w:sz w:val="20"/>
          <w:u w:val="single"/>
        </w:rPr>
        <w:t xml:space="preserve">see also </w:t>
      </w:r>
      <w:bookmarkStart w:id="1192" w:name="Bookmark_I5WFKCD42D6NWG0030000400"/>
      <w:bookmarkEnd w:id="1192"/>
      <w:r>
        <w:rPr>
          <w:rFonts w:ascii="Arial" w:eastAsia="Arial" w:hAnsi="Arial" w:cs="Arial"/>
          <w:color w:val="000000"/>
          <w:sz w:val="20"/>
          <w:u w:val="single"/>
        </w:rPr>
        <w:t>Simmons v. Navajo County, Ariz.</w:t>
      </w:r>
      <w:r>
        <w:rPr>
          <w:rFonts w:ascii="Arial" w:eastAsia="Arial" w:hAnsi="Arial" w:cs="Arial"/>
          <w:color w:val="000000"/>
          <w:sz w:val="20"/>
        </w:rPr>
        <w:t>, 609 F.3d 1011, 1022 (9th Cir. 2010).</w:t>
      </w:r>
    </w:p>
    <w:p w:rsidR="00E456CD" w:rsidRDefault="00000000">
      <w:pPr>
        <w:pStyle w:val="Normal4"/>
        <w:widowControl w:val="0"/>
        <w:spacing w:before="200" w:line="260" w:lineRule="atLeast"/>
        <w:jc w:val="both"/>
      </w:pPr>
      <w:bookmarkStart w:id="1193" w:name="Bookmark_para_16_2"/>
      <w:bookmarkStart w:id="1194" w:name="Bookmark_I5WFKCD42D6NWJ0010000400"/>
      <w:bookmarkEnd w:id="1193"/>
      <w:bookmarkEnd w:id="1194"/>
      <w:r>
        <w:rPr>
          <w:rFonts w:ascii="Arial" w:eastAsia="Arial" w:hAnsi="Arial" w:cs="Arial"/>
          <w:color w:val="000000"/>
          <w:sz w:val="20"/>
        </w:rPr>
        <w:t xml:space="preserve">We have considered Kokinda's remaining arguments and have determined that they are meritless. Moreover, under the circumstances of this case, the District Court did not abuse its discretion in dismissing Kokinda's complaint without further leave to amend. </w:t>
      </w:r>
      <w:r>
        <w:rPr>
          <w:rFonts w:ascii="Arial" w:eastAsia="Arial" w:hAnsi="Arial" w:cs="Arial"/>
          <w:color w:val="000000"/>
          <w:sz w:val="20"/>
          <w:u w:val="single"/>
        </w:rPr>
        <w:t xml:space="preserve">See </w:t>
      </w:r>
      <w:bookmarkStart w:id="1195" w:name="Bookmark_I5WFKCD42D6NWG0050000400"/>
      <w:bookmarkEnd w:id="1195"/>
      <w:r>
        <w:rPr>
          <w:rFonts w:ascii="Arial" w:eastAsia="Arial" w:hAnsi="Arial" w:cs="Arial"/>
          <w:color w:val="000000"/>
          <w:sz w:val="20"/>
          <w:u w:val="single"/>
        </w:rPr>
        <w:t>Grayson v. Mayview State Hosp.</w:t>
      </w:r>
      <w:r>
        <w:rPr>
          <w:rFonts w:ascii="Arial" w:eastAsia="Arial" w:hAnsi="Arial" w:cs="Arial"/>
          <w:color w:val="000000"/>
          <w:sz w:val="20"/>
        </w:rPr>
        <w:t xml:space="preserve">, 293 F.3d 103, 108 (3d Cir. 2002). Contrary to Kokinda's assertion that he "was not given even one opportunity to amend his Complaint," </w:t>
      </w:r>
      <w:r>
        <w:rPr>
          <w:rFonts w:ascii="Arial" w:eastAsia="Arial" w:hAnsi="Arial" w:cs="Arial"/>
          <w:color w:val="000000"/>
          <w:sz w:val="20"/>
          <w:u w:val="single"/>
        </w:rPr>
        <w:t>see</w:t>
      </w:r>
      <w:r>
        <w:rPr>
          <w:rFonts w:ascii="Arial" w:eastAsia="Arial" w:hAnsi="Arial" w:cs="Arial"/>
          <w:color w:val="000000"/>
          <w:sz w:val="20"/>
        </w:rPr>
        <w:t xml:space="preserve"> Appellant's Br. at 10, the District Court afforded him three opportunities to correct the deficiencies in his complaint. Accordingly, we will affirm the District Court's order dismissing Kokinda's third amended complaint with prejudice and without leave to amend.</w:t>
      </w:r>
    </w:p>
    <w:p w:rsidR="00E456CD" w:rsidRDefault="00E456CD">
      <w:pPr>
        <w:pStyle w:val="Normal4"/>
      </w:pPr>
    </w:p>
    <w:p w:rsidR="00E456CD" w:rsidRDefault="00000000">
      <w:pPr>
        <w:pStyle w:val="Normal4"/>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7517658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2BBA9" id="Line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5"/>
        <w:sectPr w:rsidR="00E456CD">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gutter="0"/>
          <w:cols w:space="720"/>
          <w:titlePg/>
        </w:sectPr>
      </w:pPr>
    </w:p>
    <w:p w:rsidR="00E456CD" w:rsidRDefault="00E456CD">
      <w:pPr>
        <w:pStyle w:val="Normal5"/>
      </w:pPr>
    </w:p>
    <w:p w:rsidR="00E456CD" w:rsidRDefault="00000000">
      <w:pPr>
        <w:pStyle w:val="Heading14"/>
        <w:keepNext w:val="0"/>
        <w:widowControl w:val="0"/>
        <w:spacing w:after="200" w:line="340" w:lineRule="atLeast"/>
        <w:jc w:val="center"/>
      </w:pPr>
      <w:r>
        <w:rPr>
          <w:rFonts w:eastAsia="Arial"/>
          <w:color w:val="000000"/>
          <w:sz w:val="28"/>
        </w:rPr>
        <w:t>Doe v. BlueCross BlueShield of Tenn., Inc.</w:t>
      </w:r>
    </w:p>
    <w:p w:rsidR="00E456CD" w:rsidRDefault="00000000">
      <w:pPr>
        <w:pStyle w:val="Normal5"/>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5"/>
        <w:widowControl w:val="0"/>
        <w:spacing w:before="120" w:line="260" w:lineRule="atLeast"/>
        <w:jc w:val="center"/>
      </w:pPr>
      <w:r>
        <w:rPr>
          <w:rFonts w:ascii="Arial" w:eastAsia="Arial" w:hAnsi="Arial" w:cs="Arial"/>
          <w:color w:val="000000"/>
          <w:sz w:val="20"/>
        </w:rPr>
        <w:t>May 1, 2019, Argued; June 4, 2019, Decided; June 4, 2019, Filed</w:t>
      </w:r>
    </w:p>
    <w:p w:rsidR="00E456CD" w:rsidRDefault="00000000">
      <w:pPr>
        <w:pStyle w:val="Normal5"/>
        <w:widowControl w:val="0"/>
        <w:spacing w:before="120" w:line="260" w:lineRule="atLeast"/>
        <w:jc w:val="center"/>
      </w:pPr>
      <w:r>
        <w:rPr>
          <w:rFonts w:ascii="Arial" w:eastAsia="Arial" w:hAnsi="Arial" w:cs="Arial"/>
          <w:color w:val="000000"/>
          <w:sz w:val="20"/>
        </w:rPr>
        <w:t>File Name: 19a0115p.06</w:t>
      </w:r>
    </w:p>
    <w:p w:rsidR="00E456CD" w:rsidRDefault="00000000">
      <w:pPr>
        <w:pStyle w:val="Normal5"/>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18-5897</w:t>
      </w:r>
    </w:p>
    <w:p w:rsidR="00E456CD" w:rsidRDefault="00E456CD">
      <w:pPr>
        <w:pStyle w:val="Normal5"/>
        <w:widowControl w:val="0"/>
        <w:spacing w:line="240" w:lineRule="atLeast"/>
        <w:jc w:val="both"/>
      </w:pPr>
      <w:bookmarkStart w:id="1196" w:name="Bookmark_6"/>
      <w:bookmarkEnd w:id="1196"/>
    </w:p>
    <w:p w:rsidR="00E456CD" w:rsidRDefault="00000000">
      <w:pPr>
        <w:pStyle w:val="Normal5"/>
        <w:widowControl w:val="0"/>
        <w:spacing w:before="200" w:line="240" w:lineRule="atLeast"/>
      </w:pPr>
      <w:bookmarkStart w:id="1197" w:name="Reporter_4"/>
      <w:bookmarkEnd w:id="1197"/>
      <w:r>
        <w:rPr>
          <w:rFonts w:ascii="Arial" w:eastAsia="Arial" w:hAnsi="Arial" w:cs="Arial"/>
          <w:b/>
          <w:color w:val="000000"/>
          <w:sz w:val="18"/>
        </w:rPr>
        <w:t>Reporter</w:t>
      </w:r>
    </w:p>
    <w:p w:rsidR="00E456CD" w:rsidRDefault="00000000">
      <w:pPr>
        <w:pStyle w:val="Normal5"/>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926 F.3d 235 *; 2019 U.S. App. LEXIS 16785 **; 2019 FED App. 0115P (6th Cir.) ***; 2019 WL 2353207</w:t>
      </w:r>
    </w:p>
    <w:p w:rsidR="00E456CD" w:rsidRDefault="00000000">
      <w:pPr>
        <w:pStyle w:val="Normal5"/>
        <w:widowControl w:val="0"/>
        <w:spacing w:before="120" w:line="260" w:lineRule="atLeast"/>
      </w:pPr>
      <w:r>
        <w:rPr>
          <w:rFonts w:ascii="Arial" w:eastAsia="Arial" w:hAnsi="Arial" w:cs="Arial"/>
          <w:color w:val="000000"/>
          <w:sz w:val="20"/>
        </w:rPr>
        <w:t>JOHN DOE, Plaintiff-Appellant, v. BLUECROSS BLUESHIELD OF TENNESSEE, INC., Defendant-Appellee.</w:t>
      </w:r>
    </w:p>
    <w:p w:rsidR="00E456CD" w:rsidRDefault="00000000">
      <w:pPr>
        <w:pStyle w:val="Normal5"/>
        <w:widowControl w:val="0"/>
        <w:spacing w:before="240" w:line="260" w:lineRule="atLeast"/>
        <w:jc w:val="both"/>
      </w:pPr>
      <w:bookmarkStart w:id="1198" w:name="Prior_History_4"/>
      <w:bookmarkEnd w:id="1198"/>
      <w:r>
        <w:rPr>
          <w:rFonts w:ascii="Arial" w:eastAsia="Arial" w:hAnsi="Arial" w:cs="Arial"/>
          <w:b/>
          <w:color w:val="000000"/>
          <w:sz w:val="20"/>
        </w:rPr>
        <w:t>Prior History:</w:t>
      </w:r>
      <w:r>
        <w:rPr>
          <w:rFonts w:ascii="Arial" w:eastAsia="Arial" w:hAnsi="Arial" w:cs="Arial"/>
          <w:color w:val="000000"/>
          <w:sz w:val="20"/>
        </w:rPr>
        <w:t> </w:t>
      </w:r>
      <w:bookmarkStart w:id="1199" w:name="Bookmark_para_1_4"/>
      <w:bookmarkEnd w:id="1199"/>
      <w:r>
        <w:rPr>
          <w:rFonts w:ascii="Arial" w:eastAsia="Arial" w:hAnsi="Arial" w:cs="Arial"/>
          <w:color w:val="000000"/>
          <w:sz w:val="20"/>
        </w:rPr>
        <w:t> [**1] Appeal from the United States District Court for the Western District of Tennessee at Memphis. No. 2:17-cv-02793—Thomas L. Parker, District Judge.</w:t>
      </w:r>
    </w:p>
    <w:p w:rsidR="00E456CD" w:rsidRDefault="00000000">
      <w:pPr>
        <w:pStyle w:val="Normal5"/>
        <w:widowControl w:val="0"/>
        <w:spacing w:before="120" w:line="260" w:lineRule="atLeast"/>
      </w:pPr>
      <w:r>
        <w:rPr>
          <w:rFonts w:ascii="Arial" w:eastAsia="Arial" w:hAnsi="Arial" w:cs="Arial"/>
          <w:color w:val="000000"/>
          <w:sz w:val="20"/>
        </w:rPr>
        <w:t>Doe v. BlueCross BlueShield of Tenn., Inc., 2018 U.S. Dist. LEXIS 126845 (W.D. Tenn., July 30, 2018)</w:t>
      </w:r>
    </w:p>
    <w:p w:rsidR="00E456CD" w:rsidRDefault="00000000">
      <w:pPr>
        <w:pStyle w:val="Normal5"/>
        <w:widowControl w:val="0"/>
        <w:spacing w:before="240" w:line="260" w:lineRule="atLeast"/>
      </w:pPr>
      <w:bookmarkStart w:id="1200" w:name="Counsel_4"/>
      <w:bookmarkEnd w:id="1200"/>
      <w:r>
        <w:rPr>
          <w:rFonts w:ascii="Arial" w:eastAsia="Arial" w:hAnsi="Arial" w:cs="Arial"/>
          <w:b/>
          <w:color w:val="000000"/>
          <w:sz w:val="20"/>
        </w:rPr>
        <w:t>Counsel:</w:t>
      </w:r>
      <w:r>
        <w:rPr>
          <w:rFonts w:ascii="Arial" w:eastAsia="Arial" w:hAnsi="Arial" w:cs="Arial"/>
          <w:color w:val="000000"/>
          <w:sz w:val="20"/>
        </w:rPr>
        <w:t> ARGUED: Jerry Flanagan, CONSUMER WATCHDOG, Los Angeles, California, for Appellant.</w:t>
      </w:r>
    </w:p>
    <w:p w:rsidR="00E456CD" w:rsidRDefault="00000000">
      <w:pPr>
        <w:pStyle w:val="Normal5"/>
        <w:widowControl w:val="0"/>
        <w:spacing w:before="120" w:line="260" w:lineRule="atLeast"/>
      </w:pPr>
      <w:r>
        <w:rPr>
          <w:rFonts w:ascii="Arial" w:eastAsia="Arial" w:hAnsi="Arial" w:cs="Arial"/>
          <w:color w:val="000000"/>
          <w:sz w:val="20"/>
        </w:rPr>
        <w:t>Todd Kim, REED SMITH LLP, Washington, D.C., for Appellee.</w:t>
      </w:r>
    </w:p>
    <w:p w:rsidR="00E456CD" w:rsidRDefault="00000000">
      <w:pPr>
        <w:pStyle w:val="Normal5"/>
        <w:widowControl w:val="0"/>
        <w:spacing w:before="120" w:line="260" w:lineRule="atLeast"/>
      </w:pPr>
      <w:r>
        <w:rPr>
          <w:rFonts w:ascii="Arial" w:eastAsia="Arial" w:hAnsi="Arial" w:cs="Arial"/>
          <w:color w:val="000000"/>
          <w:sz w:val="20"/>
        </w:rPr>
        <w:t>ON BRIEF: Jerry Flanagan, CONSUMER WATCHDOG, Los Angeles, California, Edith M. Kallas, WHATLEY KALLAS, LLP, New York, New York, Alan M. Mansfield, WHATLEY KALLAS, LLP, San Diego, California, Jerry Martin, Seth M. Hyatt, BARRETT JOHNSTON MARTIN &amp; GARRISON, LLC, Nashville, Tennessee, for Appellant.</w:t>
      </w:r>
    </w:p>
    <w:p w:rsidR="00E456CD" w:rsidRDefault="00000000">
      <w:pPr>
        <w:pStyle w:val="Normal5"/>
        <w:widowControl w:val="0"/>
        <w:spacing w:before="120" w:line="260" w:lineRule="atLeast"/>
      </w:pPr>
      <w:r>
        <w:rPr>
          <w:rFonts w:ascii="Arial" w:eastAsia="Arial" w:hAnsi="Arial" w:cs="Arial"/>
          <w:color w:val="000000"/>
          <w:sz w:val="20"/>
        </w:rPr>
        <w:t>Todd Kim, REED SMITH LLP, Washington, D.C., Bryan M. Webster, Abraham Judson Souza, REED SMITH LLP, Chicago, Illinois, for Appellee.</w:t>
      </w:r>
    </w:p>
    <w:p w:rsidR="00E456CD" w:rsidRDefault="00000000">
      <w:pPr>
        <w:pStyle w:val="Normal5"/>
        <w:widowControl w:val="0"/>
        <w:spacing w:before="240" w:line="260" w:lineRule="atLeast"/>
      </w:pPr>
      <w:bookmarkStart w:id="1201" w:name="Judges_4"/>
      <w:bookmarkEnd w:id="1201"/>
      <w:r>
        <w:rPr>
          <w:rFonts w:ascii="Arial" w:eastAsia="Arial" w:hAnsi="Arial" w:cs="Arial"/>
          <w:b/>
          <w:color w:val="000000"/>
          <w:sz w:val="20"/>
        </w:rPr>
        <w:t>Judges:</w:t>
      </w:r>
      <w:r>
        <w:rPr>
          <w:rFonts w:ascii="Arial" w:eastAsia="Arial" w:hAnsi="Arial" w:cs="Arial"/>
          <w:color w:val="000000"/>
          <w:sz w:val="20"/>
        </w:rPr>
        <w:t> Before: GUY, SUTTON, and NALBANDIAN, Circuit Judges.</w:t>
      </w:r>
    </w:p>
    <w:p w:rsidR="00E456CD" w:rsidRDefault="00000000">
      <w:pPr>
        <w:pStyle w:val="Normal5"/>
        <w:widowControl w:val="0"/>
        <w:spacing w:before="240" w:line="260" w:lineRule="atLeast"/>
      </w:pPr>
      <w:bookmarkStart w:id="1202" w:name="Opinion_by_2"/>
      <w:bookmarkEnd w:id="1202"/>
      <w:r>
        <w:rPr>
          <w:rFonts w:ascii="Arial" w:eastAsia="Arial" w:hAnsi="Arial" w:cs="Arial"/>
          <w:b/>
          <w:color w:val="000000"/>
          <w:sz w:val="20"/>
        </w:rPr>
        <w:t>Opinion by:</w:t>
      </w:r>
      <w:r>
        <w:rPr>
          <w:rFonts w:ascii="Arial" w:eastAsia="Arial" w:hAnsi="Arial" w:cs="Arial"/>
          <w:color w:val="000000"/>
          <w:sz w:val="20"/>
        </w:rPr>
        <w:t> SUTTON</w:t>
      </w:r>
    </w:p>
    <w:p w:rsidR="00E456CD" w:rsidRDefault="00000000">
      <w:pPr>
        <w:pStyle w:val="Normal5"/>
        <w:keepNext/>
        <w:widowControl w:val="0"/>
        <w:spacing w:before="240" w:line="340" w:lineRule="atLeast"/>
      </w:pPr>
      <w:bookmarkStart w:id="1203" w:name="Opinion_4"/>
      <w:bookmarkEnd w:id="1203"/>
      <w:r>
        <w:rPr>
          <w:rFonts w:ascii="Arial" w:eastAsia="Arial" w:hAnsi="Arial" w:cs="Arial"/>
          <w:b/>
          <w:color w:val="000000"/>
          <w:sz w:val="28"/>
        </w:rPr>
        <w:t>Opinion</w:t>
      </w:r>
    </w:p>
    <w:p w:rsidR="00E456CD" w:rsidRDefault="00E22289">
      <w:pPr>
        <w:pStyle w:val="Normal5"/>
        <w:spacing w:line="60" w:lineRule="exact"/>
      </w:pPr>
      <w:r>
        <w:rPr>
          <w:noProof/>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53055184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7DAAA" id="Line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5"/>
      </w:pPr>
    </w:p>
    <w:p w:rsidR="00E456CD" w:rsidRDefault="00000000">
      <w:pPr>
        <w:pStyle w:val="Normal5"/>
        <w:widowControl w:val="0"/>
        <w:spacing w:before="200" w:line="260" w:lineRule="atLeast"/>
        <w:jc w:val="both"/>
      </w:pPr>
      <w:bookmarkStart w:id="1204" w:name="Bookmark_para_2_4"/>
      <w:bookmarkEnd w:id="1204"/>
      <w:r>
        <w:rPr>
          <w:rFonts w:ascii="Arial" w:eastAsia="Arial" w:hAnsi="Arial" w:cs="Arial"/>
          <w:color w:val="000000"/>
          <w:sz w:val="20"/>
        </w:rPr>
        <w:t> [*237]  [***2]   SUTTON, Circuit Judge. Treating similarly situated people differently goes to the heart of invidious discrimination. But treating differently situated people differently usually counts as equal justice under law. Today's case involves the second scenario in the context of an application of the antidiscrimination provisions of the Affordable Care Act.</w:t>
      </w:r>
    </w:p>
    <w:p w:rsidR="00E456CD" w:rsidRDefault="00000000">
      <w:pPr>
        <w:pStyle w:val="Normal5"/>
        <w:widowControl w:val="0"/>
        <w:spacing w:before="200" w:line="260" w:lineRule="atLeast"/>
        <w:jc w:val="both"/>
      </w:pPr>
      <w:bookmarkStart w:id="1205" w:name="Bookmark_para_3_4"/>
      <w:bookmarkEnd w:id="1205"/>
      <w:r>
        <w:rPr>
          <w:rFonts w:ascii="Arial" w:eastAsia="Arial" w:hAnsi="Arial" w:cs="Arial"/>
          <w:color w:val="000000"/>
          <w:sz w:val="20"/>
        </w:rPr>
        <w:t>John Doe receives HIV medicine through a health care plan administered [**2]  by BlueCross BlueShield of Tennessee. Although Doe would like to pick up his medicine at his local pharmacy, his plan requires him, and anyone else who uses certain high-cost drugs, to get his medicine by mail or at a specialty pharmacy. Frustrated by that requirement, Doe sued BlueCross for discriminating against him on the basis of disability and for breaching their contract. The district court rejected the claims as a matter of law. We affirm.</w:t>
      </w:r>
    </w:p>
    <w:p w:rsidR="00E456CD" w:rsidRDefault="00000000">
      <w:pPr>
        <w:pStyle w:val="Normal5"/>
        <w:widowControl w:val="0"/>
        <w:spacing w:before="120" w:line="260" w:lineRule="atLeast"/>
      </w:pPr>
      <w:r>
        <w:rPr>
          <w:rFonts w:ascii="Arial" w:eastAsia="Arial" w:hAnsi="Arial" w:cs="Arial"/>
          <w:color w:val="000000"/>
          <w:sz w:val="20"/>
        </w:rPr>
        <w:t>I.</w:t>
      </w:r>
    </w:p>
    <w:p w:rsidR="00E456CD" w:rsidRDefault="00000000">
      <w:pPr>
        <w:pStyle w:val="Normal5"/>
        <w:widowControl w:val="0"/>
        <w:spacing w:before="200" w:line="260" w:lineRule="atLeast"/>
        <w:jc w:val="both"/>
      </w:pPr>
      <w:bookmarkStart w:id="1206" w:name="Bookmark_para_4_4"/>
      <w:bookmarkEnd w:id="1206"/>
      <w:r>
        <w:rPr>
          <w:rFonts w:ascii="Arial" w:eastAsia="Arial" w:hAnsi="Arial" w:cs="Arial"/>
          <w:color w:val="000000"/>
          <w:sz w:val="20"/>
        </w:rPr>
        <w:t>John Doe is HIV-positive and takes Genvoya to keep his condition under control. While advances in HIV/AIDS research continue to improve treatment for the disease, the most effective medicines can be expensive. Doe receives health insurance from BlueCross. Happily for him, the plan covers Genvoya.</w:t>
      </w:r>
    </w:p>
    <w:p w:rsidR="00E456CD" w:rsidRDefault="00000000">
      <w:pPr>
        <w:pStyle w:val="Normal5"/>
        <w:widowControl w:val="0"/>
        <w:spacing w:before="200" w:line="260" w:lineRule="atLeast"/>
        <w:jc w:val="both"/>
      </w:pPr>
      <w:bookmarkStart w:id="1207" w:name="Bookmark_para_5_4"/>
      <w:bookmarkEnd w:id="1207"/>
      <w:r>
        <w:rPr>
          <w:rFonts w:ascii="Arial" w:eastAsia="Arial" w:hAnsi="Arial" w:cs="Arial"/>
          <w:color w:val="000000"/>
          <w:sz w:val="20"/>
        </w:rPr>
        <w:t>Unhappily for him, BlueCross imposes requirements on where individuals obtain the medication. Doe originally bought Genvoya from his local pharmacy. But after February 2017, the pharmacy told him that BlueCross wouldn't pay for the medication there any longer. BlueCross requires beneficiaries to obtain specialty medicines—usually high-cost medicines for chronic and serious diseases—from a specialty pharmacy network if they want to  [*238]  pay in-network (read [**3]  lower) prices. That meant Doe could fill the HIV prescription only through mail order or by picking it up at certain brick-and-mortar pharmacies. So long as Doe used the specialty pharmacy network, his co-pay for each monthly batch of Genvoya would be $120. But if Doe continued to get the medicine at his local pharmacy, BlueCross wouldn't cover it at all, leaving him to pay full freight at thousands of dollars per batch.</w:t>
      </w:r>
    </w:p>
    <w:p w:rsidR="00E456CD" w:rsidRDefault="00000000">
      <w:pPr>
        <w:pStyle w:val="Normal5"/>
        <w:widowControl w:val="0"/>
        <w:spacing w:before="200" w:line="260" w:lineRule="atLeast"/>
        <w:jc w:val="both"/>
      </w:pPr>
      <w:bookmarkStart w:id="1208" w:name="Bookmark_para_6_4"/>
      <w:bookmarkEnd w:id="1208"/>
      <w:r>
        <w:rPr>
          <w:rFonts w:ascii="Arial" w:eastAsia="Arial" w:hAnsi="Arial" w:cs="Arial"/>
          <w:color w:val="000000"/>
          <w:sz w:val="20"/>
        </w:rPr>
        <w:t> [***3]  This development bothered Doe. He liked interacting with his regular pharmacists, who knew his medical history and who could spot the effects of harmful drug interactions. He also worried that medicine deliveries to his house might compromise his privacy or risk heat damage to the medicine. Doe asked BlueCross for permission to opt out of the specialty medications program. BlueCross declined.</w:t>
      </w:r>
    </w:p>
    <w:p w:rsidR="00E456CD" w:rsidRDefault="00000000">
      <w:pPr>
        <w:pStyle w:val="Normal5"/>
        <w:widowControl w:val="0"/>
        <w:spacing w:before="200" w:line="260" w:lineRule="atLeast"/>
        <w:jc w:val="both"/>
      </w:pPr>
      <w:bookmarkStart w:id="1209" w:name="Bookmark_para_7_4"/>
      <w:bookmarkEnd w:id="1209"/>
      <w:r>
        <w:rPr>
          <w:rFonts w:ascii="Arial" w:eastAsia="Arial" w:hAnsi="Arial" w:cs="Arial"/>
          <w:color w:val="000000"/>
          <w:sz w:val="20"/>
        </w:rPr>
        <w:t>Doe filed this putative class action against BlueCross, alleging that it discriminated against him and other HIV-positive beneficiaries in violation of the Affordable Care Act as well as the Americans with Disabilities Act and that it breached their insurance contract. The district court granted BlueCross's motion to dismiss the complaint and denied Doe leave to amend.</w:t>
      </w:r>
    </w:p>
    <w:p w:rsidR="00E456CD" w:rsidRDefault="00000000">
      <w:pPr>
        <w:pStyle w:val="Normal5"/>
        <w:widowControl w:val="0"/>
        <w:spacing w:before="120" w:line="260" w:lineRule="atLeast"/>
      </w:pPr>
      <w:r>
        <w:rPr>
          <w:rFonts w:ascii="Arial" w:eastAsia="Arial" w:hAnsi="Arial" w:cs="Arial"/>
          <w:color w:val="000000"/>
          <w:sz w:val="20"/>
        </w:rPr>
        <w:t>II.</w:t>
      </w:r>
    </w:p>
    <w:p w:rsidR="00E456CD" w:rsidRDefault="00000000">
      <w:pPr>
        <w:pStyle w:val="Normal5"/>
        <w:widowControl w:val="0"/>
        <w:spacing w:before="200" w:line="260" w:lineRule="atLeast"/>
        <w:jc w:val="both"/>
      </w:pPr>
      <w:bookmarkStart w:id="1210" w:name="Bookmark_para_8_4"/>
      <w:bookmarkEnd w:id="1210"/>
      <w:r>
        <w:rPr>
          <w:rFonts w:ascii="Arial" w:eastAsia="Arial" w:hAnsi="Arial" w:cs="Arial"/>
          <w:i/>
          <w:color w:val="000000"/>
          <w:sz w:val="20"/>
        </w:rPr>
        <w:t>The Affordable Care Act [**4]  claim</w:t>
      </w:r>
      <w:r>
        <w:rPr>
          <w:rFonts w:ascii="Arial" w:eastAsia="Arial" w:hAnsi="Arial" w:cs="Arial"/>
          <w:color w:val="000000"/>
          <w:sz w:val="20"/>
        </w:rPr>
        <w:t>. Doe contends that BlueCross discriminated against him on the basis of disability in violation of § 1557 of the Patient Protection and Affordable Care Act. The argument implicates two questions. Does the standard of liability include a relaxed form of disparate-impact discrimination? May Doe bring a private lawsuit to enforce the claim?</w:t>
      </w:r>
    </w:p>
    <w:p w:rsidR="00E456CD" w:rsidRDefault="00000000">
      <w:pPr>
        <w:pStyle w:val="Normal5"/>
        <w:widowControl w:val="0"/>
        <w:spacing w:before="200" w:line="260" w:lineRule="atLeast"/>
        <w:jc w:val="both"/>
      </w:pPr>
      <w:bookmarkStart w:id="1211" w:name="Bookmark_para_9_4"/>
      <w:bookmarkEnd w:id="1211"/>
      <w:r>
        <w:rPr>
          <w:rFonts w:ascii="Arial" w:eastAsia="Arial" w:hAnsi="Arial" w:cs="Arial"/>
          <w:color w:val="000000"/>
          <w:sz w:val="20"/>
        </w:rPr>
        <w:t>As for the standard of liability, the language of the statute is a good place to start.</w:t>
      </w:r>
      <w:bookmarkStart w:id="1212" w:name="Bookmark_LNHNREFclscc1_2"/>
      <w:bookmarkEnd w:id="1212"/>
      <w:r>
        <w:rPr>
          <w:rFonts w:ascii="Arial" w:eastAsia="Arial" w:hAnsi="Arial" w:cs="Arial"/>
          <w:color w:val="000000"/>
          <w:sz w:val="20"/>
        </w:rPr>
        <w:t xml:space="preserve"> The first sentence of § 1557 provides that "an individual shall not, on the ground prohibited under title VII of the Civil Rights Act of 1964, title IX of the Education Amendments of 1972, the Age Discrimination Act of 1975, or section 504 of the Rehabilitation Act of 1973, be excluded from participation in, be denied the benefits of, or be subjected to discrimination under, any health program or activity, any part of which is receiving Federal financial assistance." 42 U.S.C. § 18116(a). This language brings the problem into view. Doe thinks that some of the incorporated statutes permit discrimination claims based on a relaxed disparate-impact theory of liability and that some of them do not. As he sees it, he may pick the statute with the lightest standard from this menu of four options and use that standard of liability in prosecuting his claim for disability discrimination. [**5] </w:t>
      </w:r>
    </w:p>
    <w:p w:rsidR="00E456CD" w:rsidRDefault="00000000">
      <w:pPr>
        <w:pStyle w:val="Normal5"/>
        <w:widowControl w:val="0"/>
        <w:spacing w:before="200" w:line="260" w:lineRule="atLeast"/>
        <w:jc w:val="both"/>
      </w:pPr>
      <w:bookmarkStart w:id="1213" w:name="Bookmark_para_10_4"/>
      <w:bookmarkEnd w:id="1213"/>
      <w:r>
        <w:rPr>
          <w:rFonts w:ascii="Arial" w:eastAsia="Arial" w:hAnsi="Arial" w:cs="Arial"/>
          <w:color w:val="000000"/>
          <w:sz w:val="20"/>
        </w:rPr>
        <w:t xml:space="preserve">The statute does not permit this reading. </w:t>
      </w:r>
      <w:bookmarkStart w:id="1214" w:name="Bookmark_LNHNREFclscc2_2"/>
      <w:bookmarkEnd w:id="1214"/>
      <w:r>
        <w:rPr>
          <w:rFonts w:ascii="Arial" w:eastAsia="Arial" w:hAnsi="Arial" w:cs="Arial"/>
          <w:color w:val="000000"/>
          <w:sz w:val="20"/>
        </w:rPr>
        <w:t xml:space="preserve">In the abstract, the word "ground" picks up the basis on which the insurer takes an action. </w:t>
      </w:r>
      <w:r>
        <w:rPr>
          <w:rFonts w:ascii="Arial" w:eastAsia="Arial" w:hAnsi="Arial" w:cs="Arial"/>
          <w:i/>
          <w:color w:val="000000"/>
          <w:sz w:val="20"/>
        </w:rPr>
        <w:t>See</w:t>
      </w:r>
      <w:r>
        <w:rPr>
          <w:rFonts w:ascii="Arial" w:eastAsia="Arial" w:hAnsi="Arial" w:cs="Arial"/>
          <w:color w:val="000000"/>
          <w:sz w:val="20"/>
        </w:rPr>
        <w:t xml:space="preserve"> 6 </w:t>
      </w:r>
      <w:r>
        <w:rPr>
          <w:rFonts w:ascii="Arial" w:eastAsia="Arial" w:hAnsi="Arial" w:cs="Arial"/>
          <w:i/>
          <w:color w:val="000000"/>
          <w:sz w:val="20"/>
        </w:rPr>
        <w:t>Oxford English Dictionary</w:t>
      </w:r>
      <w:r>
        <w:rPr>
          <w:rFonts w:ascii="Arial" w:eastAsia="Arial" w:hAnsi="Arial" w:cs="Arial"/>
          <w:color w:val="000000"/>
          <w:sz w:val="20"/>
        </w:rPr>
        <w:t xml:space="preserve"> 876 (2d ed. 1989). </w:t>
      </w:r>
      <w:bookmarkStart w:id="1215" w:name="Bookmark_I5W99YP22HM6F00020000400"/>
      <w:bookmarkEnd w:id="1215"/>
      <w:r>
        <w:rPr>
          <w:rFonts w:ascii="Arial" w:eastAsia="Arial" w:hAnsi="Arial" w:cs="Arial"/>
          <w:color w:val="000000"/>
          <w:sz w:val="20"/>
        </w:rPr>
        <w:t xml:space="preserve">In the concrete context of this law, the word "ground" refers to the forbidden source of  [***4]  discrimination: race, color, and national origin (Title VII); sex (Title IX); age (Age Discrimination Act); and disability (Rehabilitation Act). When "ground" is paired with "prohibited," as in "on the ground prohibited," the statute picks up the type of discrimination—the standard for determining discrimination—prohibited under each of the four incorporated statutes. If the claimant seeks relief for discrimination "on the ground prohibited" by § 504 of the Rehabilitation Act, for example, he must show differential treatment "solely by reason of" disability, 29 U.S.C. § 794(a), not some other standard of care. </w:t>
      </w:r>
      <w:r>
        <w:rPr>
          <w:rFonts w:ascii="Arial" w:eastAsia="Arial" w:hAnsi="Arial" w:cs="Arial"/>
          <w:i/>
          <w:color w:val="000000"/>
          <w:sz w:val="20"/>
        </w:rPr>
        <w:t xml:space="preserve">See </w:t>
      </w:r>
      <w:bookmarkStart w:id="1216" w:name="Bookmark_I5W99YP22HM6F00010000400"/>
      <w:bookmarkEnd w:id="1216"/>
      <w:r>
        <w:rPr>
          <w:rFonts w:ascii="Arial" w:eastAsia="Arial" w:hAnsi="Arial" w:cs="Arial"/>
          <w:i/>
          <w:color w:val="000000"/>
          <w:sz w:val="20"/>
        </w:rPr>
        <w:t>Lewis v. Humboldt Acquisition Corp.</w:t>
      </w:r>
      <w:r>
        <w:rPr>
          <w:rFonts w:ascii="Arial" w:eastAsia="Arial" w:hAnsi="Arial" w:cs="Arial"/>
          <w:color w:val="000000"/>
          <w:sz w:val="20"/>
        </w:rPr>
        <w:t>, 681 F.3d 312, 315-16 (6th Cir. 2012) (en banc). Otherwise, the health insurer's actions do not amount to the kind of "discrimination" barred by the law.</w:t>
      </w:r>
    </w:p>
    <w:p w:rsidR="00E456CD" w:rsidRDefault="00000000">
      <w:pPr>
        <w:pStyle w:val="Normal5"/>
        <w:widowControl w:val="0"/>
        <w:spacing w:before="200" w:line="260" w:lineRule="atLeast"/>
        <w:jc w:val="both"/>
      </w:pPr>
      <w:bookmarkStart w:id="1217" w:name="Bookmark_para_11_4"/>
      <w:bookmarkEnd w:id="1217"/>
      <w:r>
        <w:rPr>
          <w:rFonts w:ascii="Arial" w:eastAsia="Arial" w:hAnsi="Arial" w:cs="Arial"/>
          <w:color w:val="000000"/>
          <w:sz w:val="20"/>
        </w:rPr>
        <w:t xml:space="preserve"> [*239]  </w:t>
      </w:r>
      <w:bookmarkStart w:id="1218" w:name="Bookmark_I5W99YP22HM6F00040000400"/>
      <w:bookmarkEnd w:id="1218"/>
      <w:r>
        <w:rPr>
          <w:rFonts w:ascii="Arial" w:eastAsia="Arial" w:hAnsi="Arial" w:cs="Arial"/>
          <w:color w:val="000000"/>
          <w:sz w:val="20"/>
        </w:rPr>
        <w:t xml:space="preserve">Think of it this way. </w:t>
      </w:r>
      <w:bookmarkStart w:id="1219" w:name="Bookmark_LNHNREFclscc3_2"/>
      <w:bookmarkEnd w:id="1219"/>
      <w:r>
        <w:rPr>
          <w:rFonts w:ascii="Arial" w:eastAsia="Arial" w:hAnsi="Arial" w:cs="Arial"/>
          <w:color w:val="000000"/>
          <w:sz w:val="20"/>
        </w:rPr>
        <w:t xml:space="preserve">The Affordable Care Act prohibits discrimination based on several grounds. But it does not change the nature of those grounds any more than it adds a new form of discrimination, say discrimination [**6]  based on political perspective, to the law. By referring to four statutes, Congress incorporated the legal standards that define discrimination under each one. </w:t>
      </w:r>
      <w:r>
        <w:rPr>
          <w:rFonts w:ascii="Arial" w:eastAsia="Arial" w:hAnsi="Arial" w:cs="Arial"/>
          <w:i/>
          <w:color w:val="000000"/>
          <w:sz w:val="20"/>
        </w:rPr>
        <w:t xml:space="preserve">See </w:t>
      </w:r>
      <w:bookmarkStart w:id="1220" w:name="Bookmark_I5W99YP22HM6F00030000400"/>
      <w:bookmarkEnd w:id="1220"/>
      <w:r>
        <w:rPr>
          <w:rFonts w:ascii="Arial" w:eastAsia="Arial" w:hAnsi="Arial" w:cs="Arial"/>
          <w:i/>
          <w:color w:val="000000"/>
          <w:sz w:val="20"/>
        </w:rPr>
        <w:t>Panama R. Co. v. Johnson</w:t>
      </w:r>
      <w:r>
        <w:rPr>
          <w:rFonts w:ascii="Arial" w:eastAsia="Arial" w:hAnsi="Arial" w:cs="Arial"/>
          <w:color w:val="000000"/>
          <w:sz w:val="20"/>
        </w:rPr>
        <w:t>, 264 U.S. 375, 392, 44 S. Ct. 391, 68 L. Ed. 748 (1924).</w:t>
      </w:r>
    </w:p>
    <w:p w:rsidR="00E456CD" w:rsidRDefault="00000000">
      <w:pPr>
        <w:pStyle w:val="Normal5"/>
        <w:widowControl w:val="0"/>
        <w:spacing w:before="200" w:line="260" w:lineRule="atLeast"/>
        <w:jc w:val="both"/>
      </w:pPr>
      <w:bookmarkStart w:id="1221" w:name="Bookmark_para_12_3"/>
      <w:bookmarkStart w:id="1222" w:name="Bookmark_LNHNREFclscc4_2"/>
      <w:bookmarkEnd w:id="1221"/>
      <w:bookmarkEnd w:id="1222"/>
      <w:r>
        <w:rPr>
          <w:rFonts w:ascii="Arial" w:eastAsia="Arial" w:hAnsi="Arial" w:cs="Arial"/>
          <w:color w:val="000000"/>
          <w:sz w:val="20"/>
        </w:rPr>
        <w:t xml:space="preserve">The second sentence of the section reinforces this conclusion. It says that "[t]he enforcement mechanisms provided for and available under such title VII, title IX, section 504, or such Age Discrimination Act shall apply for purposes of violations of this subsection." 42 U.S.C. § 18116(a). "Enforcement" refers to compelling adherence to the duty in each law. 5 </w:t>
      </w:r>
      <w:r>
        <w:rPr>
          <w:rFonts w:ascii="Arial" w:eastAsia="Arial" w:hAnsi="Arial" w:cs="Arial"/>
          <w:i/>
          <w:color w:val="000000"/>
          <w:sz w:val="20"/>
        </w:rPr>
        <w:t>Oxford English Dictionary</w:t>
      </w:r>
      <w:r>
        <w:rPr>
          <w:rFonts w:ascii="Arial" w:eastAsia="Arial" w:hAnsi="Arial" w:cs="Arial"/>
          <w:color w:val="000000"/>
          <w:sz w:val="20"/>
        </w:rPr>
        <w:t xml:space="preserve">, </w:t>
      </w:r>
      <w:r>
        <w:rPr>
          <w:rFonts w:ascii="Arial" w:eastAsia="Arial" w:hAnsi="Arial" w:cs="Arial"/>
          <w:i/>
          <w:color w:val="000000"/>
          <w:sz w:val="20"/>
        </w:rPr>
        <w:t>supra</w:t>
      </w:r>
      <w:r>
        <w:rPr>
          <w:rFonts w:ascii="Arial" w:eastAsia="Arial" w:hAnsi="Arial" w:cs="Arial"/>
          <w:color w:val="000000"/>
          <w:sz w:val="20"/>
        </w:rPr>
        <w:t xml:space="preserve">, at 245. And a "mechanism" is the means of producing each end. 9 </w:t>
      </w:r>
      <w:r>
        <w:rPr>
          <w:rFonts w:ascii="Arial" w:eastAsia="Arial" w:hAnsi="Arial" w:cs="Arial"/>
          <w:i/>
          <w:color w:val="000000"/>
          <w:sz w:val="20"/>
        </w:rPr>
        <w:t>id.</w:t>
      </w:r>
      <w:r>
        <w:rPr>
          <w:rFonts w:ascii="Arial" w:eastAsia="Arial" w:hAnsi="Arial" w:cs="Arial"/>
          <w:color w:val="000000"/>
          <w:sz w:val="20"/>
        </w:rPr>
        <w:t xml:space="preserve"> at 536. The phrase "enforcement mechanism" thus covers the distinct methods available under the four listed statutes for compelling compliance with the substantive requirements of each statute. If the first sentence created a brand-new single standard for what qualifies as discrimination, why would Congress use four distinct families of enforcement mechanisms to compel compliance with that standard rather than creating a matching single mechanism? We can think of no answer. Here, as is so often the case, Occam's Razor provides a handy guide.</w:t>
      </w:r>
    </w:p>
    <w:p w:rsidR="00E456CD" w:rsidRDefault="00000000">
      <w:pPr>
        <w:pStyle w:val="Normal5"/>
        <w:widowControl w:val="0"/>
        <w:spacing w:before="200" w:line="260" w:lineRule="atLeast"/>
        <w:jc w:val="both"/>
      </w:pPr>
      <w:bookmarkStart w:id="1223" w:name="Bookmark_para_13_3"/>
      <w:bookmarkEnd w:id="1223"/>
      <w:r>
        <w:rPr>
          <w:rFonts w:ascii="Arial" w:eastAsia="Arial" w:hAnsi="Arial" w:cs="Arial"/>
          <w:color w:val="000000"/>
          <w:sz w:val="20"/>
        </w:rPr>
        <w:t>Pulling all of this together,</w:t>
      </w:r>
      <w:bookmarkStart w:id="1224" w:name="Bookmark_LNHNREFclscc5_2"/>
      <w:bookmarkEnd w:id="1224"/>
      <w:r>
        <w:rPr>
          <w:rFonts w:ascii="Arial" w:eastAsia="Arial" w:hAnsi="Arial" w:cs="Arial"/>
          <w:color w:val="000000"/>
          <w:sz w:val="20"/>
        </w:rPr>
        <w:t xml:space="preserve"> the statute prohibits discrimination [**7]  against the disabled in the provision of federally supported health programs under § 504 of the Rehabilitation Act. In doing  [***5]  so, the Affordable Care Act picks up the standard of care for showing a violation of </w:t>
      </w:r>
      <w:r>
        <w:rPr>
          <w:rFonts w:ascii="Arial" w:eastAsia="Arial" w:hAnsi="Arial" w:cs="Arial"/>
          <w:i/>
          <w:color w:val="000000"/>
          <w:sz w:val="20"/>
        </w:rPr>
        <w:t>§ 504</w:t>
      </w:r>
      <w:r>
        <w:rPr>
          <w:rFonts w:ascii="Arial" w:eastAsia="Arial" w:hAnsi="Arial" w:cs="Arial"/>
          <w:color w:val="000000"/>
          <w:sz w:val="20"/>
        </w:rPr>
        <w:t>, not the other laws incorporated by the statute or for that matter any other statute.</w:t>
      </w:r>
    </w:p>
    <w:p w:rsidR="00E456CD" w:rsidRDefault="00000000">
      <w:pPr>
        <w:pStyle w:val="Normal5"/>
        <w:widowControl w:val="0"/>
        <w:spacing w:before="200" w:line="260" w:lineRule="atLeast"/>
        <w:jc w:val="both"/>
      </w:pPr>
      <w:bookmarkStart w:id="1225" w:name="Bookmark_para_14_3"/>
      <w:bookmarkStart w:id="1226" w:name="Bookmark_I5W99YP22N1RCJ0010000400"/>
      <w:bookmarkEnd w:id="1225"/>
      <w:bookmarkEnd w:id="1226"/>
      <w:r>
        <w:rPr>
          <w:rFonts w:ascii="Arial" w:eastAsia="Arial" w:hAnsi="Arial" w:cs="Arial"/>
          <w:color w:val="000000"/>
          <w:sz w:val="20"/>
        </w:rPr>
        <w:t xml:space="preserve">This approach also makes short work of the second statutory question: May Doe enforce the law through a private right of action? Yes. Because the Rehabilitation Act contains a private right of action, </w:t>
      </w:r>
      <w:r>
        <w:rPr>
          <w:rFonts w:ascii="Arial" w:eastAsia="Arial" w:hAnsi="Arial" w:cs="Arial"/>
          <w:i/>
          <w:color w:val="000000"/>
          <w:sz w:val="20"/>
        </w:rPr>
        <w:t xml:space="preserve">see </w:t>
      </w:r>
      <w:bookmarkStart w:id="1227" w:name="Bookmark_I5W99YP22HM6F00050000400"/>
      <w:bookmarkEnd w:id="1227"/>
      <w:r>
        <w:rPr>
          <w:rFonts w:ascii="Arial" w:eastAsia="Arial" w:hAnsi="Arial" w:cs="Arial"/>
          <w:i/>
          <w:color w:val="000000"/>
          <w:sz w:val="20"/>
        </w:rPr>
        <w:t>Barnes v. Gorman</w:t>
      </w:r>
      <w:r>
        <w:rPr>
          <w:rFonts w:ascii="Arial" w:eastAsia="Arial" w:hAnsi="Arial" w:cs="Arial"/>
          <w:color w:val="000000"/>
          <w:sz w:val="20"/>
        </w:rPr>
        <w:t>, 536 U.S. 181, 185, 122 S. Ct. 2097, 153 L. Ed. 2d 230 (2002), the enforcement mechanism sentence permits Doe to bring this lawsuit to enforce that prohibition under the Affordable Care Act as well.</w:t>
      </w:r>
    </w:p>
    <w:p w:rsidR="00E456CD" w:rsidRDefault="00000000">
      <w:pPr>
        <w:pStyle w:val="Normal5"/>
        <w:widowControl w:val="0"/>
        <w:spacing w:before="200" w:line="260" w:lineRule="atLeast"/>
        <w:jc w:val="both"/>
      </w:pPr>
      <w:bookmarkStart w:id="1228" w:name="Bookmark_para_15_3"/>
      <w:bookmarkEnd w:id="1228"/>
      <w:r>
        <w:rPr>
          <w:rFonts w:ascii="Arial" w:eastAsia="Arial" w:hAnsi="Arial" w:cs="Arial"/>
          <w:color w:val="000000"/>
          <w:sz w:val="20"/>
        </w:rPr>
        <w:t>Doe accepts some of this analysis. He agrees that the Act gives him a private cause of action to sue for disability discrimination for the reasons just given. But he thinks the enforcement mechanism sentence allows him to use any of the four substantive legal standards for proving discrimination and apply it to any of the four classifications.</w:t>
      </w:r>
    </w:p>
    <w:p w:rsidR="00E456CD" w:rsidRDefault="00000000">
      <w:pPr>
        <w:pStyle w:val="Normal5"/>
        <w:widowControl w:val="0"/>
        <w:spacing w:before="200" w:line="260" w:lineRule="atLeast"/>
        <w:jc w:val="both"/>
      </w:pPr>
      <w:bookmarkStart w:id="1229" w:name="Bookmark_para_16_3"/>
      <w:bookmarkStart w:id="1230" w:name="Bookmark_I5W99YP22N1RCJ0030000400"/>
      <w:bookmarkEnd w:id="1229"/>
      <w:bookmarkEnd w:id="1230"/>
      <w:r>
        <w:rPr>
          <w:rFonts w:ascii="Arial" w:eastAsia="Arial" w:hAnsi="Arial" w:cs="Arial"/>
          <w:color w:val="000000"/>
          <w:sz w:val="20"/>
        </w:rPr>
        <w:t>Picking your own adventure, however, is not what that sentence says.</w:t>
      </w:r>
      <w:bookmarkStart w:id="1231" w:name="Bookmark_LNHNREFclscc6_2"/>
      <w:bookmarkEnd w:id="1231"/>
      <w:r>
        <w:rPr>
          <w:rFonts w:ascii="Arial" w:eastAsia="Arial" w:hAnsi="Arial" w:cs="Arial"/>
          <w:color w:val="000000"/>
          <w:sz w:val="20"/>
        </w:rPr>
        <w:t xml:space="preserve"> The phrase "enforcement mechanism" refers to the process for compelling compliance with a substantive right, not the substantive right itself. As we have [**8]  said before, in interpreting § 504 of the Rehabilitation Act no less, "[e]nforcement provisions generally do not alter substantive standards of care." </w:t>
      </w:r>
      <w:bookmarkStart w:id="1232" w:name="Bookmark_I5W99YP22N1RCJ0020000400"/>
      <w:bookmarkEnd w:id="1232"/>
      <w:r>
        <w:rPr>
          <w:rFonts w:ascii="Arial" w:eastAsia="Arial" w:hAnsi="Arial" w:cs="Arial"/>
          <w:i/>
          <w:color w:val="000000"/>
          <w:sz w:val="20"/>
        </w:rPr>
        <w:t>Lewis</w:t>
      </w:r>
      <w:r>
        <w:rPr>
          <w:rFonts w:ascii="Arial" w:eastAsia="Arial" w:hAnsi="Arial" w:cs="Arial"/>
          <w:color w:val="000000"/>
          <w:sz w:val="20"/>
        </w:rPr>
        <w:t xml:space="preserve">, 681 F.3d at 316. Had Congress wished to make all of the enforcement mechanisms available for any classification, it would have said "[t]he enforcement mechanisms provided for and available under title VII, title IX, section 504, </w:t>
      </w:r>
      <w:r>
        <w:rPr>
          <w:rFonts w:ascii="Arial" w:eastAsia="Arial" w:hAnsi="Arial" w:cs="Arial"/>
          <w:i/>
          <w:color w:val="000000"/>
          <w:sz w:val="20"/>
        </w:rPr>
        <w:t>and</w:t>
      </w:r>
      <w:r>
        <w:rPr>
          <w:rFonts w:ascii="Arial" w:eastAsia="Arial" w:hAnsi="Arial" w:cs="Arial"/>
          <w:color w:val="000000"/>
          <w:sz w:val="20"/>
        </w:rPr>
        <w:t xml:space="preserve"> such Age Discrimination Act shall apply"—instead of the </w:t>
      </w:r>
      <w:r>
        <w:rPr>
          <w:rFonts w:ascii="Arial" w:eastAsia="Arial" w:hAnsi="Arial" w:cs="Arial"/>
          <w:i/>
          <w:color w:val="000000"/>
          <w:sz w:val="20"/>
        </w:rPr>
        <w:t>or</w:t>
      </w:r>
      <w:r>
        <w:rPr>
          <w:rFonts w:ascii="Arial" w:eastAsia="Arial" w:hAnsi="Arial" w:cs="Arial"/>
          <w:color w:val="000000"/>
          <w:sz w:val="20"/>
        </w:rPr>
        <w:t xml:space="preserve"> it opted to use.</w:t>
      </w:r>
    </w:p>
    <w:p w:rsidR="00E456CD" w:rsidRDefault="00000000">
      <w:pPr>
        <w:pStyle w:val="Normal5"/>
        <w:widowControl w:val="0"/>
        <w:spacing w:before="200" w:line="260" w:lineRule="atLeast"/>
        <w:jc w:val="both"/>
      </w:pPr>
      <w:bookmarkStart w:id="1233" w:name="Bookmark_para_17_2"/>
      <w:bookmarkStart w:id="1234" w:name="Bookmark_I5W99YP22N1RCJ0050000400"/>
      <w:bookmarkEnd w:id="1233"/>
      <w:bookmarkEnd w:id="1234"/>
      <w:r>
        <w:rPr>
          <w:rFonts w:ascii="Arial" w:eastAsia="Arial" w:hAnsi="Arial" w:cs="Arial"/>
          <w:color w:val="000000"/>
          <w:sz w:val="20"/>
        </w:rPr>
        <w:t xml:space="preserve">Context does Doe's argument no favors either. </w:t>
      </w:r>
      <w:bookmarkStart w:id="1235" w:name="Bookmark_I5W99YP22SF8B20010000400"/>
      <w:bookmarkEnd w:id="1235"/>
      <w:r>
        <w:rPr>
          <w:rFonts w:ascii="Arial" w:eastAsia="Arial" w:hAnsi="Arial" w:cs="Arial"/>
          <w:color w:val="000000"/>
          <w:sz w:val="20"/>
        </w:rPr>
        <w:t xml:space="preserve">Each antidiscrimination statute has its own highly reticulated set of enforcement rules adapted for the type of discrimination that each law targets. For example, Title VII, Title IX, and § 504 do not require the exhaustion of administrative remedies before bringing a private cause  [*240]  of action, while the Age Discrimination Act does. </w:t>
      </w:r>
      <w:r>
        <w:rPr>
          <w:rFonts w:ascii="Arial" w:eastAsia="Arial" w:hAnsi="Arial" w:cs="Arial"/>
          <w:i/>
          <w:color w:val="000000"/>
          <w:sz w:val="20"/>
        </w:rPr>
        <w:t>See</w:t>
      </w:r>
      <w:r>
        <w:rPr>
          <w:rFonts w:ascii="Arial" w:eastAsia="Arial" w:hAnsi="Arial" w:cs="Arial"/>
          <w:color w:val="000000"/>
          <w:sz w:val="20"/>
        </w:rPr>
        <w:t xml:space="preserve"> 42 U.S.C. § 6104(e)(2), (f) (Age Discrimination Act); </w:t>
      </w:r>
      <w:bookmarkStart w:id="1236" w:name="Bookmark_I5W99YP22N1RCJ0040000400"/>
      <w:bookmarkEnd w:id="1236"/>
      <w:r>
        <w:rPr>
          <w:rFonts w:ascii="Arial" w:eastAsia="Arial" w:hAnsi="Arial" w:cs="Arial"/>
          <w:i/>
          <w:color w:val="000000"/>
          <w:sz w:val="20"/>
        </w:rPr>
        <w:t>Cannon v. Univ. of Chi.</w:t>
      </w:r>
      <w:r>
        <w:rPr>
          <w:rFonts w:ascii="Arial" w:eastAsia="Arial" w:hAnsi="Arial" w:cs="Arial"/>
          <w:color w:val="000000"/>
          <w:sz w:val="20"/>
        </w:rPr>
        <w:t xml:space="preserve">, 441 U.S. 677, 706 n.41, 99 S. Ct. 1946, 60 L. Ed. 2d 560 (1979) (Title IX); </w:t>
      </w:r>
      <w:bookmarkStart w:id="1237" w:name="Bookmark_I5W99YP22N1RCK0010000400"/>
      <w:bookmarkEnd w:id="1237"/>
      <w:r>
        <w:rPr>
          <w:rFonts w:ascii="Arial" w:eastAsia="Arial" w:hAnsi="Arial" w:cs="Arial"/>
          <w:i/>
          <w:color w:val="000000"/>
          <w:sz w:val="20"/>
        </w:rPr>
        <w:t>Tuck v. HCA Health Servs. of Tenn., Inc.</w:t>
      </w:r>
      <w:r>
        <w:rPr>
          <w:rFonts w:ascii="Arial" w:eastAsia="Arial" w:hAnsi="Arial" w:cs="Arial"/>
          <w:color w:val="000000"/>
          <w:sz w:val="20"/>
        </w:rPr>
        <w:t xml:space="preserve">, 7 F.3d 465, 470-71 (6th Cir. 1993) (§ 504); </w:t>
      </w:r>
      <w:bookmarkStart w:id="1238" w:name="Bookmark_I5W99YP22N1RCK0030000400"/>
      <w:bookmarkEnd w:id="1238"/>
      <w:r>
        <w:rPr>
          <w:rFonts w:ascii="Arial" w:eastAsia="Arial" w:hAnsi="Arial" w:cs="Arial"/>
          <w:i/>
          <w:color w:val="000000"/>
          <w:sz w:val="20"/>
        </w:rPr>
        <w:t>Neighborhood Action Coal. v. City of Canton</w:t>
      </w:r>
      <w:r>
        <w:rPr>
          <w:rFonts w:ascii="Arial" w:eastAsia="Arial" w:hAnsi="Arial" w:cs="Arial"/>
          <w:color w:val="000000"/>
          <w:sz w:val="20"/>
        </w:rPr>
        <w:t xml:space="preserve">, 882 F.2d 1012, 1015 (6th Cir. 1989) (Title VII). </w:t>
      </w:r>
      <w:bookmarkStart w:id="1239" w:name="Bookmark_I5W99YP22SF8B20010000400_2"/>
      <w:bookmarkEnd w:id="1239"/>
      <w:r>
        <w:rPr>
          <w:rFonts w:ascii="Arial" w:eastAsia="Arial" w:hAnsi="Arial" w:cs="Arial"/>
          <w:color w:val="000000"/>
          <w:sz w:val="20"/>
        </w:rPr>
        <w:t xml:space="preserve">And while Title VII, Title IX, and § 504 allow the recovery of compensatory damages, the Age Discrimination Act does not. </w:t>
      </w:r>
      <w:r>
        <w:rPr>
          <w:rFonts w:ascii="Arial" w:eastAsia="Arial" w:hAnsi="Arial" w:cs="Arial"/>
          <w:i/>
          <w:color w:val="000000"/>
          <w:sz w:val="20"/>
        </w:rPr>
        <w:t>See</w:t>
      </w:r>
      <w:r>
        <w:rPr>
          <w:rFonts w:ascii="Arial" w:eastAsia="Arial" w:hAnsi="Arial" w:cs="Arial"/>
          <w:color w:val="000000"/>
          <w:sz w:val="20"/>
        </w:rPr>
        <w:t xml:space="preserve"> 42 U.S.C. § 6104(e)  [***6]  (Age Discrimination Act); </w:t>
      </w:r>
      <w:bookmarkStart w:id="1240" w:name="Bookmark_I5W99YP22N1RCK0050000400"/>
      <w:bookmarkEnd w:id="1240"/>
      <w:r>
        <w:rPr>
          <w:rFonts w:ascii="Arial" w:eastAsia="Arial" w:hAnsi="Arial" w:cs="Arial"/>
          <w:i/>
          <w:color w:val="000000"/>
          <w:sz w:val="20"/>
        </w:rPr>
        <w:t>Barnes</w:t>
      </w:r>
      <w:r>
        <w:rPr>
          <w:rFonts w:ascii="Arial" w:eastAsia="Arial" w:hAnsi="Arial" w:cs="Arial"/>
          <w:color w:val="000000"/>
          <w:sz w:val="20"/>
        </w:rPr>
        <w:t>, 536 U.S. at 185-89 (Title VII, Title IX, and § 504). Allowing plaintiffs to treat all of this as a use-what-you-wish buffet would make a hash of the underlying enforcement schemes.</w:t>
      </w:r>
    </w:p>
    <w:p w:rsidR="00E456CD" w:rsidRDefault="00000000">
      <w:pPr>
        <w:pStyle w:val="Normal5"/>
        <w:widowControl w:val="0"/>
        <w:spacing w:before="200" w:line="260" w:lineRule="atLeast"/>
        <w:jc w:val="both"/>
      </w:pPr>
      <w:bookmarkStart w:id="1241" w:name="Bookmark_para_18_2"/>
      <w:bookmarkStart w:id="1242" w:name="Bookmark_I5W99YP22SF8B20030000400"/>
      <w:bookmarkEnd w:id="1241"/>
      <w:bookmarkEnd w:id="1242"/>
      <w:r>
        <w:rPr>
          <w:rFonts w:ascii="Arial" w:eastAsia="Arial" w:hAnsi="Arial" w:cs="Arial"/>
          <w:color w:val="000000"/>
          <w:sz w:val="20"/>
        </w:rPr>
        <w:t xml:space="preserve">Despite each of the problems with [**9]  his interpretation, Doe thinks he has an ace in the hole: a helpful agency interpretation. Yes, the Department of Health and Human Services' Office for Civil Rights supports his view. During the notice-and-comment process for promulgating the § 1557 regulations, commenters asked the agency to clarify whether the enforcement mechanisms of each statute, including disparate-impact discrimination as a basis for liability, are available to any plaintiff regardless of the nature of the discrimination at issue. The agency responded that it "interprets Section 1557 as authorizing a private right of action for claims of disparate impact discrimination on the basis of any of the criteria enumerated in the legislation." </w:t>
      </w:r>
      <w:bookmarkStart w:id="1243" w:name="Bookmark_I5W99YP22SF8B20020000400"/>
      <w:bookmarkEnd w:id="1243"/>
      <w:r>
        <w:rPr>
          <w:rFonts w:ascii="Arial" w:eastAsia="Arial" w:hAnsi="Arial" w:cs="Arial"/>
          <w:color w:val="000000"/>
          <w:sz w:val="20"/>
        </w:rPr>
        <w:t>Nondiscrimination in Health Programs and Activities, 81 Fed. Reg. 31,376, 31,439-40 (May 18, 2016).</w:t>
      </w:r>
    </w:p>
    <w:p w:rsidR="00E456CD" w:rsidRDefault="00000000">
      <w:pPr>
        <w:pStyle w:val="Normal5"/>
        <w:widowControl w:val="0"/>
        <w:spacing w:before="200" w:line="260" w:lineRule="atLeast"/>
        <w:jc w:val="both"/>
      </w:pPr>
      <w:bookmarkStart w:id="1244" w:name="Bookmark_para_19_2"/>
      <w:bookmarkStart w:id="1245" w:name="Bookmark_I5W99YP22SF8B20050000400"/>
      <w:bookmarkEnd w:id="1244"/>
      <w:bookmarkEnd w:id="1245"/>
      <w:r>
        <w:rPr>
          <w:rFonts w:ascii="Arial" w:eastAsia="Arial" w:hAnsi="Arial" w:cs="Arial"/>
          <w:color w:val="000000"/>
          <w:sz w:val="20"/>
        </w:rPr>
        <w:t xml:space="preserve">But this interpretive guidance does not do everything Doe thinks it does. </w:t>
      </w:r>
      <w:bookmarkStart w:id="1246" w:name="Bookmark_LNHNREFclscc7_2"/>
      <w:bookmarkEnd w:id="1246"/>
      <w:r>
        <w:rPr>
          <w:rFonts w:ascii="Arial" w:eastAsia="Arial" w:hAnsi="Arial" w:cs="Arial"/>
          <w:color w:val="000000"/>
          <w:sz w:val="20"/>
        </w:rPr>
        <w:t xml:space="preserve">While agencies may have authority to interpret statutes, they do not have authority to rewrite them. "If the intent of Congress is clear, that is the end of the matter." </w:t>
      </w:r>
      <w:bookmarkStart w:id="1247" w:name="Bookmark_I5W99YP22SF8B20040000400"/>
      <w:bookmarkEnd w:id="1247"/>
      <w:r>
        <w:rPr>
          <w:rFonts w:ascii="Arial" w:eastAsia="Arial" w:hAnsi="Arial" w:cs="Arial"/>
          <w:i/>
          <w:color w:val="000000"/>
          <w:sz w:val="20"/>
        </w:rPr>
        <w:t>Chevron U.S.A., Inc. v. Nat. Res. Def. Council, Inc.</w:t>
      </w:r>
      <w:r>
        <w:rPr>
          <w:rFonts w:ascii="Arial" w:eastAsia="Arial" w:hAnsi="Arial" w:cs="Arial"/>
          <w:color w:val="000000"/>
          <w:sz w:val="20"/>
        </w:rPr>
        <w:t>, 467 U.S. 837, 842, 104 S. Ct. 2778, 81 L. Ed. 2d 694 (1984). In § 1557, as just shown, Congress made plain that it prohibited discrimination in the provision of health care by incorporating and enforcing the substantive standards of liability of the four named statutes, not changing them. There is just one permissible [**10]  interpretation of this language, and the agency failed to respect it. Its contrary agency interpretation counts for naught.</w:t>
      </w:r>
    </w:p>
    <w:p w:rsidR="00E456CD" w:rsidRDefault="00000000">
      <w:pPr>
        <w:pStyle w:val="Normal5"/>
        <w:widowControl w:val="0"/>
        <w:spacing w:before="200" w:line="260" w:lineRule="atLeast"/>
        <w:jc w:val="both"/>
      </w:pPr>
      <w:bookmarkStart w:id="1248" w:name="Bookmark_para_20_2"/>
      <w:bookmarkEnd w:id="1248"/>
      <w:r>
        <w:rPr>
          <w:rFonts w:ascii="Arial" w:eastAsia="Arial" w:hAnsi="Arial" w:cs="Arial"/>
          <w:color w:val="000000"/>
          <w:sz w:val="20"/>
        </w:rPr>
        <w:t xml:space="preserve">One last point deserves mention. It's not clear that Doe's interpretation of the statute would help him anyway. He thinks that some of the antidiscrimination statutes prohibit disparate-impact discrimination, and that § 1557 leaves him free to pick that standard of liability and apply it to his disability-discrimination claim. </w:t>
      </w:r>
      <w:bookmarkStart w:id="1249" w:name="Bookmark_I5W99YP22SF8B30020000400"/>
      <w:bookmarkEnd w:id="1249"/>
      <w:r>
        <w:rPr>
          <w:rFonts w:ascii="Arial" w:eastAsia="Arial" w:hAnsi="Arial" w:cs="Arial"/>
          <w:color w:val="000000"/>
          <w:sz w:val="20"/>
        </w:rPr>
        <w:t xml:space="preserve">But Doe, like the agency, may have a misunderstanding about how each statute works. Title VII, for example, doesn't prohibit disparate-impact discrimination. </w:t>
      </w:r>
      <w:bookmarkStart w:id="1250" w:name="Bookmark_I5W99YP22SF8B30040000400"/>
      <w:bookmarkEnd w:id="1250"/>
      <w:r>
        <w:rPr>
          <w:rFonts w:ascii="Arial" w:eastAsia="Arial" w:hAnsi="Arial" w:cs="Arial"/>
          <w:i/>
          <w:color w:val="000000"/>
          <w:sz w:val="20"/>
        </w:rPr>
        <w:t xml:space="preserve">See </w:t>
      </w:r>
      <w:bookmarkStart w:id="1251" w:name="Bookmark_I5W99YP22SF8B30010000400"/>
      <w:bookmarkEnd w:id="1251"/>
      <w:r>
        <w:rPr>
          <w:rFonts w:ascii="Arial" w:eastAsia="Arial" w:hAnsi="Arial" w:cs="Arial"/>
          <w:i/>
          <w:color w:val="000000"/>
          <w:sz w:val="20"/>
        </w:rPr>
        <w:t>Alexander v. Sandoval</w:t>
      </w:r>
      <w:r>
        <w:rPr>
          <w:rFonts w:ascii="Arial" w:eastAsia="Arial" w:hAnsi="Arial" w:cs="Arial"/>
          <w:color w:val="000000"/>
          <w:sz w:val="20"/>
        </w:rPr>
        <w:t xml:space="preserve">, 532 U.S. 275, 280, 121 S. Ct. 1511, 149 L. Ed. 2d 517 (2001). </w:t>
      </w:r>
      <w:bookmarkStart w:id="1252" w:name="Bookmark_I5W99YP22SF8B30040000400_2"/>
      <w:bookmarkStart w:id="1253" w:name="Bookmark_I5W99YP228T3YW0050000400"/>
      <w:bookmarkEnd w:id="1252"/>
      <w:bookmarkEnd w:id="1253"/>
      <w:r>
        <w:rPr>
          <w:rFonts w:ascii="Arial" w:eastAsia="Arial" w:hAnsi="Arial" w:cs="Arial"/>
          <w:color w:val="000000"/>
          <w:sz w:val="20"/>
        </w:rPr>
        <w:t xml:space="preserve">It's unlikely that Title IX, which was patterned on Title VII, does so either. </w:t>
      </w:r>
      <w:r>
        <w:rPr>
          <w:rFonts w:ascii="Arial" w:eastAsia="Arial" w:hAnsi="Arial" w:cs="Arial"/>
          <w:i/>
          <w:color w:val="000000"/>
          <w:sz w:val="20"/>
        </w:rPr>
        <w:t xml:space="preserve">See </w:t>
      </w:r>
      <w:bookmarkStart w:id="1254" w:name="Bookmark_I5W99YP22SF8B30030000400"/>
      <w:bookmarkEnd w:id="1254"/>
      <w:r>
        <w:rPr>
          <w:rFonts w:ascii="Arial" w:eastAsia="Arial" w:hAnsi="Arial" w:cs="Arial"/>
          <w:i/>
          <w:color w:val="000000"/>
          <w:sz w:val="20"/>
        </w:rPr>
        <w:t>Jackson v. Birmingham Bd. of Educ.</w:t>
      </w:r>
      <w:r>
        <w:rPr>
          <w:rFonts w:ascii="Arial" w:eastAsia="Arial" w:hAnsi="Arial" w:cs="Arial"/>
          <w:color w:val="000000"/>
          <w:sz w:val="20"/>
        </w:rPr>
        <w:t xml:space="preserve">, 544 U.S. 167, 173, 125 S. Ct. 1497, 161 L. Ed. 2d 361 (2005) ("Title IX implies a private right of action to  [***7]  enforce its prohibition on intentional sex discrimination."); </w:t>
      </w:r>
      <w:bookmarkStart w:id="1255" w:name="Bookmark_I5W99YP22SF8B30050000400"/>
      <w:bookmarkEnd w:id="1255"/>
      <w:r>
        <w:rPr>
          <w:rFonts w:ascii="Arial" w:eastAsia="Arial" w:hAnsi="Arial" w:cs="Arial"/>
          <w:i/>
          <w:color w:val="000000"/>
          <w:sz w:val="20"/>
        </w:rPr>
        <w:t>Sandoval</w:t>
      </w:r>
      <w:r>
        <w:rPr>
          <w:rFonts w:ascii="Arial" w:eastAsia="Arial" w:hAnsi="Arial" w:cs="Arial"/>
          <w:color w:val="000000"/>
          <w:sz w:val="20"/>
        </w:rPr>
        <w:t xml:space="preserve">, 532 U.S. at 280; </w:t>
      </w:r>
      <w:bookmarkStart w:id="1256" w:name="Bookmark_I5W99YP228T3YW0020000400"/>
      <w:bookmarkEnd w:id="1256"/>
      <w:r>
        <w:rPr>
          <w:rFonts w:ascii="Arial" w:eastAsia="Arial" w:hAnsi="Arial" w:cs="Arial"/>
          <w:i/>
          <w:color w:val="000000"/>
          <w:sz w:val="20"/>
        </w:rPr>
        <w:t>Cannon</w:t>
      </w:r>
      <w:r>
        <w:rPr>
          <w:rFonts w:ascii="Arial" w:eastAsia="Arial" w:hAnsi="Arial" w:cs="Arial"/>
          <w:color w:val="000000"/>
          <w:sz w:val="20"/>
        </w:rPr>
        <w:t xml:space="preserve">, 441 U.S. at 695-96. </w:t>
      </w:r>
      <w:bookmarkStart w:id="1257" w:name="Bookmark_I5W99YP228T3YW0050000400_2"/>
      <w:bookmarkStart w:id="1258" w:name="Bookmark_I5W99YP228T3YX0040000400"/>
      <w:bookmarkEnd w:id="1257"/>
      <w:bookmarkEnd w:id="1258"/>
      <w:r>
        <w:rPr>
          <w:rFonts w:ascii="Arial" w:eastAsia="Arial" w:hAnsi="Arial" w:cs="Arial"/>
          <w:color w:val="000000"/>
          <w:sz w:val="20"/>
        </w:rPr>
        <w:t xml:space="preserve">And contrary to the agency's understanding, </w:t>
      </w:r>
      <w:r>
        <w:rPr>
          <w:rFonts w:ascii="Arial" w:eastAsia="Arial" w:hAnsi="Arial" w:cs="Arial"/>
          <w:i/>
          <w:color w:val="000000"/>
          <w:sz w:val="20"/>
        </w:rPr>
        <w:t>see</w:t>
      </w:r>
      <w:r>
        <w:rPr>
          <w:rFonts w:ascii="Arial" w:eastAsia="Arial" w:hAnsi="Arial" w:cs="Arial"/>
          <w:color w:val="000000"/>
          <w:sz w:val="20"/>
        </w:rPr>
        <w:t xml:space="preserve"> </w:t>
      </w:r>
      <w:bookmarkStart w:id="1259" w:name="Bookmark_I5W99YP228T3YW0040000400"/>
      <w:bookmarkEnd w:id="1259"/>
      <w:r>
        <w:rPr>
          <w:rFonts w:ascii="Arial" w:eastAsia="Arial" w:hAnsi="Arial" w:cs="Arial"/>
          <w:color w:val="000000"/>
          <w:sz w:val="20"/>
        </w:rPr>
        <w:t xml:space="preserve">81 Fed. Reg. at 31,439, there is no reason to think the Age Discrimination Act of 1975 picks up this standard of liability, </w:t>
      </w:r>
      <w:r>
        <w:rPr>
          <w:rFonts w:ascii="Arial" w:eastAsia="Arial" w:hAnsi="Arial" w:cs="Arial"/>
          <w:i/>
          <w:color w:val="000000"/>
          <w:sz w:val="20"/>
        </w:rPr>
        <w:t xml:space="preserve">see </w:t>
      </w:r>
      <w:bookmarkStart w:id="1260" w:name="Bookmark_I5W99YP228T3YX0010000400"/>
      <w:bookmarkEnd w:id="1260"/>
      <w:r>
        <w:rPr>
          <w:rFonts w:ascii="Arial" w:eastAsia="Arial" w:hAnsi="Arial" w:cs="Arial"/>
          <w:i/>
          <w:color w:val="000000"/>
          <w:sz w:val="20"/>
        </w:rPr>
        <w:t>Kamps v. Baylor Univ.</w:t>
      </w:r>
      <w:r>
        <w:rPr>
          <w:rFonts w:ascii="Arial" w:eastAsia="Arial" w:hAnsi="Arial" w:cs="Arial"/>
          <w:color w:val="000000"/>
          <w:sz w:val="20"/>
        </w:rPr>
        <w:t xml:space="preserve">, 592 F. App'x 282, 285-86 (5th Cir. 2014). </w:t>
      </w:r>
      <w:bookmarkStart w:id="1261" w:name="Bookmark_I5W99YP228T3YX0040000400_2"/>
      <w:bookmarkEnd w:id="1261"/>
      <w:r>
        <w:rPr>
          <w:rFonts w:ascii="Arial" w:eastAsia="Arial" w:hAnsi="Arial" w:cs="Arial"/>
          <w:color w:val="000000"/>
          <w:sz w:val="20"/>
        </w:rPr>
        <w:t xml:space="preserve">The Age Discrimination in Employment Act of 1967, it is true, prohibits disparate-impact discrimination. </w:t>
      </w:r>
      <w:bookmarkStart w:id="1262" w:name="Bookmark_I5W99YP22D6N670010000400"/>
      <w:bookmarkEnd w:id="1262"/>
      <w:r>
        <w:rPr>
          <w:rFonts w:ascii="Arial" w:eastAsia="Arial" w:hAnsi="Arial" w:cs="Arial"/>
          <w:i/>
          <w:color w:val="000000"/>
          <w:sz w:val="20"/>
        </w:rPr>
        <w:t xml:space="preserve">See </w:t>
      </w:r>
      <w:bookmarkStart w:id="1263" w:name="Bookmark_I5W99YP228T3YX0030000400"/>
      <w:bookmarkEnd w:id="1263"/>
      <w:r>
        <w:rPr>
          <w:rFonts w:ascii="Arial" w:eastAsia="Arial" w:hAnsi="Arial" w:cs="Arial"/>
          <w:i/>
          <w:color w:val="000000"/>
          <w:sz w:val="20"/>
        </w:rPr>
        <w:t>Smith v. City of Jackson</w:t>
      </w:r>
      <w:r>
        <w:rPr>
          <w:rFonts w:ascii="Arial" w:eastAsia="Arial" w:hAnsi="Arial" w:cs="Arial"/>
          <w:color w:val="000000"/>
          <w:sz w:val="20"/>
        </w:rPr>
        <w:t xml:space="preserve">, 544 U.S. 228, 233-40, 125 S. Ct. 1536, 161 L. Ed. 2d 410  [*241]  (2005). </w:t>
      </w:r>
      <w:bookmarkStart w:id="1264" w:name="Bookmark_I5W99YP22D6N670010000400_2"/>
      <w:bookmarkEnd w:id="1264"/>
      <w:r>
        <w:rPr>
          <w:rFonts w:ascii="Arial" w:eastAsia="Arial" w:hAnsi="Arial" w:cs="Arial"/>
          <w:color w:val="000000"/>
          <w:sz w:val="20"/>
        </w:rPr>
        <w:t xml:space="preserve">But unlike that statute, the 1975 Age Act does not bar practices that "otherwise adversely affect" people because of their age, [**11]  making any analogy (or conflation) between the two laws dubious. </w:t>
      </w:r>
      <w:r>
        <w:rPr>
          <w:rFonts w:ascii="Arial" w:eastAsia="Arial" w:hAnsi="Arial" w:cs="Arial"/>
          <w:i/>
          <w:color w:val="000000"/>
          <w:sz w:val="20"/>
        </w:rPr>
        <w:t xml:space="preserve">See </w:t>
      </w:r>
      <w:bookmarkStart w:id="1265" w:name="Bookmark_I5W99YP228T3YX0050000400"/>
      <w:bookmarkEnd w:id="1265"/>
      <w:r>
        <w:rPr>
          <w:rFonts w:ascii="Arial" w:eastAsia="Arial" w:hAnsi="Arial" w:cs="Arial"/>
          <w:i/>
          <w:color w:val="000000"/>
          <w:sz w:val="20"/>
        </w:rPr>
        <w:t>Kamps</w:t>
      </w:r>
      <w:r>
        <w:rPr>
          <w:rFonts w:ascii="Arial" w:eastAsia="Arial" w:hAnsi="Arial" w:cs="Arial"/>
          <w:color w:val="000000"/>
          <w:sz w:val="20"/>
        </w:rPr>
        <w:t>, 592 F. App'x at 285-86. That leaves the legal standard of the Rehabilitation Act as Doe's best shot, which is exactly what he gets under our reading of the statute.</w:t>
      </w:r>
    </w:p>
    <w:p w:rsidR="00E456CD" w:rsidRDefault="00000000">
      <w:pPr>
        <w:pStyle w:val="Normal5"/>
        <w:widowControl w:val="0"/>
        <w:spacing w:before="200" w:line="260" w:lineRule="atLeast"/>
        <w:jc w:val="both"/>
      </w:pPr>
      <w:bookmarkStart w:id="1266" w:name="Bookmark_para_21_2"/>
      <w:bookmarkEnd w:id="1266"/>
      <w:r>
        <w:rPr>
          <w:rFonts w:ascii="Arial" w:eastAsia="Arial" w:hAnsi="Arial" w:cs="Arial"/>
          <w:i/>
          <w:color w:val="000000"/>
          <w:sz w:val="20"/>
        </w:rPr>
        <w:t>Application of the Rehabilitation Act</w:t>
      </w:r>
      <w:bookmarkStart w:id="1267" w:name="Bookmark_I5W99YP22D6N670030000400"/>
      <w:bookmarkEnd w:id="1267"/>
      <w:r>
        <w:rPr>
          <w:rFonts w:ascii="Arial" w:eastAsia="Arial" w:hAnsi="Arial" w:cs="Arial"/>
          <w:color w:val="000000"/>
          <w:sz w:val="20"/>
        </w:rPr>
        <w:t xml:space="preserve">. </w:t>
      </w:r>
      <w:bookmarkStart w:id="1268" w:name="Bookmark_LNHNREFclscc8_2"/>
      <w:bookmarkEnd w:id="1268"/>
      <w:r>
        <w:rPr>
          <w:rFonts w:ascii="Arial" w:eastAsia="Arial" w:hAnsi="Arial" w:cs="Arial"/>
          <w:color w:val="000000"/>
          <w:sz w:val="20"/>
        </w:rPr>
        <w:t xml:space="preserve">Section 504 of the Rehabilitation Act of 1973 provides that "[n]o otherwise qualified individual with a disability in the United States . . . shall, solely by reason of her or his disability, be excluded from the participation in, be denied the benefits of, or be subjected to discrimination under any program or activity receiving Federal financial assistance." 29 U.S.C. § 794(a). To state a claim under the Rehabilitation Act, as incorporated into the Affordable Care Act, Doe thus must allege that (1) he is an individual with a disability; (2) he is otherwise qualified for participation in a health program or activity; (3) he is being excluded from participation in, denied the benefits of, or subjected to discrimination under the program solely by reason of his disability; and (4) the program receives federal assistance. </w:t>
      </w:r>
      <w:r>
        <w:rPr>
          <w:rFonts w:ascii="Arial" w:eastAsia="Arial" w:hAnsi="Arial" w:cs="Arial"/>
          <w:i/>
          <w:color w:val="000000"/>
          <w:sz w:val="20"/>
        </w:rPr>
        <w:t xml:space="preserve">See </w:t>
      </w:r>
      <w:bookmarkStart w:id="1269" w:name="Bookmark_I5W99YP22D6N670020000400"/>
      <w:bookmarkEnd w:id="1269"/>
      <w:r>
        <w:rPr>
          <w:rFonts w:ascii="Arial" w:eastAsia="Arial" w:hAnsi="Arial" w:cs="Arial"/>
          <w:i/>
          <w:color w:val="000000"/>
          <w:sz w:val="20"/>
        </w:rPr>
        <w:t>Maddox v. Univ. of Tenn.</w:t>
      </w:r>
      <w:r>
        <w:rPr>
          <w:rFonts w:ascii="Arial" w:eastAsia="Arial" w:hAnsi="Arial" w:cs="Arial"/>
          <w:color w:val="000000"/>
          <w:sz w:val="20"/>
        </w:rPr>
        <w:t>, 62 F.3d 843, 846 (6th Cir. 1995).</w:t>
      </w:r>
    </w:p>
    <w:p w:rsidR="00E456CD" w:rsidRDefault="00000000">
      <w:pPr>
        <w:pStyle w:val="Normal5"/>
        <w:widowControl w:val="0"/>
        <w:spacing w:before="200" w:line="260" w:lineRule="atLeast"/>
        <w:jc w:val="both"/>
      </w:pPr>
      <w:bookmarkStart w:id="1270" w:name="Bookmark_para_22_2"/>
      <w:bookmarkEnd w:id="1270"/>
      <w:r>
        <w:rPr>
          <w:rFonts w:ascii="Arial" w:eastAsia="Arial" w:hAnsi="Arial" w:cs="Arial"/>
          <w:color w:val="000000"/>
          <w:sz w:val="20"/>
        </w:rPr>
        <w:t>We take a few things for granted—that Doe's HIV-positive status counts as a disability under the Act, that he is otherwise qualified for his benefits [**12]  plan, and that the plan receives federal funds. Even then, has Doe been excluded from participation in, denied the benefits of, or subjected to discrimination under his plan?</w:t>
      </w:r>
    </w:p>
    <w:p w:rsidR="00E456CD" w:rsidRDefault="00000000">
      <w:pPr>
        <w:pStyle w:val="Normal5"/>
        <w:widowControl w:val="0"/>
        <w:spacing w:before="200" w:line="260" w:lineRule="atLeast"/>
        <w:jc w:val="both"/>
      </w:pPr>
      <w:bookmarkStart w:id="1271" w:name="Bookmark_para_23_2"/>
      <w:bookmarkEnd w:id="1271"/>
      <w:r>
        <w:rPr>
          <w:rFonts w:ascii="Arial" w:eastAsia="Arial" w:hAnsi="Arial" w:cs="Arial"/>
          <w:color w:val="000000"/>
          <w:sz w:val="20"/>
        </w:rPr>
        <w:t>No, we must conclude. BlueCross did not exclude Doe from participating in the plan or deny him benefits covered by it, as he seems to concede. And contrary to his argument, the plan's specialty medications program did not discriminate against him based on disability.</w:t>
      </w:r>
    </w:p>
    <w:p w:rsidR="00E456CD" w:rsidRDefault="00000000">
      <w:pPr>
        <w:pStyle w:val="Normal5"/>
        <w:widowControl w:val="0"/>
        <w:spacing w:before="200" w:line="260" w:lineRule="atLeast"/>
        <w:jc w:val="both"/>
      </w:pPr>
      <w:bookmarkStart w:id="1272" w:name="Bookmark_para_24_1"/>
      <w:bookmarkEnd w:id="1272"/>
      <w:r>
        <w:rPr>
          <w:rFonts w:ascii="Arial" w:eastAsia="Arial" w:hAnsi="Arial" w:cs="Arial"/>
          <w:color w:val="000000"/>
          <w:sz w:val="20"/>
        </w:rPr>
        <w:t xml:space="preserve"> [***8]  Doe cannot show that BlueCross intentionally discriminated against him. The plan's specialty medications list is neutral on its face. Some of the included medicines are apt to be used by those with disabilities. But plenty of others are not, such as medicines used to treat high cholesterol, osteoporosis, or allergic rhinitis, sometimes called a runny nose. </w:t>
      </w:r>
      <w:r>
        <w:rPr>
          <w:rFonts w:ascii="Arial" w:eastAsia="Arial" w:hAnsi="Arial" w:cs="Arial"/>
          <w:i/>
          <w:color w:val="000000"/>
          <w:sz w:val="20"/>
        </w:rPr>
        <w:t>See</w:t>
      </w:r>
      <w:r>
        <w:rPr>
          <w:rFonts w:ascii="Arial" w:eastAsia="Arial" w:hAnsi="Arial" w:cs="Arial"/>
          <w:color w:val="000000"/>
          <w:sz w:val="20"/>
        </w:rPr>
        <w:t xml:space="preserve"> 29 U.S.C. § 705(20)(B); 42 U.S.C. § 12102(1) (defining a disability as an impairment that substantially limits one or more major life activities). </w:t>
      </w:r>
      <w:bookmarkStart w:id="1273" w:name="Bookmark_I5W99YP22D6N670050000400"/>
      <w:bookmarkEnd w:id="1273"/>
      <w:r>
        <w:rPr>
          <w:rFonts w:ascii="Arial" w:eastAsia="Arial" w:hAnsi="Arial" w:cs="Arial"/>
          <w:color w:val="000000"/>
          <w:sz w:val="20"/>
        </w:rPr>
        <w:t xml:space="preserve">The common trait linking the listed drugs is cost, not the disabled status of their users. Because the specialty medications program does not distinguish based on disability, much less "solely" so, it does not convey any discriminatory intent. </w:t>
      </w:r>
      <w:r>
        <w:rPr>
          <w:rFonts w:ascii="Arial" w:eastAsia="Arial" w:hAnsi="Arial" w:cs="Arial"/>
          <w:i/>
          <w:color w:val="000000"/>
          <w:sz w:val="20"/>
        </w:rPr>
        <w:t xml:space="preserve">See </w:t>
      </w:r>
      <w:bookmarkStart w:id="1274" w:name="Bookmark_I5W99YP22D6N670040000400"/>
      <w:bookmarkEnd w:id="1274"/>
      <w:r>
        <w:rPr>
          <w:rFonts w:ascii="Arial" w:eastAsia="Arial" w:hAnsi="Arial" w:cs="Arial"/>
          <w:i/>
          <w:color w:val="000000"/>
          <w:sz w:val="20"/>
        </w:rPr>
        <w:t>Jones v. City of Monroe</w:t>
      </w:r>
      <w:r>
        <w:rPr>
          <w:rFonts w:ascii="Arial" w:eastAsia="Arial" w:hAnsi="Arial" w:cs="Arial"/>
          <w:color w:val="000000"/>
          <w:sz w:val="20"/>
        </w:rPr>
        <w:t>, 341 F.3d 474, 478 (6th Cir. 2003).</w:t>
      </w:r>
    </w:p>
    <w:p w:rsidR="00E456CD" w:rsidRDefault="00000000">
      <w:pPr>
        <w:pStyle w:val="Normal5"/>
        <w:widowControl w:val="0"/>
        <w:spacing w:before="200" w:line="260" w:lineRule="atLeast"/>
        <w:jc w:val="both"/>
      </w:pPr>
      <w:bookmarkStart w:id="1275" w:name="Bookmark_para_25_1"/>
      <w:bookmarkStart w:id="1276" w:name="Bookmark_I5W99YP22D6N680020000400"/>
      <w:bookmarkEnd w:id="1275"/>
      <w:bookmarkEnd w:id="1276"/>
      <w:r>
        <w:rPr>
          <w:rFonts w:ascii="Arial" w:eastAsia="Arial" w:hAnsi="Arial" w:cs="Arial"/>
          <w:color w:val="000000"/>
          <w:sz w:val="20"/>
        </w:rPr>
        <w:t xml:space="preserve">Doe argues that, even if the plan doesn't [**13]  intentionally discriminate against the disabled, it causes a cognizable disparate impact. This raises an open question about the scope of the Rehabilitation Act, one we close today. In </w:t>
      </w:r>
      <w:r>
        <w:rPr>
          <w:rFonts w:ascii="Arial" w:eastAsia="Arial" w:hAnsi="Arial" w:cs="Arial"/>
          <w:i/>
          <w:color w:val="000000"/>
          <w:sz w:val="20"/>
        </w:rPr>
        <w:t>Alexander v. Choate</w:t>
      </w:r>
      <w:r>
        <w:rPr>
          <w:rFonts w:ascii="Arial" w:eastAsia="Arial" w:hAnsi="Arial" w:cs="Arial"/>
          <w:color w:val="000000"/>
          <w:sz w:val="20"/>
        </w:rPr>
        <w:t xml:space="preserve">, the Supreme Court rejected the "boundless notion" that all disparate-impact showings establish a prima facie case under § 504. </w:t>
      </w:r>
      <w:bookmarkStart w:id="1277" w:name="Bookmark_I5W99YP22D6N680010000400"/>
      <w:bookmarkEnd w:id="1277"/>
      <w:r>
        <w:rPr>
          <w:rFonts w:ascii="Arial" w:eastAsia="Arial" w:hAnsi="Arial" w:cs="Arial"/>
          <w:color w:val="000000"/>
          <w:sz w:val="20"/>
        </w:rPr>
        <w:t xml:space="preserve">469 U.S. 287, 299, 105 S. Ct. 712, 83 L. Ed. 2d 661 (1985). But it "assume[d] without deciding that § 504 reaches at least some conduct that has an unjustifiable disparate impact upon the handicapped." </w:t>
      </w:r>
      <w:r>
        <w:rPr>
          <w:rFonts w:ascii="Arial" w:eastAsia="Arial" w:hAnsi="Arial" w:cs="Arial"/>
          <w:i/>
          <w:color w:val="000000"/>
          <w:sz w:val="20"/>
        </w:rPr>
        <w:t>Id.</w:t>
      </w:r>
    </w:p>
    <w:p w:rsidR="00E456CD" w:rsidRDefault="00000000">
      <w:pPr>
        <w:pStyle w:val="Normal5"/>
        <w:widowControl w:val="0"/>
        <w:spacing w:before="200" w:line="260" w:lineRule="atLeast"/>
        <w:jc w:val="both"/>
      </w:pPr>
      <w:bookmarkStart w:id="1278" w:name="Bookmark_para_26_1"/>
      <w:bookmarkEnd w:id="1278"/>
      <w:r>
        <w:rPr>
          <w:rFonts w:ascii="Arial" w:eastAsia="Arial" w:hAnsi="Arial" w:cs="Arial"/>
          <w:color w:val="000000"/>
          <w:sz w:val="20"/>
        </w:rPr>
        <w:t xml:space="preserve">We now resolve what </w:t>
      </w:r>
      <w:r>
        <w:rPr>
          <w:rFonts w:ascii="Arial" w:eastAsia="Arial" w:hAnsi="Arial" w:cs="Arial"/>
          <w:i/>
          <w:color w:val="000000"/>
          <w:sz w:val="20"/>
        </w:rPr>
        <w:t>Choate</w:t>
      </w:r>
      <w:r>
        <w:rPr>
          <w:rFonts w:ascii="Arial" w:eastAsia="Arial" w:hAnsi="Arial" w:cs="Arial"/>
          <w:color w:val="000000"/>
          <w:sz w:val="20"/>
        </w:rPr>
        <w:t xml:space="preserve"> did not and conclude that § 504 does not prohibit disparate-impact discrimination.</w:t>
      </w:r>
    </w:p>
    <w:p w:rsidR="00E456CD" w:rsidRDefault="00000000">
      <w:pPr>
        <w:pStyle w:val="Normal5"/>
        <w:widowControl w:val="0"/>
        <w:spacing w:before="200" w:line="260" w:lineRule="atLeast"/>
        <w:jc w:val="both"/>
      </w:pPr>
      <w:bookmarkStart w:id="1279" w:name="Bookmark_para_27_1"/>
      <w:bookmarkStart w:id="1280" w:name="Bookmark_I5W99YP22D6N680040000400"/>
      <w:bookmarkStart w:id="1281" w:name="Bookmark_I5W99YP22HM6F10010000400"/>
      <w:bookmarkEnd w:id="1279"/>
      <w:bookmarkEnd w:id="1280"/>
      <w:bookmarkEnd w:id="1281"/>
      <w:r>
        <w:rPr>
          <w:rFonts w:ascii="Arial" w:eastAsia="Arial" w:hAnsi="Arial" w:cs="Arial"/>
          <w:color w:val="000000"/>
          <w:sz w:val="20"/>
        </w:rPr>
        <w:t xml:space="preserve">Take the text. </w:t>
      </w:r>
      <w:bookmarkStart w:id="1282" w:name="Bookmark_LNHNREFclscc9_1"/>
      <w:bookmarkEnd w:id="1282"/>
      <w:r>
        <w:rPr>
          <w:rFonts w:ascii="Arial" w:eastAsia="Arial" w:hAnsi="Arial" w:cs="Arial"/>
          <w:color w:val="000000"/>
          <w:sz w:val="20"/>
        </w:rPr>
        <w:t xml:space="preserve">Disparate-impact discrimination occurs when an entity acts for a nondiscriminatory reason but nevertheless disproportionately harms a protected group. </w:t>
      </w:r>
      <w:r>
        <w:rPr>
          <w:rFonts w:ascii="Arial" w:eastAsia="Arial" w:hAnsi="Arial" w:cs="Arial"/>
          <w:i/>
          <w:color w:val="000000"/>
          <w:sz w:val="20"/>
        </w:rPr>
        <w:t xml:space="preserve">See </w:t>
      </w:r>
      <w:bookmarkStart w:id="1283" w:name="Bookmark_I5W99YP22D6N680030000400"/>
      <w:bookmarkEnd w:id="1283"/>
      <w:r>
        <w:rPr>
          <w:rFonts w:ascii="Arial" w:eastAsia="Arial" w:hAnsi="Arial" w:cs="Arial"/>
          <w:i/>
          <w:color w:val="000000"/>
          <w:sz w:val="20"/>
        </w:rPr>
        <w:t>Ricci v. DeStefano</w:t>
      </w:r>
      <w:r>
        <w:rPr>
          <w:rFonts w:ascii="Arial" w:eastAsia="Arial" w:hAnsi="Arial" w:cs="Arial"/>
          <w:color w:val="000000"/>
          <w:sz w:val="20"/>
        </w:rPr>
        <w:t xml:space="preserve">, 557 U.S. 557, 577,  [*242]  129 S. Ct. 2658, 174 L. Ed. 2d 490 (2009). </w:t>
      </w:r>
      <w:bookmarkStart w:id="1284" w:name="Bookmark_I5W99YP22HM6F10030000400"/>
      <w:bookmarkEnd w:id="1284"/>
      <w:r>
        <w:rPr>
          <w:rFonts w:ascii="Arial" w:eastAsia="Arial" w:hAnsi="Arial" w:cs="Arial"/>
          <w:color w:val="000000"/>
          <w:sz w:val="20"/>
        </w:rPr>
        <w:t xml:space="preserve">But the Rehabilitation Act bars discrimination "solely by reason of her or his disability." 29 U.S.C. § 794(a); </w:t>
      </w:r>
      <w:r>
        <w:rPr>
          <w:rFonts w:ascii="Arial" w:eastAsia="Arial" w:hAnsi="Arial" w:cs="Arial"/>
          <w:i/>
          <w:color w:val="000000"/>
          <w:sz w:val="20"/>
        </w:rPr>
        <w:t xml:space="preserve">see </w:t>
      </w:r>
      <w:bookmarkStart w:id="1285" w:name="Bookmark_I5W99YP22D6N680050000400"/>
      <w:bookmarkEnd w:id="1285"/>
      <w:r>
        <w:rPr>
          <w:rFonts w:ascii="Arial" w:eastAsia="Arial" w:hAnsi="Arial" w:cs="Arial"/>
          <w:i/>
          <w:color w:val="000000"/>
          <w:sz w:val="20"/>
        </w:rPr>
        <w:t>Lewis</w:t>
      </w:r>
      <w:r>
        <w:rPr>
          <w:rFonts w:ascii="Arial" w:eastAsia="Arial" w:hAnsi="Arial" w:cs="Arial"/>
          <w:color w:val="000000"/>
          <w:sz w:val="20"/>
        </w:rPr>
        <w:t xml:space="preserve">, 681 F.3d at 315-17. </w:t>
      </w:r>
      <w:bookmarkStart w:id="1286" w:name="Bookmark_I5W99YP22HM6F10030000400_2"/>
      <w:bookmarkEnd w:id="1286"/>
      <w:r>
        <w:rPr>
          <w:rFonts w:ascii="Arial" w:eastAsia="Arial" w:hAnsi="Arial" w:cs="Arial"/>
          <w:color w:val="000000"/>
          <w:sz w:val="20"/>
        </w:rPr>
        <w:t xml:space="preserve">That language does not encompass actions taken for nondiscriminatory reasons. The language, as well, applies only to individuals who are "otherwise qualified" for the program at issue, meaning that the Act allows the disabled to be "disparately affected by legitimate job criteria." </w:t>
      </w:r>
      <w:bookmarkStart w:id="1287" w:name="Bookmark_I5W99YP22HM6F10020000400"/>
      <w:bookmarkEnd w:id="1287"/>
      <w:r>
        <w:rPr>
          <w:rFonts w:ascii="Arial" w:eastAsia="Arial" w:hAnsi="Arial" w:cs="Arial"/>
          <w:i/>
          <w:color w:val="000000"/>
          <w:sz w:val="20"/>
        </w:rPr>
        <w:t>Crocker v. Runyon</w:t>
      </w:r>
      <w:r>
        <w:rPr>
          <w:rFonts w:ascii="Arial" w:eastAsia="Arial" w:hAnsi="Arial" w:cs="Arial"/>
          <w:color w:val="000000"/>
          <w:sz w:val="20"/>
        </w:rPr>
        <w:t xml:space="preserve">, 207 F.3d 314, 321 (6th Cir. 2000). All of this explains why we have remarked that "[t]here is good reason [**14]  to believe that a disparate impact theory is not available under the Rehabilitation Act." </w:t>
      </w:r>
      <w:r>
        <w:rPr>
          <w:rFonts w:ascii="Arial" w:eastAsia="Arial" w:hAnsi="Arial" w:cs="Arial"/>
          <w:i/>
          <w:color w:val="000000"/>
          <w:sz w:val="20"/>
        </w:rPr>
        <w:t>Id.</w:t>
      </w:r>
      <w:r>
        <w:rPr>
          <w:rFonts w:ascii="Arial" w:eastAsia="Arial" w:hAnsi="Arial" w:cs="Arial"/>
          <w:color w:val="000000"/>
          <w:sz w:val="20"/>
        </w:rPr>
        <w:t xml:space="preserve"> We agree, and so hold.</w:t>
      </w:r>
    </w:p>
    <w:p w:rsidR="00E456CD" w:rsidRDefault="00000000">
      <w:pPr>
        <w:pStyle w:val="Normal5"/>
        <w:widowControl w:val="0"/>
        <w:spacing w:before="200" w:line="260" w:lineRule="atLeast"/>
        <w:jc w:val="both"/>
      </w:pPr>
      <w:bookmarkStart w:id="1288" w:name="Bookmark_para_28_1"/>
      <w:bookmarkStart w:id="1289" w:name="Bookmark_I5W99YP22HM6F10050000400"/>
      <w:bookmarkEnd w:id="1288"/>
      <w:bookmarkEnd w:id="1289"/>
      <w:r>
        <w:rPr>
          <w:rFonts w:ascii="Arial" w:eastAsia="Arial" w:hAnsi="Arial" w:cs="Arial"/>
          <w:color w:val="000000"/>
          <w:sz w:val="20"/>
        </w:rPr>
        <w:t> [***9]  A comparison to other antidiscrimination statutes leads to the same conclusion.</w:t>
      </w:r>
      <w:bookmarkStart w:id="1290" w:name="Bookmark_LNHNREFclscc10_1"/>
      <w:bookmarkEnd w:id="1290"/>
      <w:r>
        <w:rPr>
          <w:rFonts w:ascii="Arial" w:eastAsia="Arial" w:hAnsi="Arial" w:cs="Arial"/>
          <w:color w:val="000000"/>
          <w:sz w:val="20"/>
        </w:rPr>
        <w:t xml:space="preserve"> Section 504 "was patterned after Title VII." </w:t>
      </w:r>
      <w:bookmarkStart w:id="1291" w:name="Bookmark_I5W99YP22HM6F10040000400"/>
      <w:bookmarkEnd w:id="1291"/>
      <w:r>
        <w:rPr>
          <w:rFonts w:ascii="Arial" w:eastAsia="Arial" w:hAnsi="Arial" w:cs="Arial"/>
          <w:i/>
          <w:color w:val="000000"/>
          <w:sz w:val="20"/>
        </w:rPr>
        <w:t>Cmty. Television of S. Cal. v. Gottfried</w:t>
      </w:r>
      <w:r>
        <w:rPr>
          <w:rFonts w:ascii="Arial" w:eastAsia="Arial" w:hAnsi="Arial" w:cs="Arial"/>
          <w:color w:val="000000"/>
          <w:sz w:val="20"/>
        </w:rPr>
        <w:t xml:space="preserve">, 459 U.S. 498, 509, 103 S. Ct. 885, 74 L. Ed. 2d 705 (1983). </w:t>
      </w:r>
      <w:bookmarkStart w:id="1292" w:name="Bookmark_I5W99YP22HM6F20020000400"/>
      <w:bookmarkEnd w:id="1292"/>
      <w:r>
        <w:rPr>
          <w:rFonts w:ascii="Arial" w:eastAsia="Arial" w:hAnsi="Arial" w:cs="Arial"/>
          <w:color w:val="000000"/>
          <w:sz w:val="20"/>
        </w:rPr>
        <w:t xml:space="preserve">Like § 504, Title VII prohibits a person from "be[ing] excluded from participation in, be[ing] denied the benefits of, or be[ing] subjected to discrimination" on the basis of a protected classification. 42 U.S.C. § 2000d. </w:t>
      </w:r>
      <w:bookmarkStart w:id="1293" w:name="Bookmark_I5W99YP22HM6F20020000400_2"/>
      <w:bookmarkEnd w:id="1293"/>
      <w:r>
        <w:rPr>
          <w:rFonts w:ascii="Arial" w:eastAsia="Arial" w:hAnsi="Arial" w:cs="Arial"/>
          <w:color w:val="000000"/>
          <w:sz w:val="20"/>
        </w:rPr>
        <w:t xml:space="preserve">And Title VII does not reach disparate-impact discrimination. </w:t>
      </w:r>
      <w:bookmarkStart w:id="1294" w:name="Bookmark_I5W99YP22HM6F20040000400"/>
      <w:bookmarkEnd w:id="1294"/>
      <w:r>
        <w:rPr>
          <w:rFonts w:ascii="Arial" w:eastAsia="Arial" w:hAnsi="Arial" w:cs="Arial"/>
          <w:i/>
          <w:color w:val="000000"/>
          <w:sz w:val="20"/>
        </w:rPr>
        <w:t xml:space="preserve">See </w:t>
      </w:r>
      <w:bookmarkStart w:id="1295" w:name="Bookmark_I5W99YP22HM6F20010000400"/>
      <w:bookmarkEnd w:id="1295"/>
      <w:r>
        <w:rPr>
          <w:rFonts w:ascii="Arial" w:eastAsia="Arial" w:hAnsi="Arial" w:cs="Arial"/>
          <w:i/>
          <w:color w:val="000000"/>
          <w:sz w:val="20"/>
        </w:rPr>
        <w:t>Sandoval</w:t>
      </w:r>
      <w:r>
        <w:rPr>
          <w:rFonts w:ascii="Arial" w:eastAsia="Arial" w:hAnsi="Arial" w:cs="Arial"/>
          <w:color w:val="000000"/>
          <w:sz w:val="20"/>
        </w:rPr>
        <w:t xml:space="preserve">, 532 U.S. at 280-81. </w:t>
      </w:r>
      <w:bookmarkStart w:id="1296" w:name="Bookmark_I5W99YP22HM6F20040000400_2"/>
      <w:bookmarkEnd w:id="1296"/>
      <w:r>
        <w:rPr>
          <w:rFonts w:ascii="Arial" w:eastAsia="Arial" w:hAnsi="Arial" w:cs="Arial"/>
          <w:color w:val="000000"/>
          <w:sz w:val="20"/>
        </w:rPr>
        <w:t xml:space="preserve">By contrast, when the Court has found that a statute prohibits disparate-impact discrimination, it has relied on language like "otherwise adversely affect" or "otherwise make unavailable," which refers to the consequences of an action rather than the actor's intent. </w:t>
      </w:r>
      <w:r>
        <w:rPr>
          <w:rFonts w:ascii="Arial" w:eastAsia="Arial" w:hAnsi="Arial" w:cs="Arial"/>
          <w:i/>
          <w:color w:val="000000"/>
          <w:sz w:val="20"/>
        </w:rPr>
        <w:t xml:space="preserve">See </w:t>
      </w:r>
      <w:bookmarkStart w:id="1297" w:name="Bookmark_I5W99YP22HM6F20030000400"/>
      <w:bookmarkEnd w:id="1297"/>
      <w:r>
        <w:rPr>
          <w:rFonts w:ascii="Arial" w:eastAsia="Arial" w:hAnsi="Arial" w:cs="Arial"/>
          <w:i/>
          <w:color w:val="000000"/>
          <w:sz w:val="20"/>
        </w:rPr>
        <w:t>Tex. Dep't of Hous. &amp; Cmty. Affairs v. Inclusive Cmtys. Project, Inc.</w:t>
      </w:r>
      <w:r>
        <w:rPr>
          <w:rFonts w:ascii="Arial" w:eastAsia="Arial" w:hAnsi="Arial" w:cs="Arial"/>
          <w:color w:val="000000"/>
          <w:sz w:val="20"/>
        </w:rPr>
        <w:t xml:space="preserve">, 135 S. Ct. 2507, 2518-19, 192 L. Ed. 2d 514 (2015) (Fair Housing Act); </w:t>
      </w:r>
      <w:bookmarkStart w:id="1298" w:name="Bookmark_I5W99YP22HM6F20050000400"/>
      <w:bookmarkEnd w:id="1298"/>
      <w:r>
        <w:rPr>
          <w:rFonts w:ascii="Arial" w:eastAsia="Arial" w:hAnsi="Arial" w:cs="Arial"/>
          <w:i/>
          <w:color w:val="000000"/>
          <w:sz w:val="20"/>
        </w:rPr>
        <w:t>Smith</w:t>
      </w:r>
      <w:r>
        <w:rPr>
          <w:rFonts w:ascii="Arial" w:eastAsia="Arial" w:hAnsi="Arial" w:cs="Arial"/>
          <w:color w:val="000000"/>
          <w:sz w:val="20"/>
        </w:rPr>
        <w:t xml:space="preserve">, 544 U.S. at 235-36 (1967 Age Act); </w:t>
      </w:r>
      <w:bookmarkStart w:id="1299" w:name="Bookmark_I5W99YP22N1RCM0020000400"/>
      <w:bookmarkEnd w:id="1299"/>
      <w:r>
        <w:rPr>
          <w:rFonts w:ascii="Arial" w:eastAsia="Arial" w:hAnsi="Arial" w:cs="Arial"/>
          <w:i/>
          <w:color w:val="000000"/>
          <w:sz w:val="20"/>
        </w:rPr>
        <w:t>Griggs v. Duke Power Co.</w:t>
      </w:r>
      <w:r>
        <w:rPr>
          <w:rFonts w:ascii="Arial" w:eastAsia="Arial" w:hAnsi="Arial" w:cs="Arial"/>
          <w:color w:val="000000"/>
          <w:sz w:val="20"/>
        </w:rPr>
        <w:t>, 401 U.S. 424, 429-31, 91 S. Ct. 849, 28 L. Ed. 2d 158 (1971) (Title VII). That language is missing from § 504, just as it is missing from Title VII.</w:t>
      </w:r>
    </w:p>
    <w:p w:rsidR="00E456CD" w:rsidRDefault="00000000">
      <w:pPr>
        <w:pStyle w:val="Normal5"/>
        <w:widowControl w:val="0"/>
        <w:spacing w:before="200" w:line="260" w:lineRule="atLeast"/>
        <w:jc w:val="both"/>
      </w:pPr>
      <w:bookmarkStart w:id="1300" w:name="Bookmark_para_29_1"/>
      <w:bookmarkStart w:id="1301" w:name="Bookmark_I5W99YP22N1RCM0050000400"/>
      <w:bookmarkEnd w:id="1300"/>
      <w:bookmarkEnd w:id="1301"/>
      <w:r>
        <w:rPr>
          <w:rFonts w:ascii="Arial" w:eastAsia="Arial" w:hAnsi="Arial" w:cs="Arial"/>
          <w:color w:val="000000"/>
          <w:sz w:val="20"/>
        </w:rPr>
        <w:t xml:space="preserve">The oddity of applying disparate-impact discrimination in this area points in the same direction. Because many neutral (and well-intentioned) policies disparately affect the disabled—the point of such laws most often is to ease the burden of having a disability—the proposed use of the theory under § 504 "could lead [**15]  to a wholly unwieldy administrative and adjudicative burden." </w:t>
      </w:r>
      <w:bookmarkStart w:id="1302" w:name="Bookmark_I5W99YP22N1RCM0040000400"/>
      <w:bookmarkEnd w:id="1302"/>
      <w:r>
        <w:rPr>
          <w:rFonts w:ascii="Arial" w:eastAsia="Arial" w:hAnsi="Arial" w:cs="Arial"/>
          <w:i/>
          <w:color w:val="000000"/>
          <w:sz w:val="20"/>
        </w:rPr>
        <w:t>Choate</w:t>
      </w:r>
      <w:r>
        <w:rPr>
          <w:rFonts w:ascii="Arial" w:eastAsia="Arial" w:hAnsi="Arial" w:cs="Arial"/>
          <w:color w:val="000000"/>
          <w:sz w:val="20"/>
        </w:rPr>
        <w:t>, 469 U.S. at 298. With thirty years of hindsight, we can go one step further. Even entertaining the idea of disparate-impact liability in this area invites fruitless challenges to legitimate, and utterly nondiscriminatory, distinctions, as this case aptly shows.</w:t>
      </w:r>
    </w:p>
    <w:p w:rsidR="00E456CD" w:rsidRDefault="00000000">
      <w:pPr>
        <w:pStyle w:val="Normal5"/>
        <w:widowControl w:val="0"/>
        <w:spacing w:before="200" w:line="260" w:lineRule="atLeast"/>
        <w:jc w:val="both"/>
      </w:pPr>
      <w:bookmarkStart w:id="1303" w:name="Bookmark_para_30_1"/>
      <w:bookmarkStart w:id="1304" w:name="Bookmark_I5W99YP22N1RCN0020000400"/>
      <w:bookmarkStart w:id="1305" w:name="Bookmark_I5V2N35TMV100006409000C7"/>
      <w:bookmarkStart w:id="1306" w:name="Bookmark_I5W99YP22N1RCN0040000400"/>
      <w:bookmarkEnd w:id="1303"/>
      <w:bookmarkEnd w:id="1304"/>
      <w:bookmarkEnd w:id="1305"/>
      <w:bookmarkEnd w:id="1306"/>
      <w:r>
        <w:rPr>
          <w:rFonts w:ascii="Arial" w:eastAsia="Arial" w:hAnsi="Arial" w:cs="Arial"/>
          <w:color w:val="000000"/>
          <w:sz w:val="20"/>
        </w:rPr>
        <w:t xml:space="preserve">Perhaps, one might argue, the Court's assumption in </w:t>
      </w:r>
      <w:r>
        <w:rPr>
          <w:rFonts w:ascii="Arial" w:eastAsia="Arial" w:hAnsi="Arial" w:cs="Arial"/>
          <w:i/>
          <w:color w:val="000000"/>
          <w:sz w:val="20"/>
        </w:rPr>
        <w:t>Choate</w:t>
      </w:r>
      <w:r>
        <w:rPr>
          <w:rFonts w:ascii="Arial" w:eastAsia="Arial" w:hAnsi="Arial" w:cs="Arial"/>
          <w:color w:val="000000"/>
          <w:sz w:val="20"/>
        </w:rPr>
        <w:t xml:space="preserve"> should count as something more. After all, at the same time the Court recognized that § 504 "was patterned after and is almost identical to" Title VII, it also said that "too facile an assimilation of Title VII law to § 504 must be resisted." </w:t>
      </w:r>
      <w:bookmarkStart w:id="1307" w:name="Bookmark_I5W99YP22N1RCN0010000400"/>
      <w:bookmarkEnd w:id="1307"/>
      <w:r>
        <w:rPr>
          <w:rFonts w:ascii="Arial" w:eastAsia="Arial" w:hAnsi="Arial" w:cs="Arial"/>
          <w:i/>
          <w:color w:val="000000"/>
          <w:sz w:val="20"/>
        </w:rPr>
        <w:t>Id.</w:t>
      </w:r>
      <w:r>
        <w:rPr>
          <w:rFonts w:ascii="Arial" w:eastAsia="Arial" w:hAnsi="Arial" w:cs="Arial"/>
          <w:color w:val="000000"/>
          <w:sz w:val="20"/>
        </w:rPr>
        <w:t xml:space="preserve"> at 293 n.7. It then chose to "assume without deciding" that § 504 means something different than its twin. </w:t>
      </w:r>
      <w:r>
        <w:rPr>
          <w:rFonts w:ascii="Arial" w:eastAsia="Arial" w:hAnsi="Arial" w:cs="Arial"/>
          <w:i/>
          <w:color w:val="000000"/>
          <w:sz w:val="20"/>
        </w:rPr>
        <w:t xml:space="preserve">See </w:t>
      </w:r>
      <w:bookmarkStart w:id="1308" w:name="Bookmark_I5W99YP22N1RCN0030000400"/>
      <w:bookmarkEnd w:id="1308"/>
      <w:r>
        <w:rPr>
          <w:rFonts w:ascii="Arial" w:eastAsia="Arial" w:hAnsi="Arial" w:cs="Arial"/>
          <w:i/>
          <w:color w:val="000000"/>
          <w:sz w:val="20"/>
        </w:rPr>
        <w:t>id.</w:t>
      </w:r>
      <w:r>
        <w:rPr>
          <w:rFonts w:ascii="Arial" w:eastAsia="Arial" w:hAnsi="Arial" w:cs="Arial"/>
          <w:color w:val="000000"/>
          <w:sz w:val="20"/>
        </w:rPr>
        <w:t xml:space="preserve"> at 299. But the Court's words of caution about the relationship between the two statutes do not foreclose our own analysis. The key word is "assume." Because </w:t>
      </w:r>
      <w:r>
        <w:rPr>
          <w:rFonts w:ascii="Arial" w:eastAsia="Arial" w:hAnsi="Arial" w:cs="Arial"/>
          <w:i/>
          <w:color w:val="000000"/>
          <w:sz w:val="20"/>
        </w:rPr>
        <w:t>Choate</w:t>
      </w:r>
      <w:r>
        <w:rPr>
          <w:rFonts w:ascii="Arial" w:eastAsia="Arial" w:hAnsi="Arial" w:cs="Arial"/>
          <w:color w:val="000000"/>
          <w:sz w:val="20"/>
        </w:rPr>
        <w:t xml:space="preserve"> did not decide the issue either way, and in fact expressed reservations about the effects of disparate-impact liability in this area, we remain free to hold that § 504 does not cover disparate-impact claims.</w:t>
      </w:r>
    </w:p>
    <w:p w:rsidR="00E456CD" w:rsidRDefault="00000000">
      <w:pPr>
        <w:pStyle w:val="Normal5"/>
        <w:widowControl w:val="0"/>
        <w:spacing w:before="200" w:line="260" w:lineRule="atLeast"/>
        <w:jc w:val="both"/>
      </w:pPr>
      <w:bookmarkStart w:id="1309" w:name="Bookmark_para_31_1"/>
      <w:bookmarkStart w:id="1310" w:name="Bookmark_I5V2N35TPG300006409000C8"/>
      <w:bookmarkStart w:id="1311" w:name="Bookmark_I5V2N35TS5600006409000C9"/>
      <w:bookmarkStart w:id="1312" w:name="Bookmark_I5V2N35TTNF00006409000CB"/>
      <w:bookmarkStart w:id="1313" w:name="Bookmark_I5W99YP22SF8B50010000400"/>
      <w:bookmarkStart w:id="1314" w:name="Bookmark_I5V2N35TWJG00006409000CC"/>
      <w:bookmarkStart w:id="1315" w:name="Bookmark_I5V2N35TY8F00006409000CD"/>
      <w:bookmarkStart w:id="1316" w:name="Bookmark_I5W99YP228T3YY0020000400"/>
      <w:bookmarkEnd w:id="1309"/>
      <w:bookmarkEnd w:id="1310"/>
      <w:bookmarkEnd w:id="1311"/>
      <w:bookmarkEnd w:id="1312"/>
      <w:bookmarkEnd w:id="1313"/>
      <w:bookmarkEnd w:id="1314"/>
      <w:bookmarkEnd w:id="1315"/>
      <w:bookmarkEnd w:id="1316"/>
      <w:r>
        <w:rPr>
          <w:rFonts w:ascii="Arial" w:eastAsia="Arial" w:hAnsi="Arial" w:cs="Arial"/>
          <w:color w:val="000000"/>
          <w:sz w:val="20"/>
        </w:rPr>
        <w:t xml:space="preserve"> [***10]  </w:t>
      </w:r>
      <w:bookmarkStart w:id="1317" w:name="Bookmark_I5W99YP22D6N690010000400"/>
      <w:bookmarkEnd w:id="1317"/>
      <w:r>
        <w:rPr>
          <w:rFonts w:ascii="Arial" w:eastAsia="Arial" w:hAnsi="Arial" w:cs="Arial"/>
          <w:color w:val="000000"/>
          <w:sz w:val="20"/>
        </w:rPr>
        <w:t xml:space="preserve">Other courts of appeals, we realize, have made the same assumption that </w:t>
      </w:r>
      <w:r>
        <w:rPr>
          <w:rFonts w:ascii="Arial" w:eastAsia="Arial" w:hAnsi="Arial" w:cs="Arial"/>
          <w:i/>
          <w:color w:val="000000"/>
          <w:sz w:val="20"/>
        </w:rPr>
        <w:t>Choate</w:t>
      </w:r>
      <w:r>
        <w:rPr>
          <w:rFonts w:ascii="Arial" w:eastAsia="Arial" w:hAnsi="Arial" w:cs="Arial"/>
          <w:color w:val="000000"/>
          <w:sz w:val="20"/>
        </w:rPr>
        <w:t xml:space="preserve"> did. </w:t>
      </w:r>
      <w:r>
        <w:rPr>
          <w:rFonts w:ascii="Arial" w:eastAsia="Arial" w:hAnsi="Arial" w:cs="Arial"/>
          <w:i/>
          <w:color w:val="000000"/>
          <w:sz w:val="20"/>
        </w:rPr>
        <w:t xml:space="preserve">See, e.g., </w:t>
      </w:r>
      <w:bookmarkStart w:id="1318" w:name="Bookmark_I5W99YP22N1RCN0050000400"/>
      <w:bookmarkEnd w:id="1318"/>
      <w:r>
        <w:rPr>
          <w:rFonts w:ascii="Arial" w:eastAsia="Arial" w:hAnsi="Arial" w:cs="Arial"/>
          <w:i/>
          <w:color w:val="000000"/>
          <w:sz w:val="20"/>
        </w:rPr>
        <w:t>Ruskai v. Pistole</w:t>
      </w:r>
      <w:r>
        <w:rPr>
          <w:rFonts w:ascii="Arial" w:eastAsia="Arial" w:hAnsi="Arial" w:cs="Arial"/>
          <w:color w:val="000000"/>
          <w:sz w:val="20"/>
        </w:rPr>
        <w:t xml:space="preserve">, 775 F.3d 61, 78 (1st Cir. 2014); </w:t>
      </w:r>
      <w:bookmarkStart w:id="1319" w:name="Bookmark_I5W99YP22SF8B50020000400"/>
      <w:bookmarkEnd w:id="1319"/>
      <w:r>
        <w:rPr>
          <w:rFonts w:ascii="Arial" w:eastAsia="Arial" w:hAnsi="Arial" w:cs="Arial"/>
          <w:i/>
          <w:color w:val="000000"/>
          <w:sz w:val="20"/>
        </w:rPr>
        <w:t>CG v. Pa. Dep't of Educ.</w:t>
      </w:r>
      <w:r>
        <w:rPr>
          <w:rFonts w:ascii="Arial" w:eastAsia="Arial" w:hAnsi="Arial" w:cs="Arial"/>
          <w:color w:val="000000"/>
          <w:sz w:val="20"/>
        </w:rPr>
        <w:t xml:space="preserve">, 734 F.3d 229, 236 (3d Cir. 2013); </w:t>
      </w:r>
      <w:bookmarkStart w:id="1320" w:name="Bookmark_I5W99YP22SF8B50040000400"/>
      <w:bookmarkEnd w:id="1320"/>
      <w:r>
        <w:rPr>
          <w:rFonts w:ascii="Arial" w:eastAsia="Arial" w:hAnsi="Arial" w:cs="Arial"/>
          <w:i/>
          <w:color w:val="000000"/>
          <w:sz w:val="20"/>
        </w:rPr>
        <w:t>Berg v. Fla. Dep't of Labor &amp; Emp't Sec., Div. of Vocational Rehab.</w:t>
      </w:r>
      <w:r>
        <w:rPr>
          <w:rFonts w:ascii="Arial" w:eastAsia="Arial" w:hAnsi="Arial" w:cs="Arial"/>
          <w:color w:val="000000"/>
          <w:sz w:val="20"/>
        </w:rPr>
        <w:t xml:space="preserve">, 163 F.3d 1251, 1254 (11th Cir. 1998). </w:t>
      </w:r>
      <w:bookmarkStart w:id="1321" w:name="Bookmark_I5W99YP22D6N690030000400"/>
      <w:bookmarkEnd w:id="1321"/>
      <w:r>
        <w:rPr>
          <w:rFonts w:ascii="Arial" w:eastAsia="Arial" w:hAnsi="Arial" w:cs="Arial"/>
          <w:color w:val="000000"/>
          <w:sz w:val="20"/>
        </w:rPr>
        <w:t xml:space="preserve">And indeed at least  [*243]  two have acted on it. </w:t>
      </w:r>
      <w:r>
        <w:rPr>
          <w:rFonts w:ascii="Arial" w:eastAsia="Arial" w:hAnsi="Arial" w:cs="Arial"/>
          <w:i/>
          <w:color w:val="000000"/>
          <w:sz w:val="20"/>
        </w:rPr>
        <w:t xml:space="preserve"> [**16] See </w:t>
      </w:r>
      <w:bookmarkStart w:id="1322" w:name="Bookmark_I5W99YP228T3YY0010000400"/>
      <w:bookmarkEnd w:id="1322"/>
      <w:r>
        <w:rPr>
          <w:rFonts w:ascii="Arial" w:eastAsia="Arial" w:hAnsi="Arial" w:cs="Arial"/>
          <w:i/>
          <w:color w:val="000000"/>
          <w:sz w:val="20"/>
        </w:rPr>
        <w:t>McWright v. Alexander</w:t>
      </w:r>
      <w:r>
        <w:rPr>
          <w:rFonts w:ascii="Arial" w:eastAsia="Arial" w:hAnsi="Arial" w:cs="Arial"/>
          <w:color w:val="000000"/>
          <w:sz w:val="20"/>
        </w:rPr>
        <w:t xml:space="preserve">, 982 F.2d 222, 228-29 (7th Cir. 1992); </w:t>
      </w:r>
      <w:bookmarkStart w:id="1323" w:name="Bookmark_I5W99YP228T3YY0030000400"/>
      <w:bookmarkEnd w:id="1323"/>
      <w:r>
        <w:rPr>
          <w:rFonts w:ascii="Arial" w:eastAsia="Arial" w:hAnsi="Arial" w:cs="Arial"/>
          <w:i/>
          <w:color w:val="000000"/>
          <w:sz w:val="20"/>
        </w:rPr>
        <w:t>Robinson v. Kansas</w:t>
      </w:r>
      <w:r>
        <w:rPr>
          <w:rFonts w:ascii="Arial" w:eastAsia="Arial" w:hAnsi="Arial" w:cs="Arial"/>
          <w:color w:val="000000"/>
          <w:sz w:val="20"/>
        </w:rPr>
        <w:t xml:space="preserve">, 295 F.3d 1183, 1187 (10th Cir. 2002). </w:t>
      </w:r>
      <w:bookmarkStart w:id="1324" w:name="Bookmark_I5W99YP22D6N690030000400_2"/>
      <w:bookmarkStart w:id="1325" w:name="Bookmark_I5W99YP22D6N690010000400_2"/>
      <w:bookmarkEnd w:id="1324"/>
      <w:bookmarkEnd w:id="1325"/>
      <w:r>
        <w:rPr>
          <w:rFonts w:ascii="Arial" w:eastAsia="Arial" w:hAnsi="Arial" w:cs="Arial"/>
          <w:color w:val="000000"/>
          <w:sz w:val="20"/>
        </w:rPr>
        <w:t xml:space="preserve">But in recognizing disparate-impact claims, the cases overlooked the "essentially identical" text of Title VII and § 504, elevating the purpose of § 504 in light of the "different aim of the Rehabilitation Act as well as the different context in which the Act was passed." </w:t>
      </w:r>
      <w:bookmarkStart w:id="1326" w:name="Bookmark_I5W99YP228T3YY0050000400"/>
      <w:bookmarkEnd w:id="1326"/>
      <w:r>
        <w:rPr>
          <w:rFonts w:ascii="Arial" w:eastAsia="Arial" w:hAnsi="Arial" w:cs="Arial"/>
          <w:i/>
          <w:color w:val="000000"/>
          <w:sz w:val="20"/>
        </w:rPr>
        <w:t>Robinson</w:t>
      </w:r>
      <w:r>
        <w:rPr>
          <w:rFonts w:ascii="Arial" w:eastAsia="Arial" w:hAnsi="Arial" w:cs="Arial"/>
          <w:color w:val="000000"/>
          <w:sz w:val="20"/>
        </w:rPr>
        <w:t xml:space="preserve">, 295 F.3d at 1187. Even assuming these cases correctly describe the purpose of the Act, "[n]o legislation pursues its purposes at all costs." </w:t>
      </w:r>
      <w:bookmarkStart w:id="1327" w:name="Bookmark_I5W99YP22D6N690020000400"/>
      <w:bookmarkEnd w:id="1327"/>
      <w:r>
        <w:rPr>
          <w:rFonts w:ascii="Arial" w:eastAsia="Arial" w:hAnsi="Arial" w:cs="Arial"/>
          <w:i/>
          <w:color w:val="000000"/>
          <w:sz w:val="20"/>
        </w:rPr>
        <w:t>Pension Benefit Guar. Corp. v. LTV Corp.</w:t>
      </w:r>
      <w:r>
        <w:rPr>
          <w:rFonts w:ascii="Arial" w:eastAsia="Arial" w:hAnsi="Arial" w:cs="Arial"/>
          <w:color w:val="000000"/>
          <w:sz w:val="20"/>
        </w:rPr>
        <w:t>, 496 U.S. 633, 646, 110 S. Ct. 2668, 110 L. Ed. 2d 579 (1990) (quotation omitted). By any conventional measure, the text leaves no room for the statute to prohibit disparate-impact discrimination.</w:t>
      </w:r>
    </w:p>
    <w:p w:rsidR="00E456CD" w:rsidRDefault="00000000">
      <w:pPr>
        <w:pStyle w:val="Normal5"/>
        <w:widowControl w:val="0"/>
        <w:spacing w:before="200" w:line="260" w:lineRule="atLeast"/>
        <w:jc w:val="both"/>
      </w:pPr>
      <w:bookmarkStart w:id="1328" w:name="Bookmark_para_32_1"/>
      <w:bookmarkEnd w:id="1328"/>
      <w:r>
        <w:rPr>
          <w:rFonts w:ascii="Arial" w:eastAsia="Arial" w:hAnsi="Arial" w:cs="Arial"/>
          <w:color w:val="000000"/>
          <w:sz w:val="20"/>
        </w:rPr>
        <w:t xml:space="preserve">Doe tries to counter this conclusion on two main grounds. He says that BlueCross's inclusion of some drugs used by the non-disabled on the specialty medications list was a pretext to cover its intentional discrimination against those with disabilities. </w:t>
      </w:r>
      <w:bookmarkStart w:id="1329" w:name="Bookmark_I5W99YP22D6N690050000400"/>
      <w:bookmarkEnd w:id="1329"/>
      <w:r>
        <w:rPr>
          <w:rFonts w:ascii="Arial" w:eastAsia="Arial" w:hAnsi="Arial" w:cs="Arial"/>
          <w:color w:val="000000"/>
          <w:sz w:val="20"/>
        </w:rPr>
        <w:t xml:space="preserve">But why that is so is never explained. The reality remains that this lengthy list treats the disabled and non-disabled alike, removing any possibility that BlueCross targeted individuals with disabilities. </w:t>
      </w:r>
      <w:bookmarkStart w:id="1330" w:name="Bookmark_I5W99YP22D6N690040000400"/>
      <w:bookmarkEnd w:id="1330"/>
      <w:r>
        <w:rPr>
          <w:rFonts w:ascii="Arial" w:eastAsia="Arial" w:hAnsi="Arial" w:cs="Arial"/>
          <w:i/>
          <w:color w:val="000000"/>
          <w:sz w:val="20"/>
        </w:rPr>
        <w:t>Jones</w:t>
      </w:r>
      <w:r>
        <w:rPr>
          <w:rFonts w:ascii="Arial" w:eastAsia="Arial" w:hAnsi="Arial" w:cs="Arial"/>
          <w:color w:val="000000"/>
          <w:sz w:val="20"/>
        </w:rPr>
        <w:t>, 341 F.3d at 478.</w:t>
      </w:r>
    </w:p>
    <w:p w:rsidR="00E456CD" w:rsidRDefault="00000000">
      <w:pPr>
        <w:pStyle w:val="Normal5"/>
        <w:widowControl w:val="0"/>
        <w:spacing w:before="200" w:line="260" w:lineRule="atLeast"/>
        <w:jc w:val="both"/>
      </w:pPr>
      <w:bookmarkStart w:id="1331" w:name="Bookmark_para_33_1"/>
      <w:bookmarkStart w:id="1332" w:name="Bookmark_I5W99YP22HM6F30020000400"/>
      <w:bookmarkEnd w:id="1331"/>
      <w:bookmarkEnd w:id="1332"/>
      <w:r>
        <w:rPr>
          <w:rFonts w:ascii="Arial" w:eastAsia="Arial" w:hAnsi="Arial" w:cs="Arial"/>
          <w:color w:val="000000"/>
          <w:sz w:val="20"/>
        </w:rPr>
        <w:t xml:space="preserve">Doe also argues that BlueCross wrongfully denied his request for an accommodation, namely letting him buy the medicine at his local pharmacy. </w:t>
      </w:r>
      <w:bookmarkStart w:id="1333" w:name="Bookmark_LNHNREFclscc11_1"/>
      <w:bookmarkEnd w:id="1333"/>
      <w:r>
        <w:rPr>
          <w:rFonts w:ascii="Arial" w:eastAsia="Arial" w:hAnsi="Arial" w:cs="Arial"/>
          <w:color w:val="000000"/>
          <w:sz w:val="20"/>
        </w:rPr>
        <w:t xml:space="preserve">A claim based on a denial of a reasonable accommodation differs from [**17]  a disparate-impact claim. </w:t>
      </w:r>
      <w:bookmarkStart w:id="1334" w:name="Bookmark_I5W99YP22HM6F40030000400"/>
      <w:bookmarkEnd w:id="1334"/>
      <w:r>
        <w:rPr>
          <w:rFonts w:ascii="Arial" w:eastAsia="Arial" w:hAnsi="Arial" w:cs="Arial"/>
          <w:i/>
          <w:color w:val="000000"/>
          <w:sz w:val="20"/>
        </w:rPr>
        <w:t xml:space="preserve">See </w:t>
      </w:r>
      <w:bookmarkStart w:id="1335" w:name="Bookmark_I5W99YP22HM6F30010000400"/>
      <w:bookmarkEnd w:id="1335"/>
      <w:r>
        <w:rPr>
          <w:rFonts w:ascii="Arial" w:eastAsia="Arial" w:hAnsi="Arial" w:cs="Arial"/>
          <w:i/>
          <w:color w:val="000000"/>
          <w:sz w:val="20"/>
        </w:rPr>
        <w:t>Ability Ctr. of Greater Toledo v. City of Sandusky</w:t>
      </w:r>
      <w:r>
        <w:rPr>
          <w:rFonts w:ascii="Arial" w:eastAsia="Arial" w:hAnsi="Arial" w:cs="Arial"/>
          <w:color w:val="000000"/>
          <w:sz w:val="20"/>
        </w:rPr>
        <w:t xml:space="preserve">, 385 F.3d 901, 904 n.4 (6th Cir. 2004); </w:t>
      </w:r>
      <w:bookmarkStart w:id="1336" w:name="Bookmark_I5W99YP22HM6F30030000400"/>
      <w:bookmarkEnd w:id="1336"/>
      <w:r>
        <w:rPr>
          <w:rFonts w:ascii="Arial" w:eastAsia="Arial" w:hAnsi="Arial" w:cs="Arial"/>
          <w:i/>
          <w:color w:val="000000"/>
          <w:sz w:val="20"/>
        </w:rPr>
        <w:t>Henrietta D. v. Bloomberg</w:t>
      </w:r>
      <w:r>
        <w:rPr>
          <w:rFonts w:ascii="Arial" w:eastAsia="Arial" w:hAnsi="Arial" w:cs="Arial"/>
          <w:color w:val="000000"/>
          <w:sz w:val="20"/>
        </w:rPr>
        <w:t xml:space="preserve">, 331 F.3d 261, 276-77 (2d Cir. 2003); </w:t>
      </w:r>
      <w:r>
        <w:rPr>
          <w:rFonts w:ascii="Arial" w:eastAsia="Arial" w:hAnsi="Arial" w:cs="Arial"/>
          <w:i/>
          <w:color w:val="000000"/>
          <w:sz w:val="20"/>
        </w:rPr>
        <w:t xml:space="preserve">see also </w:t>
      </w:r>
      <w:bookmarkStart w:id="1337" w:name="Bookmark_I5W99YP22HM6F30050000400"/>
      <w:bookmarkEnd w:id="1337"/>
      <w:r>
        <w:rPr>
          <w:rFonts w:ascii="Arial" w:eastAsia="Arial" w:hAnsi="Arial" w:cs="Arial"/>
          <w:i/>
          <w:color w:val="000000"/>
          <w:sz w:val="20"/>
        </w:rPr>
        <w:t>Lee v. City of Los Angeles</w:t>
      </w:r>
      <w:r>
        <w:rPr>
          <w:rFonts w:ascii="Arial" w:eastAsia="Arial" w:hAnsi="Arial" w:cs="Arial"/>
          <w:color w:val="000000"/>
          <w:sz w:val="20"/>
        </w:rPr>
        <w:t xml:space="preserve">, 250 F.3d 668, 690-91 (9th Cir. 2001). </w:t>
      </w:r>
      <w:bookmarkStart w:id="1338" w:name="Bookmark_I5W99YP22HM6F40030000400_2"/>
      <w:bookmarkEnd w:id="1338"/>
      <w:r>
        <w:rPr>
          <w:rFonts w:ascii="Arial" w:eastAsia="Arial" w:hAnsi="Arial" w:cs="Arial"/>
          <w:color w:val="000000"/>
          <w:sz w:val="20"/>
        </w:rPr>
        <w:t xml:space="preserve">Under the Rehabilitation Act, a disabled person is "otherwise qualified" for a program if he could meet its requirements with a reasonable accommodation. </w:t>
      </w:r>
      <w:bookmarkStart w:id="1339" w:name="Bookmark_I5W99YP22HM6F40050000400"/>
      <w:bookmarkEnd w:id="1339"/>
      <w:r>
        <w:rPr>
          <w:rFonts w:ascii="Arial" w:eastAsia="Arial" w:hAnsi="Arial" w:cs="Arial"/>
          <w:i/>
          <w:color w:val="000000"/>
          <w:sz w:val="20"/>
        </w:rPr>
        <w:t xml:space="preserve">See </w:t>
      </w:r>
      <w:bookmarkStart w:id="1340" w:name="Bookmark_I5W99YP22HM6F40020000400"/>
      <w:bookmarkEnd w:id="1340"/>
      <w:r>
        <w:rPr>
          <w:rFonts w:ascii="Arial" w:eastAsia="Arial" w:hAnsi="Arial" w:cs="Arial"/>
          <w:i/>
          <w:color w:val="000000"/>
          <w:sz w:val="20"/>
        </w:rPr>
        <w:t>Kaltenberger v. Ohio Coll. of Podiatric Med.</w:t>
      </w:r>
      <w:r>
        <w:rPr>
          <w:rFonts w:ascii="Arial" w:eastAsia="Arial" w:hAnsi="Arial" w:cs="Arial"/>
          <w:color w:val="000000"/>
          <w:sz w:val="20"/>
        </w:rPr>
        <w:t xml:space="preserve">, 162 F.3d 432, 435 (6th Cir. 1998); </w:t>
      </w:r>
      <w:r>
        <w:rPr>
          <w:rFonts w:ascii="Arial" w:eastAsia="Arial" w:hAnsi="Arial" w:cs="Arial"/>
          <w:i/>
          <w:color w:val="000000"/>
          <w:sz w:val="20"/>
        </w:rPr>
        <w:t>see also</w:t>
      </w:r>
      <w:r>
        <w:rPr>
          <w:rFonts w:ascii="Arial" w:eastAsia="Arial" w:hAnsi="Arial" w:cs="Arial"/>
          <w:color w:val="000000"/>
          <w:sz w:val="20"/>
        </w:rPr>
        <w:t xml:space="preserve"> 29 U.S.C. § 794(d); 28 C.F.R. § 41.53. </w:t>
      </w:r>
      <w:bookmarkStart w:id="1341" w:name="Bookmark_I5W99YP22HM6F40050000400_2"/>
      <w:bookmarkEnd w:id="1341"/>
      <w:r>
        <w:rPr>
          <w:rFonts w:ascii="Arial" w:eastAsia="Arial" w:hAnsi="Arial" w:cs="Arial"/>
          <w:color w:val="000000"/>
          <w:sz w:val="20"/>
        </w:rPr>
        <w:t xml:space="preserve">And when that holds true, a denial of the requested accommodation may amount to unlawful discrimination. </w:t>
      </w:r>
      <w:bookmarkStart w:id="1342" w:name="Bookmark_I5W99YP22N1RCP0020000400"/>
      <w:bookmarkEnd w:id="1342"/>
      <w:r>
        <w:rPr>
          <w:rFonts w:ascii="Arial" w:eastAsia="Arial" w:hAnsi="Arial" w:cs="Arial"/>
          <w:i/>
          <w:color w:val="000000"/>
          <w:sz w:val="20"/>
        </w:rPr>
        <w:t xml:space="preserve">See </w:t>
      </w:r>
      <w:bookmarkStart w:id="1343" w:name="Bookmark_I5W99YP22HM6F40040000400"/>
      <w:bookmarkEnd w:id="1343"/>
      <w:r>
        <w:rPr>
          <w:rFonts w:ascii="Arial" w:eastAsia="Arial" w:hAnsi="Arial" w:cs="Arial"/>
          <w:i/>
          <w:color w:val="000000"/>
          <w:sz w:val="20"/>
        </w:rPr>
        <w:t>Kaltenberger</w:t>
      </w:r>
      <w:r>
        <w:rPr>
          <w:rFonts w:ascii="Arial" w:eastAsia="Arial" w:hAnsi="Arial" w:cs="Arial"/>
          <w:color w:val="000000"/>
          <w:sz w:val="20"/>
        </w:rPr>
        <w:t xml:space="preserve">, 162 F.3d at 435-36. </w:t>
      </w:r>
      <w:bookmarkStart w:id="1344" w:name="Bookmark_I5W99YP22N1RCP0020000400_2"/>
      <w:bookmarkEnd w:id="1344"/>
      <w:r>
        <w:rPr>
          <w:rFonts w:ascii="Arial" w:eastAsia="Arial" w:hAnsi="Arial" w:cs="Arial"/>
          <w:color w:val="000000"/>
          <w:sz w:val="20"/>
        </w:rPr>
        <w:t xml:space="preserve">But that distinction  [***11]  does not help Doe. He forfeited his reasonable accommodation argument by failing to articulate it below. </w:t>
      </w:r>
      <w:r>
        <w:rPr>
          <w:rFonts w:ascii="Arial" w:eastAsia="Arial" w:hAnsi="Arial" w:cs="Arial"/>
          <w:i/>
          <w:color w:val="000000"/>
          <w:sz w:val="20"/>
        </w:rPr>
        <w:t xml:space="preserve">See </w:t>
      </w:r>
      <w:bookmarkStart w:id="1345" w:name="Bookmark_I5W99YP22N1RCP0010000400"/>
      <w:bookmarkEnd w:id="1345"/>
      <w:r>
        <w:rPr>
          <w:rFonts w:ascii="Arial" w:eastAsia="Arial" w:hAnsi="Arial" w:cs="Arial"/>
          <w:i/>
          <w:color w:val="000000"/>
          <w:sz w:val="20"/>
        </w:rPr>
        <w:t>Doe v. Miami Univ.</w:t>
      </w:r>
      <w:r>
        <w:rPr>
          <w:rFonts w:ascii="Arial" w:eastAsia="Arial" w:hAnsi="Arial" w:cs="Arial"/>
          <w:color w:val="000000"/>
          <w:sz w:val="20"/>
        </w:rPr>
        <w:t>, 882 F.3d 579, 594-95 (6th Cir. 2018).</w:t>
      </w:r>
    </w:p>
    <w:p w:rsidR="00E456CD" w:rsidRDefault="00000000">
      <w:pPr>
        <w:pStyle w:val="Normal5"/>
        <w:widowControl w:val="0"/>
        <w:spacing w:before="200" w:line="260" w:lineRule="atLeast"/>
        <w:jc w:val="both"/>
      </w:pPr>
      <w:bookmarkStart w:id="1346" w:name="Bookmark_para_34_0"/>
      <w:bookmarkEnd w:id="1346"/>
      <w:r>
        <w:rPr>
          <w:rFonts w:ascii="Arial" w:eastAsia="Arial" w:hAnsi="Arial" w:cs="Arial"/>
          <w:i/>
          <w:color w:val="000000"/>
          <w:sz w:val="20"/>
        </w:rPr>
        <w:t>The Americans with Disabilities Act claim</w:t>
      </w:r>
      <w:r>
        <w:rPr>
          <w:rFonts w:ascii="Arial" w:eastAsia="Arial" w:hAnsi="Arial" w:cs="Arial"/>
          <w:color w:val="000000"/>
          <w:sz w:val="20"/>
        </w:rPr>
        <w:t>. Doe separately claims that BlueCross discriminated against him in violation of Title III of the Americans with Disabilities Act. The nature of the claim—that BlueCross discriminated against his use of a public accommodation, the local pharmacy—has a familiar ring to it. And so, regrettably for him, does our conclusion.</w:t>
      </w:r>
    </w:p>
    <w:p w:rsidR="00E456CD" w:rsidRDefault="00000000">
      <w:pPr>
        <w:pStyle w:val="Normal5"/>
        <w:widowControl w:val="0"/>
        <w:spacing w:before="200" w:line="260" w:lineRule="atLeast"/>
        <w:jc w:val="both"/>
      </w:pPr>
      <w:bookmarkStart w:id="1347" w:name="Bookmark_para_35_0"/>
      <w:bookmarkStart w:id="1348" w:name="Bookmark_LNHNREFclscc12_1"/>
      <w:bookmarkEnd w:id="1347"/>
      <w:bookmarkEnd w:id="1348"/>
      <w:r>
        <w:rPr>
          <w:rFonts w:ascii="Arial" w:eastAsia="Arial" w:hAnsi="Arial" w:cs="Arial"/>
          <w:color w:val="000000"/>
          <w:sz w:val="20"/>
        </w:rPr>
        <w:t xml:space="preserve">The Americans with Disabilities Act prohibits disability discrimination in the enjoyment of public accommodations "by any person who owns, leases (or leases to), or operates a place of public accommodation." 42 U.S.C. § 12182(a). A pharmacy counts as a public accommodation. </w:t>
      </w:r>
      <w:r>
        <w:rPr>
          <w:rFonts w:ascii="Arial" w:eastAsia="Arial" w:hAnsi="Arial" w:cs="Arial"/>
          <w:i/>
          <w:color w:val="000000"/>
          <w:sz w:val="20"/>
        </w:rPr>
        <w:t>Id.</w:t>
      </w:r>
      <w:r>
        <w:rPr>
          <w:rFonts w:ascii="Arial" w:eastAsia="Arial" w:hAnsi="Arial" w:cs="Arial"/>
          <w:color w:val="000000"/>
          <w:sz w:val="20"/>
        </w:rPr>
        <w:t xml:space="preserve"> § 12181(7)(F).</w:t>
      </w:r>
    </w:p>
    <w:p w:rsidR="00E456CD" w:rsidRDefault="00000000">
      <w:pPr>
        <w:pStyle w:val="Normal5"/>
        <w:widowControl w:val="0"/>
        <w:spacing w:before="200" w:line="260" w:lineRule="atLeast"/>
        <w:jc w:val="both"/>
      </w:pPr>
      <w:bookmarkStart w:id="1349" w:name="Bookmark_para_36_0"/>
      <w:bookmarkStart w:id="1350" w:name="Bookmark_I5W99YP22N1RCP0040000400"/>
      <w:bookmarkEnd w:id="1349"/>
      <w:bookmarkEnd w:id="1350"/>
      <w:r>
        <w:rPr>
          <w:rFonts w:ascii="Arial" w:eastAsia="Arial" w:hAnsi="Arial" w:cs="Arial"/>
          <w:color w:val="000000"/>
          <w:sz w:val="20"/>
        </w:rPr>
        <w:t xml:space="preserve">Because BlueCross doesn't own, lease, or operate Doe's local pharmacy, his claim fails. Everyone agrees that BlueCross [**18]  doesn't own or lease the pharmacy. And all dictionaries agree in one way or another that the word "operate" means "[t]o direct the working of; to manage, conduct, work (a railway, business, etc.)." 10 </w:t>
      </w:r>
      <w:r>
        <w:rPr>
          <w:rFonts w:ascii="Arial" w:eastAsia="Arial" w:hAnsi="Arial" w:cs="Arial"/>
          <w:i/>
          <w:color w:val="000000"/>
          <w:sz w:val="20"/>
        </w:rPr>
        <w:t>Oxford English Dictionary, supra</w:t>
      </w:r>
      <w:r>
        <w:rPr>
          <w:rFonts w:ascii="Arial" w:eastAsia="Arial" w:hAnsi="Arial" w:cs="Arial"/>
          <w:color w:val="000000"/>
          <w:sz w:val="20"/>
        </w:rPr>
        <w:t xml:space="preserve">, at 848; </w:t>
      </w:r>
      <w:r>
        <w:rPr>
          <w:rFonts w:ascii="Arial" w:eastAsia="Arial" w:hAnsi="Arial" w:cs="Arial"/>
          <w:i/>
          <w:color w:val="000000"/>
          <w:sz w:val="20"/>
        </w:rPr>
        <w:t xml:space="preserve">see </w:t>
      </w:r>
      <w:bookmarkStart w:id="1351" w:name="Bookmark_I5W99YP22N1RCP0030000400"/>
      <w:bookmarkEnd w:id="1351"/>
      <w:r>
        <w:rPr>
          <w:rFonts w:ascii="Arial" w:eastAsia="Arial" w:hAnsi="Arial" w:cs="Arial"/>
          <w:i/>
          <w:color w:val="000000"/>
          <w:sz w:val="20"/>
        </w:rPr>
        <w:t>Neff v. Am. Dairy Queen Corp.</w:t>
      </w:r>
      <w:r>
        <w:rPr>
          <w:rFonts w:ascii="Arial" w:eastAsia="Arial" w:hAnsi="Arial" w:cs="Arial"/>
          <w:color w:val="000000"/>
          <w:sz w:val="20"/>
        </w:rPr>
        <w:t>, 58 F.3d 1063, 1066 (5th Cir. 1995).</w:t>
      </w:r>
    </w:p>
    <w:p w:rsidR="00E456CD" w:rsidRDefault="00000000">
      <w:pPr>
        <w:pStyle w:val="Normal5"/>
        <w:widowControl w:val="0"/>
        <w:spacing w:before="200" w:line="260" w:lineRule="atLeast"/>
        <w:jc w:val="both"/>
      </w:pPr>
      <w:bookmarkStart w:id="1352" w:name="Bookmark_para_37_0"/>
      <w:bookmarkEnd w:id="1352"/>
      <w:r>
        <w:rPr>
          <w:rFonts w:ascii="Arial" w:eastAsia="Arial" w:hAnsi="Arial" w:cs="Arial"/>
          <w:color w:val="000000"/>
          <w:sz w:val="20"/>
        </w:rPr>
        <w:t>BlueCross doesn't operate Doe's local pharmacy in any meaningful sense of the word. BlueCross does not control the pharmacy's  [*244]  hours, accessibility policies, or customer service protocols. It controls just one thing related to the pharmacy: how much Doe pays out-of-pocket for a product he would like to purchase there. That type of arrangement doesn't make BlueCross the pharmacy's manager.</w:t>
      </w:r>
    </w:p>
    <w:p w:rsidR="00E456CD" w:rsidRDefault="00000000">
      <w:pPr>
        <w:pStyle w:val="Normal5"/>
        <w:widowControl w:val="0"/>
        <w:spacing w:before="200" w:line="260" w:lineRule="atLeast"/>
        <w:jc w:val="both"/>
      </w:pPr>
      <w:bookmarkStart w:id="1353" w:name="Bookmark_para_38_0"/>
      <w:bookmarkEnd w:id="1353"/>
      <w:r>
        <w:rPr>
          <w:rFonts w:ascii="Arial" w:eastAsia="Arial" w:hAnsi="Arial" w:cs="Arial"/>
          <w:color w:val="000000"/>
          <w:sz w:val="20"/>
        </w:rPr>
        <w:t xml:space="preserve">Doe insists otherwise, noting the connection between the specialty medications program and his diminished access to medicine. Yes, BlueCross may in one sense be responsible for denying him in-network benefits at the pharmacy. The same, however, could be said of Congress, which wrote the Americans with Disabilities Act and which in another sense is responsible for BlueCross not having to make this accommodation. But neither of these things makes them managers of the pharmacy. </w:t>
      </w:r>
      <w:bookmarkStart w:id="1354" w:name="Bookmark_I5W99YP22SF8B60010000400"/>
      <w:bookmarkEnd w:id="1354"/>
      <w:r>
        <w:rPr>
          <w:rFonts w:ascii="Arial" w:eastAsia="Arial" w:hAnsi="Arial" w:cs="Arial"/>
          <w:color w:val="000000"/>
          <w:sz w:val="20"/>
        </w:rPr>
        <w:t xml:space="preserve">The truth of the matter is that Doe targets BlueCross's operation of his </w:t>
      </w:r>
      <w:r>
        <w:rPr>
          <w:rFonts w:ascii="Arial" w:eastAsia="Arial" w:hAnsi="Arial" w:cs="Arial"/>
          <w:i/>
          <w:color w:val="000000"/>
          <w:sz w:val="20"/>
        </w:rPr>
        <w:t>health care [**19]  plan</w:t>
      </w:r>
      <w:r>
        <w:rPr>
          <w:rFonts w:ascii="Arial" w:eastAsia="Arial" w:hAnsi="Arial" w:cs="Arial"/>
          <w:color w:val="000000"/>
          <w:sz w:val="20"/>
        </w:rPr>
        <w:t xml:space="preserve">, not its control over his </w:t>
      </w:r>
      <w:r>
        <w:rPr>
          <w:rFonts w:ascii="Arial" w:eastAsia="Arial" w:hAnsi="Arial" w:cs="Arial"/>
          <w:i/>
          <w:color w:val="000000"/>
          <w:sz w:val="20"/>
        </w:rPr>
        <w:t>pharmacy</w:t>
      </w:r>
      <w:r>
        <w:rPr>
          <w:rFonts w:ascii="Arial" w:eastAsia="Arial" w:hAnsi="Arial" w:cs="Arial"/>
          <w:color w:val="000000"/>
          <w:sz w:val="20"/>
        </w:rPr>
        <w:t xml:space="preserve">. And Doe's health plan  [***12]  simply does not qualify as a public accommodation. </w:t>
      </w:r>
      <w:r>
        <w:rPr>
          <w:rFonts w:ascii="Arial" w:eastAsia="Arial" w:hAnsi="Arial" w:cs="Arial"/>
          <w:i/>
          <w:color w:val="000000"/>
          <w:sz w:val="20"/>
        </w:rPr>
        <w:t xml:space="preserve">See </w:t>
      </w:r>
      <w:bookmarkStart w:id="1355" w:name="Bookmark_I5W99YP22N1RCP0050000400"/>
      <w:bookmarkEnd w:id="1355"/>
      <w:r>
        <w:rPr>
          <w:rFonts w:ascii="Arial" w:eastAsia="Arial" w:hAnsi="Arial" w:cs="Arial"/>
          <w:i/>
          <w:color w:val="000000"/>
          <w:sz w:val="20"/>
        </w:rPr>
        <w:t>Parker v. Metro. Life Ins. Co.</w:t>
      </w:r>
      <w:r>
        <w:rPr>
          <w:rFonts w:ascii="Arial" w:eastAsia="Arial" w:hAnsi="Arial" w:cs="Arial"/>
          <w:color w:val="000000"/>
          <w:sz w:val="20"/>
        </w:rPr>
        <w:t>, 121 F.3d 1006, 1014 (6th Cir. 1997) (en banc).</w:t>
      </w:r>
    </w:p>
    <w:p w:rsidR="00E456CD" w:rsidRDefault="00000000">
      <w:pPr>
        <w:pStyle w:val="Normal5"/>
        <w:widowControl w:val="0"/>
        <w:spacing w:before="200" w:line="260" w:lineRule="atLeast"/>
        <w:jc w:val="both"/>
      </w:pPr>
      <w:bookmarkStart w:id="1356" w:name="Bookmark_para_39_0"/>
      <w:bookmarkEnd w:id="1356"/>
      <w:r>
        <w:rPr>
          <w:rFonts w:ascii="Arial" w:eastAsia="Arial" w:hAnsi="Arial" w:cs="Arial"/>
          <w:i/>
          <w:color w:val="000000"/>
          <w:sz w:val="20"/>
        </w:rPr>
        <w:t>The breach of contract claim</w:t>
      </w:r>
      <w:r>
        <w:rPr>
          <w:rFonts w:ascii="Arial" w:eastAsia="Arial" w:hAnsi="Arial" w:cs="Arial"/>
          <w:color w:val="000000"/>
          <w:sz w:val="20"/>
        </w:rPr>
        <w:t xml:space="preserve">. </w:t>
      </w:r>
      <w:bookmarkStart w:id="1357" w:name="Bookmark_I5W99YP22SF8B60030000400"/>
      <w:bookmarkEnd w:id="1357"/>
      <w:r>
        <w:rPr>
          <w:rFonts w:ascii="Arial" w:eastAsia="Arial" w:hAnsi="Arial" w:cs="Arial"/>
          <w:color w:val="000000"/>
          <w:sz w:val="20"/>
        </w:rPr>
        <w:t xml:space="preserve">Doe alleges that BlueCross breached its contract with him by violating its implied duty of good faith and fair dealing. </w:t>
      </w:r>
      <w:bookmarkStart w:id="1358" w:name="Bookmark_LNHNREFclscc13_0"/>
      <w:bookmarkEnd w:id="1358"/>
      <w:r>
        <w:rPr>
          <w:rFonts w:ascii="Arial" w:eastAsia="Arial" w:hAnsi="Arial" w:cs="Arial"/>
          <w:color w:val="000000"/>
          <w:sz w:val="20"/>
        </w:rPr>
        <w:t xml:space="preserve">Tennessee law, it is true, imposes a duty of good faith in the performance of contracts. </w:t>
      </w:r>
      <w:bookmarkStart w:id="1359" w:name="Bookmark_I5W99YP22SF8B60020000400"/>
      <w:bookmarkEnd w:id="1359"/>
      <w:r>
        <w:rPr>
          <w:rFonts w:ascii="Arial" w:eastAsia="Arial" w:hAnsi="Arial" w:cs="Arial"/>
          <w:i/>
          <w:color w:val="000000"/>
          <w:sz w:val="20"/>
        </w:rPr>
        <w:t>Dick Broad. Co. of Tenn. v. Oak Ridge FM, Inc.</w:t>
      </w:r>
      <w:r>
        <w:rPr>
          <w:rFonts w:ascii="Arial" w:eastAsia="Arial" w:hAnsi="Arial" w:cs="Arial"/>
          <w:color w:val="000000"/>
          <w:sz w:val="20"/>
        </w:rPr>
        <w:t>, 395 S.W.3d 653, 660 (Tenn. 2013). But as Doe seems to concede, the failure of his Affordable Care Act and Americans with Disabilities Act claims dooms his argument that BlueCross violated its duty of good faith by inadequately covering his Genvoya. Doe's contract claim does not get off the ground.</w:t>
      </w:r>
    </w:p>
    <w:p w:rsidR="00E456CD" w:rsidRDefault="00000000">
      <w:pPr>
        <w:pStyle w:val="Normal5"/>
        <w:widowControl w:val="0"/>
        <w:spacing w:before="200" w:line="260" w:lineRule="atLeast"/>
        <w:jc w:val="both"/>
      </w:pPr>
      <w:bookmarkStart w:id="1360" w:name="Bookmark_para_40_0"/>
      <w:bookmarkEnd w:id="1360"/>
      <w:r>
        <w:rPr>
          <w:rFonts w:ascii="Arial" w:eastAsia="Arial" w:hAnsi="Arial" w:cs="Arial"/>
          <w:i/>
          <w:color w:val="000000"/>
          <w:sz w:val="20"/>
        </w:rPr>
        <w:t>The motion for leave to amend</w:t>
      </w:r>
      <w:r>
        <w:rPr>
          <w:rFonts w:ascii="Arial" w:eastAsia="Arial" w:hAnsi="Arial" w:cs="Arial"/>
          <w:color w:val="000000"/>
          <w:sz w:val="20"/>
        </w:rPr>
        <w:t xml:space="preserve">. Doe ends by arguing that the district court should have let him amend his complaint a second time. But in his request for leave to amend, Doe did not explain to the district court how he intended to patch up his complaint. </w:t>
      </w:r>
      <w:bookmarkStart w:id="1361" w:name="Bookmark_I5W99YP22SF8B60050000400"/>
      <w:bookmarkEnd w:id="1361"/>
      <w:r>
        <w:rPr>
          <w:rFonts w:ascii="Arial" w:eastAsia="Arial" w:hAnsi="Arial" w:cs="Arial"/>
          <w:color w:val="000000"/>
          <w:sz w:val="20"/>
        </w:rPr>
        <w:t xml:space="preserve">On appeal, he has provided a few hints about amendments he would like to make, but they would still leave his complaint inadequate. A court need not grant leave to amend when doing so would be futile. </w:t>
      </w:r>
      <w:r>
        <w:rPr>
          <w:rFonts w:ascii="Arial" w:eastAsia="Arial" w:hAnsi="Arial" w:cs="Arial"/>
          <w:i/>
          <w:color w:val="000000"/>
          <w:sz w:val="20"/>
        </w:rPr>
        <w:t xml:space="preserve">See </w:t>
      </w:r>
      <w:bookmarkStart w:id="1362" w:name="Bookmark_I5W99YP22SF8B60040000400"/>
      <w:bookmarkEnd w:id="1362"/>
      <w:r>
        <w:rPr>
          <w:rFonts w:ascii="Arial" w:eastAsia="Arial" w:hAnsi="Arial" w:cs="Arial"/>
          <w:i/>
          <w:color w:val="000000"/>
          <w:sz w:val="20"/>
        </w:rPr>
        <w:t>Beydoun v. Sessions</w:t>
      </w:r>
      <w:r>
        <w:rPr>
          <w:rFonts w:ascii="Arial" w:eastAsia="Arial" w:hAnsi="Arial" w:cs="Arial"/>
          <w:color w:val="000000"/>
          <w:sz w:val="20"/>
        </w:rPr>
        <w:t>, 871 F.3d 459, 469 (6th Cir. 2017).</w:t>
      </w:r>
    </w:p>
    <w:p w:rsidR="00E456CD" w:rsidRDefault="00000000">
      <w:pPr>
        <w:pStyle w:val="Normal5"/>
        <w:widowControl w:val="0"/>
        <w:spacing w:before="200" w:line="260" w:lineRule="atLeast"/>
        <w:jc w:val="both"/>
      </w:pPr>
      <w:bookmarkStart w:id="1363" w:name="Bookmark_para_41_0"/>
      <w:bookmarkEnd w:id="1363"/>
      <w:r>
        <w:rPr>
          <w:rFonts w:ascii="Arial" w:eastAsia="Arial" w:hAnsi="Arial" w:cs="Arial"/>
          <w:color w:val="000000"/>
          <w:sz w:val="20"/>
        </w:rPr>
        <w:t>We affirm.</w:t>
      </w:r>
    </w:p>
    <w:p w:rsidR="00E456CD" w:rsidRDefault="00E456CD">
      <w:pPr>
        <w:pStyle w:val="Normal5"/>
      </w:pPr>
    </w:p>
    <w:p w:rsidR="00E456CD" w:rsidRDefault="00000000">
      <w:pPr>
        <w:pStyle w:val="Normal5"/>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43445978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22606"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6"/>
        <w:sectPr w:rsidR="00E456CD">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gutter="0"/>
          <w:cols w:space="720"/>
          <w:titlePg/>
        </w:sectPr>
      </w:pPr>
    </w:p>
    <w:p w:rsidR="00E456CD" w:rsidRDefault="00E456CD">
      <w:pPr>
        <w:pStyle w:val="Normal6"/>
      </w:pPr>
    </w:p>
    <w:p w:rsidR="00E456CD" w:rsidRDefault="00000000">
      <w:pPr>
        <w:pStyle w:val="Heading15"/>
        <w:keepNext w:val="0"/>
        <w:widowControl w:val="0"/>
        <w:spacing w:after="200" w:line="340" w:lineRule="atLeast"/>
        <w:jc w:val="center"/>
      </w:pPr>
      <w:r>
        <w:rPr>
          <w:rFonts w:eastAsia="Arial"/>
          <w:color w:val="000000"/>
          <w:sz w:val="28"/>
        </w:rPr>
        <w:t>J.D. v. Colonial Williamsburg Found.</w:t>
      </w:r>
    </w:p>
    <w:p w:rsidR="00E456CD" w:rsidRDefault="00000000">
      <w:pPr>
        <w:pStyle w:val="Normal6"/>
        <w:widowControl w:val="0"/>
        <w:spacing w:before="120" w:line="260" w:lineRule="atLeast"/>
        <w:jc w:val="center"/>
      </w:pPr>
      <w:r>
        <w:rPr>
          <w:rFonts w:ascii="Arial" w:eastAsia="Arial" w:hAnsi="Arial" w:cs="Arial"/>
          <w:color w:val="000000"/>
          <w:sz w:val="20"/>
        </w:rPr>
        <w:t>United States Court of Appeals for the Fourth Circuit</w:t>
      </w:r>
    </w:p>
    <w:p w:rsidR="00E456CD" w:rsidRDefault="00000000">
      <w:pPr>
        <w:pStyle w:val="Normal6"/>
        <w:widowControl w:val="0"/>
        <w:spacing w:before="120" w:line="260" w:lineRule="atLeast"/>
        <w:jc w:val="center"/>
      </w:pPr>
      <w:r>
        <w:rPr>
          <w:rFonts w:ascii="Arial" w:eastAsia="Arial" w:hAnsi="Arial" w:cs="Arial"/>
          <w:color w:val="000000"/>
          <w:sz w:val="20"/>
        </w:rPr>
        <w:t>January 29, 2019, Argued; May 31, 2019, Decided</w:t>
      </w:r>
    </w:p>
    <w:p w:rsidR="00E456CD" w:rsidRDefault="00000000">
      <w:pPr>
        <w:pStyle w:val="Normal6"/>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18-1725</w:t>
      </w:r>
    </w:p>
    <w:p w:rsidR="00E456CD" w:rsidRDefault="00E456CD">
      <w:pPr>
        <w:pStyle w:val="Normal6"/>
        <w:widowControl w:val="0"/>
        <w:spacing w:line="240" w:lineRule="atLeast"/>
        <w:jc w:val="both"/>
      </w:pPr>
      <w:bookmarkStart w:id="1364" w:name="Bookmark_7"/>
      <w:bookmarkEnd w:id="1364"/>
    </w:p>
    <w:p w:rsidR="00E456CD" w:rsidRDefault="00000000">
      <w:pPr>
        <w:pStyle w:val="Normal6"/>
        <w:widowControl w:val="0"/>
        <w:spacing w:before="200" w:line="240" w:lineRule="atLeast"/>
      </w:pPr>
      <w:bookmarkStart w:id="1365" w:name="Reporter_5"/>
      <w:bookmarkEnd w:id="1365"/>
      <w:r>
        <w:rPr>
          <w:rFonts w:ascii="Arial" w:eastAsia="Arial" w:hAnsi="Arial" w:cs="Arial"/>
          <w:b/>
          <w:color w:val="000000"/>
          <w:sz w:val="18"/>
        </w:rPr>
        <w:t>Reporter</w:t>
      </w:r>
    </w:p>
    <w:p w:rsidR="00E456CD" w:rsidRDefault="00000000">
      <w:pPr>
        <w:pStyle w:val="Normal6"/>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925 F.3d 663 *; 2019 U.S. App. LEXIS 16325 **</w:t>
      </w:r>
    </w:p>
    <w:p w:rsidR="00E456CD" w:rsidRDefault="00000000">
      <w:pPr>
        <w:pStyle w:val="Normal6"/>
        <w:widowControl w:val="0"/>
        <w:spacing w:before="120" w:line="260" w:lineRule="atLeast"/>
      </w:pPr>
      <w:r>
        <w:rPr>
          <w:rFonts w:ascii="Arial" w:eastAsia="Arial" w:hAnsi="Arial" w:cs="Arial"/>
          <w:color w:val="000000"/>
          <w:sz w:val="20"/>
        </w:rPr>
        <w:t>J.D., by his father and next friend, Brian Doherty, Plaintiff - Appellant, v. COLONIAL WILLIAMSBURG FOUNDATION, Defendant — Appellee. NATIONAL DISABILITY RIGHTS NETWORK; DISABILITY LAW CENTER FOR VIRGINIA; SCOTT HAYES; VIRGINIA FOOD ALLERGY ADVOCATES, Amici Supporting Appellant.</w:t>
      </w:r>
    </w:p>
    <w:p w:rsidR="00E456CD" w:rsidRDefault="00000000">
      <w:pPr>
        <w:pStyle w:val="Normal6"/>
        <w:widowControl w:val="0"/>
        <w:spacing w:before="240" w:line="260" w:lineRule="atLeast"/>
      </w:pPr>
      <w:bookmarkStart w:id="1366" w:name="Subsequent_History_0"/>
      <w:bookmarkEnd w:id="1366"/>
      <w:r>
        <w:rPr>
          <w:rFonts w:ascii="Arial" w:eastAsia="Arial" w:hAnsi="Arial" w:cs="Arial"/>
          <w:b/>
          <w:color w:val="000000"/>
          <w:sz w:val="20"/>
        </w:rPr>
        <w:t>Subsequent History:</w:t>
      </w:r>
      <w:r>
        <w:rPr>
          <w:rFonts w:ascii="Arial" w:eastAsia="Arial" w:hAnsi="Arial" w:cs="Arial"/>
          <w:color w:val="000000"/>
          <w:sz w:val="20"/>
        </w:rPr>
        <w:t> Rehearing denied by, Rehearing, en banc, denied by J.D. v. Colonial Williamsburg Found., 2019 U.S. App. LEXIS 19575 (4th Cir., June 28, 2019)</w:t>
      </w:r>
    </w:p>
    <w:p w:rsidR="00E456CD" w:rsidRDefault="00000000">
      <w:pPr>
        <w:pStyle w:val="Normal6"/>
        <w:widowControl w:val="0"/>
        <w:spacing w:before="240" w:line="260" w:lineRule="atLeast"/>
        <w:jc w:val="both"/>
      </w:pPr>
      <w:bookmarkStart w:id="1367" w:name="Prior_History_5"/>
      <w:bookmarkEnd w:id="1367"/>
      <w:r>
        <w:rPr>
          <w:rFonts w:ascii="Arial" w:eastAsia="Arial" w:hAnsi="Arial" w:cs="Arial"/>
          <w:b/>
          <w:color w:val="000000"/>
          <w:sz w:val="20"/>
        </w:rPr>
        <w:t>Prior History:</w:t>
      </w:r>
      <w:r>
        <w:rPr>
          <w:rFonts w:ascii="Arial" w:eastAsia="Arial" w:hAnsi="Arial" w:cs="Arial"/>
          <w:color w:val="000000"/>
          <w:sz w:val="20"/>
        </w:rPr>
        <w:t> </w:t>
      </w:r>
      <w:bookmarkStart w:id="1368" w:name="Bookmark_para_1_5"/>
      <w:bookmarkEnd w:id="1368"/>
      <w:r>
        <w:rPr>
          <w:rFonts w:ascii="Arial" w:eastAsia="Arial" w:hAnsi="Arial" w:cs="Arial"/>
          <w:color w:val="000000"/>
          <w:sz w:val="20"/>
        </w:rPr>
        <w:t> [**1] Appeal from the United States District Court for the Eastern District of Virginia, at Newport News. (4:17-cv-00101-RBS-RJK). Rebecca Beach Smith, District Judge.</w:t>
      </w:r>
    </w:p>
    <w:p w:rsidR="00E456CD" w:rsidRDefault="00000000">
      <w:pPr>
        <w:pStyle w:val="Normal6"/>
        <w:widowControl w:val="0"/>
        <w:spacing w:before="120" w:line="260" w:lineRule="atLeast"/>
      </w:pPr>
      <w:r>
        <w:rPr>
          <w:rFonts w:ascii="Arial" w:eastAsia="Arial" w:hAnsi="Arial" w:cs="Arial"/>
          <w:color w:val="000000"/>
          <w:sz w:val="20"/>
        </w:rPr>
        <w:t>J.D. v. Colonial Williamsburg Found., 2018 U.S. Dist. LEXIS 93897 (E.D. Va., June 1, 2018)</w:t>
      </w:r>
    </w:p>
    <w:p w:rsidR="00E456CD" w:rsidRDefault="00000000">
      <w:pPr>
        <w:pStyle w:val="Normal6"/>
        <w:widowControl w:val="0"/>
        <w:spacing w:before="240" w:line="260" w:lineRule="atLeast"/>
        <w:jc w:val="both"/>
      </w:pPr>
      <w:bookmarkStart w:id="1369" w:name="Disposition"/>
      <w:bookmarkEnd w:id="1369"/>
      <w:r>
        <w:rPr>
          <w:rFonts w:ascii="Arial" w:eastAsia="Arial" w:hAnsi="Arial" w:cs="Arial"/>
          <w:b/>
          <w:color w:val="000000"/>
          <w:sz w:val="20"/>
        </w:rPr>
        <w:t>Disposition:</w:t>
      </w:r>
      <w:r>
        <w:rPr>
          <w:rFonts w:ascii="Arial" w:eastAsia="Arial" w:hAnsi="Arial" w:cs="Arial"/>
          <w:color w:val="000000"/>
          <w:sz w:val="20"/>
        </w:rPr>
        <w:t> </w:t>
      </w:r>
      <w:bookmarkStart w:id="1370" w:name="Bookmark_clspara_4"/>
      <w:bookmarkEnd w:id="1370"/>
      <w:r>
        <w:rPr>
          <w:rFonts w:ascii="Arial" w:eastAsia="Arial" w:hAnsi="Arial" w:cs="Arial"/>
          <w:color w:val="000000"/>
          <w:sz w:val="20"/>
        </w:rPr>
        <w:t>VACATED AND REMANDED.</w:t>
      </w:r>
    </w:p>
    <w:p w:rsidR="00E456CD" w:rsidRDefault="00000000">
      <w:pPr>
        <w:pStyle w:val="Normal6"/>
        <w:widowControl w:val="0"/>
        <w:spacing w:before="240" w:line="260" w:lineRule="atLeast"/>
      </w:pPr>
      <w:bookmarkStart w:id="1371" w:name="Counsel_5"/>
      <w:bookmarkEnd w:id="1371"/>
      <w:r>
        <w:rPr>
          <w:rFonts w:ascii="Arial" w:eastAsia="Arial" w:hAnsi="Arial" w:cs="Arial"/>
          <w:b/>
          <w:color w:val="000000"/>
          <w:sz w:val="20"/>
        </w:rPr>
        <w:t>Counsel:</w:t>
      </w:r>
      <w:r>
        <w:rPr>
          <w:rFonts w:ascii="Arial" w:eastAsia="Arial" w:hAnsi="Arial" w:cs="Arial"/>
          <w:color w:val="000000"/>
          <w:sz w:val="20"/>
        </w:rPr>
        <w:t> ARGUED: Mary Caroline Vargas, STEIN &amp; VARGAS, LLP, Washington, D.C., for Appellant.</w:t>
      </w:r>
    </w:p>
    <w:p w:rsidR="00E456CD" w:rsidRDefault="00000000">
      <w:pPr>
        <w:pStyle w:val="Normal6"/>
        <w:widowControl w:val="0"/>
        <w:spacing w:before="120" w:line="260" w:lineRule="atLeast"/>
      </w:pPr>
      <w:r>
        <w:rPr>
          <w:rFonts w:ascii="Arial" w:eastAsia="Arial" w:hAnsi="Arial" w:cs="Arial"/>
          <w:color w:val="000000"/>
          <w:sz w:val="20"/>
        </w:rPr>
        <w:t>Dana Lewis Rust, MCGUIREWOODS LLP, Richmond, Virginia, for Appellee.</w:t>
      </w:r>
    </w:p>
    <w:p w:rsidR="00E456CD" w:rsidRDefault="00000000">
      <w:pPr>
        <w:pStyle w:val="Normal6"/>
        <w:widowControl w:val="0"/>
        <w:spacing w:before="120" w:line="260" w:lineRule="atLeast"/>
      </w:pPr>
      <w:r>
        <w:rPr>
          <w:rFonts w:ascii="Arial" w:eastAsia="Arial" w:hAnsi="Arial" w:cs="Arial"/>
          <w:color w:val="000000"/>
          <w:sz w:val="20"/>
        </w:rPr>
        <w:t>ON BRIEF: Robert W. McFarland, E. Rebecca Gantt, Norfolk, Virginia, Micah B. Schwartz, MCGUIREWOODS LLP, Richmond, Virginia, for Appellee.</w:t>
      </w:r>
    </w:p>
    <w:p w:rsidR="00E456CD" w:rsidRDefault="00000000">
      <w:pPr>
        <w:pStyle w:val="Normal6"/>
        <w:widowControl w:val="0"/>
        <w:spacing w:before="120" w:line="260" w:lineRule="atLeast"/>
      </w:pPr>
      <w:r>
        <w:rPr>
          <w:rFonts w:ascii="Arial" w:eastAsia="Arial" w:hAnsi="Arial" w:cs="Arial"/>
          <w:color w:val="000000"/>
          <w:sz w:val="20"/>
        </w:rPr>
        <w:t>Kerry M. Chilton, Steven M. Traubert, Zachary S. DeVore, DISABILITY LAW CENTER OF VIRGINIA, Richmond, Virginia, for Amici Disability Law Center of Virginia and National Disability Rights Network.</w:t>
      </w:r>
    </w:p>
    <w:p w:rsidR="00E456CD" w:rsidRDefault="00000000">
      <w:pPr>
        <w:pStyle w:val="Normal6"/>
        <w:widowControl w:val="0"/>
        <w:spacing w:before="120" w:line="260" w:lineRule="atLeast"/>
      </w:pPr>
      <w:r>
        <w:rPr>
          <w:rFonts w:ascii="Arial" w:eastAsia="Arial" w:hAnsi="Arial" w:cs="Arial"/>
          <w:color w:val="000000"/>
          <w:sz w:val="20"/>
        </w:rPr>
        <w:t>Ellen M. Saideman, LAW OFFICE OF ELLEN SAIDEMAN, Barrington, Rhode Island; Theodore R. Debonis, Karen C. Baswell, Farrell A. Brody, Lidia H. Rezende, CHAFFETZ LINDSEY LLP, New York, New York, for Amici Scott Hayes and Virginia Food Allergy Advocates.</w:t>
      </w:r>
    </w:p>
    <w:p w:rsidR="00E456CD" w:rsidRDefault="00000000">
      <w:pPr>
        <w:pStyle w:val="Normal6"/>
        <w:widowControl w:val="0"/>
        <w:spacing w:before="240" w:line="260" w:lineRule="atLeast"/>
      </w:pPr>
      <w:bookmarkStart w:id="1372" w:name="Judges_5"/>
      <w:bookmarkEnd w:id="1372"/>
      <w:r>
        <w:rPr>
          <w:rFonts w:ascii="Arial" w:eastAsia="Arial" w:hAnsi="Arial" w:cs="Arial"/>
          <w:b/>
          <w:color w:val="000000"/>
          <w:sz w:val="20"/>
        </w:rPr>
        <w:t>Judges:</w:t>
      </w:r>
      <w:r>
        <w:rPr>
          <w:rFonts w:ascii="Arial" w:eastAsia="Arial" w:hAnsi="Arial" w:cs="Arial"/>
          <w:color w:val="000000"/>
          <w:sz w:val="20"/>
        </w:rPr>
        <w:t> Before WILKINSON, DIAZ, and FLOYD, Circuit Judges. Judge Diaz wrote the majority opinion, in which Judge Floyd joined. Judge Wilkinson wrote a dissenting opinion.</w:t>
      </w:r>
    </w:p>
    <w:p w:rsidR="00E456CD" w:rsidRDefault="00000000">
      <w:pPr>
        <w:pStyle w:val="Normal6"/>
        <w:widowControl w:val="0"/>
        <w:spacing w:before="240" w:line="260" w:lineRule="atLeast"/>
      </w:pPr>
      <w:bookmarkStart w:id="1373" w:name="Opinion_by_3"/>
      <w:bookmarkEnd w:id="1373"/>
      <w:r>
        <w:rPr>
          <w:rFonts w:ascii="Arial" w:eastAsia="Arial" w:hAnsi="Arial" w:cs="Arial"/>
          <w:b/>
          <w:color w:val="000000"/>
          <w:sz w:val="20"/>
        </w:rPr>
        <w:t>Opinion by:</w:t>
      </w:r>
      <w:r>
        <w:rPr>
          <w:rFonts w:ascii="Arial" w:eastAsia="Arial" w:hAnsi="Arial" w:cs="Arial"/>
          <w:color w:val="000000"/>
          <w:sz w:val="20"/>
        </w:rPr>
        <w:t> DIAZ</w:t>
      </w:r>
    </w:p>
    <w:p w:rsidR="00E456CD" w:rsidRDefault="00000000">
      <w:pPr>
        <w:pStyle w:val="Normal6"/>
        <w:keepNext/>
        <w:widowControl w:val="0"/>
        <w:spacing w:before="240" w:line="340" w:lineRule="atLeast"/>
      </w:pPr>
      <w:bookmarkStart w:id="1374" w:name="Opinion_5"/>
      <w:bookmarkEnd w:id="1374"/>
      <w:r>
        <w:rPr>
          <w:rFonts w:ascii="Arial" w:eastAsia="Arial" w:hAnsi="Arial" w:cs="Arial"/>
          <w:b/>
          <w:color w:val="000000"/>
          <w:sz w:val="28"/>
        </w:rPr>
        <w:t>Opinion</w:t>
      </w:r>
    </w:p>
    <w:p w:rsidR="00E456CD" w:rsidRDefault="00E22289">
      <w:pPr>
        <w:pStyle w:val="Normal6"/>
        <w:spacing w:line="60" w:lineRule="exact"/>
      </w:pPr>
      <w:r>
        <w:rPr>
          <w:noProof/>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38688611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7B6DC"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6"/>
      </w:pPr>
    </w:p>
    <w:p w:rsidR="00E456CD" w:rsidRDefault="00000000">
      <w:pPr>
        <w:pStyle w:val="Normal6"/>
        <w:widowControl w:val="0"/>
        <w:spacing w:before="200" w:line="260" w:lineRule="atLeast"/>
        <w:jc w:val="both"/>
      </w:pPr>
      <w:bookmarkStart w:id="1375" w:name="Bookmark_para_2_5"/>
      <w:bookmarkEnd w:id="1375"/>
      <w:r>
        <w:rPr>
          <w:rFonts w:ascii="Arial" w:eastAsia="Arial" w:hAnsi="Arial" w:cs="Arial"/>
          <w:color w:val="000000"/>
          <w:sz w:val="20"/>
        </w:rPr>
        <w:t> [*666]  DIAZ, Circuit Judge:</w:t>
      </w:r>
    </w:p>
    <w:p w:rsidR="00E456CD" w:rsidRDefault="00000000">
      <w:pPr>
        <w:pStyle w:val="Normal6"/>
        <w:widowControl w:val="0"/>
        <w:spacing w:before="200" w:line="260" w:lineRule="atLeast"/>
        <w:jc w:val="both"/>
      </w:pPr>
      <w:bookmarkStart w:id="1376" w:name="Bookmark_para_3_5"/>
      <w:bookmarkEnd w:id="1376"/>
      <w:r>
        <w:rPr>
          <w:rFonts w:ascii="Arial" w:eastAsia="Arial" w:hAnsi="Arial" w:cs="Arial"/>
          <w:color w:val="000000"/>
          <w:sz w:val="20"/>
        </w:rPr>
        <w:t>J.D. is a child on a strict gluten-free diet. In keeping with this diet, he attempted to bring a homemade, [**2]  gluten-free meal into a restaurant while on a school field trip to Colonial Williamsburg. The restaurant refused to let him do so and offered instead to prepare him a gluten-free meal. But J.D. declined because he didn't trust the restaurant to safely prepare the meal to his specific needs. Ultimately, J.D. chose to eat his homemade meal outside and apart from the rest of his classmates.</w:t>
      </w:r>
    </w:p>
    <w:p w:rsidR="00E456CD" w:rsidRDefault="00000000">
      <w:pPr>
        <w:pStyle w:val="Normal6"/>
        <w:widowControl w:val="0"/>
        <w:spacing w:before="200" w:line="260" w:lineRule="atLeast"/>
        <w:jc w:val="both"/>
      </w:pPr>
      <w:bookmarkStart w:id="1377" w:name="Bookmark_para_4_5"/>
      <w:bookmarkEnd w:id="1377"/>
      <w:r>
        <w:rPr>
          <w:rFonts w:ascii="Arial" w:eastAsia="Arial" w:hAnsi="Arial" w:cs="Arial"/>
          <w:color w:val="000000"/>
          <w:sz w:val="20"/>
        </w:rPr>
        <w:t>After these events, J.D., by his father and next friend, sued the Colonial Williamsburg Foundation (which owns and  [*667]  operates the restaurant) for violating the Americans with Disability Act, the Rehabilitation Act, and the Virginians with Disabilities Act. J.D. alleged that he is a person with a disability, and that Colonial Williamsburg discriminated against him by excluding him from the restaurant and by refusing to modify its policy against outside food. The district court granted summary judgment to Colonial Williamsburg. For the reasons that follow, we vacate and remand for further proceedings.</w:t>
      </w:r>
    </w:p>
    <w:p w:rsidR="00E456CD" w:rsidRDefault="00000000">
      <w:pPr>
        <w:pStyle w:val="Normal6"/>
        <w:widowControl w:val="0"/>
        <w:spacing w:before="120" w:line="260" w:lineRule="atLeast"/>
      </w:pPr>
      <w:r>
        <w:rPr>
          <w:rFonts w:ascii="Arial" w:eastAsia="Arial" w:hAnsi="Arial" w:cs="Arial"/>
          <w:color w:val="000000"/>
          <w:sz w:val="20"/>
        </w:rPr>
        <w:t>I.</w:t>
      </w:r>
    </w:p>
    <w:p w:rsidR="00E456CD" w:rsidRDefault="00000000">
      <w:pPr>
        <w:pStyle w:val="Normal6"/>
        <w:widowControl w:val="0"/>
        <w:spacing w:before="120" w:line="260" w:lineRule="atLeast"/>
      </w:pPr>
      <w:r>
        <w:rPr>
          <w:rFonts w:ascii="Arial" w:eastAsia="Arial" w:hAnsi="Arial" w:cs="Arial"/>
          <w:color w:val="000000"/>
          <w:sz w:val="20"/>
        </w:rPr>
        <w:t>A.</w:t>
      </w:r>
    </w:p>
    <w:p w:rsidR="00E456CD" w:rsidRDefault="00000000">
      <w:pPr>
        <w:pStyle w:val="Normal6"/>
        <w:widowControl w:val="0"/>
        <w:spacing w:before="200" w:line="260" w:lineRule="atLeast"/>
        <w:jc w:val="both"/>
      </w:pPr>
      <w:bookmarkStart w:id="1378" w:name="Bookmark_para_5_5"/>
      <w:bookmarkStart w:id="1379" w:name="Bookmark_I5WBCV102HM6DJ0020000400"/>
      <w:bookmarkEnd w:id="1378"/>
      <w:bookmarkEnd w:id="1379"/>
      <w:r>
        <w:rPr>
          <w:rFonts w:ascii="Arial" w:eastAsia="Arial" w:hAnsi="Arial" w:cs="Arial"/>
          <w:color w:val="000000"/>
          <w:sz w:val="20"/>
        </w:rPr>
        <w:t>J.D. is an 11-year-old boy who suffers from several health problems.</w:t>
      </w:r>
      <w:r>
        <w:rPr>
          <w:rFonts w:ascii="Arial" w:eastAsia="Arial" w:hAnsi="Arial" w:cs="Arial"/>
          <w:vertAlign w:val="superscript"/>
        </w:rPr>
        <w:footnoteReference w:customMarkFollows="1" w:id="59"/>
        <w:t>1</w:t>
      </w:r>
      <w:r>
        <w:rPr>
          <w:rFonts w:ascii="Arial" w:eastAsia="Arial" w:hAnsi="Arial" w:cs="Arial"/>
          <w:color w:val="000000"/>
          <w:sz w:val="20"/>
        </w:rPr>
        <w:t xml:space="preserve"> J.D. experiences a host of symptoms when he ingests gluten, including significant constipation, abdominal pain, foot pain and numbness, [**3]  cognitive impairment, elevated liver enzymes, and temporary loss of consciousness. According to J.D.'s primary physician, J.D.'s family history is positive for either celiac disease or non-celiac gluten sensitivity.</w:t>
      </w:r>
    </w:p>
    <w:p w:rsidR="00E456CD" w:rsidRDefault="00000000">
      <w:pPr>
        <w:pStyle w:val="Normal6"/>
        <w:widowControl w:val="0"/>
        <w:spacing w:before="200" w:line="260" w:lineRule="atLeast"/>
        <w:jc w:val="both"/>
      </w:pPr>
      <w:bookmarkStart w:id="1382" w:name="Bookmark_para_6_5"/>
      <w:bookmarkEnd w:id="1382"/>
      <w:r>
        <w:rPr>
          <w:rFonts w:ascii="Arial" w:eastAsia="Arial" w:hAnsi="Arial" w:cs="Arial"/>
          <w:color w:val="000000"/>
          <w:sz w:val="20"/>
        </w:rPr>
        <w:t>Celiac disease is an autoimmune disorder where the ingestion of gluten, even in trace amounts, causes damage to the small intestine. Symptoms include fatigue, abdominal pain, constipation, and cognitive impairment. Untreated, celiac disease can lead to additional serious health problems, including intestinal cancer, short stature, liver disease, and nervous system disorders such as seizures and migraines. Non-celiac gluten sensitivity is a disorder with similar symptoms.</w:t>
      </w:r>
    </w:p>
    <w:p w:rsidR="00E456CD" w:rsidRDefault="00000000">
      <w:pPr>
        <w:pStyle w:val="Normal6"/>
        <w:widowControl w:val="0"/>
        <w:spacing w:before="200" w:line="260" w:lineRule="atLeast"/>
        <w:jc w:val="both"/>
      </w:pPr>
      <w:bookmarkStart w:id="1383" w:name="Bookmark_para_7_5"/>
      <w:bookmarkEnd w:id="1383"/>
      <w:r>
        <w:rPr>
          <w:rFonts w:ascii="Arial" w:eastAsia="Arial" w:hAnsi="Arial" w:cs="Arial"/>
          <w:color w:val="000000"/>
          <w:sz w:val="20"/>
        </w:rPr>
        <w:t>The only medically accepted treatment for celiac disease or non-celiac gluten sensitivity is a strictly gluten-free diet. J.D.'s physician expressed his medical opinion that "a gluten free diet is medically necessary for J.D." J.A. 165. And J.D.'s parents testified that his health significantly improved once on a strictly gluten-free diet.</w:t>
      </w:r>
    </w:p>
    <w:p w:rsidR="00E456CD" w:rsidRDefault="00000000">
      <w:pPr>
        <w:pStyle w:val="Normal6"/>
        <w:widowControl w:val="0"/>
        <w:spacing w:before="200" w:line="260" w:lineRule="atLeast"/>
        <w:jc w:val="both"/>
      </w:pPr>
      <w:bookmarkStart w:id="1384" w:name="Bookmark_para_8_5"/>
      <w:bookmarkEnd w:id="1384"/>
      <w:r>
        <w:rPr>
          <w:rFonts w:ascii="Arial" w:eastAsia="Arial" w:hAnsi="Arial" w:cs="Arial"/>
          <w:color w:val="000000"/>
          <w:sz w:val="20"/>
        </w:rPr>
        <w:t xml:space="preserve">However, when J.D. "accidentally ingests gluten, even in trace amounts, his symptoms come crashing back." J.A. 111. According to his parents, J.D. has had adverse reactions [**4]  when eating out at several restaurants. For example, during a family visit to Disney World, J.D.'s parents spoke with a restaurant manager, who went through an "exhaustive list of the protocols" that would be used to ensure a gluten-free meal. </w:t>
      </w:r>
      <w:r>
        <w:rPr>
          <w:rFonts w:ascii="Arial" w:eastAsia="Arial" w:hAnsi="Arial" w:cs="Arial"/>
          <w:i/>
          <w:color w:val="000000"/>
          <w:sz w:val="20"/>
        </w:rPr>
        <w:t>Id.</w:t>
      </w:r>
      <w:r>
        <w:rPr>
          <w:rFonts w:ascii="Arial" w:eastAsia="Arial" w:hAnsi="Arial" w:cs="Arial"/>
          <w:color w:val="000000"/>
          <w:sz w:val="20"/>
        </w:rPr>
        <w:t xml:space="preserve"> at 289. J.D. ate a gluten-free pizza that came out on a different colored tray, with allergy stickers on it, and was carried by the manager. A few days later, J.D. experienced symptoms consistent with having ingested gluten. His family later learned that J.D. had in fact been served a wheat crust, not a gluten-free one.</w:t>
      </w:r>
    </w:p>
    <w:p w:rsidR="00E456CD" w:rsidRDefault="00000000">
      <w:pPr>
        <w:pStyle w:val="Normal6"/>
        <w:widowControl w:val="0"/>
        <w:spacing w:before="200" w:line="260" w:lineRule="atLeast"/>
        <w:jc w:val="both"/>
      </w:pPr>
      <w:bookmarkStart w:id="1385" w:name="Bookmark_para_9_5"/>
      <w:bookmarkEnd w:id="1385"/>
      <w:r>
        <w:rPr>
          <w:rFonts w:ascii="Arial" w:eastAsia="Arial" w:hAnsi="Arial" w:cs="Arial"/>
          <w:color w:val="000000"/>
          <w:sz w:val="20"/>
        </w:rPr>
        <w:t>On other occasions, J.D. and his family frequented a restaurant that represented it could prepare gluten-free meals. J.D. would order gluten-free items from the menu, but after each visit, his family noticed that J.D. wasn't feeling well and showed signs of having ingested gluten. They didn't suspect the restaurant, however, because they had been assured of the gluten-free protocols in place. But on their last visit to the restaurant, they noticed a regular noodle in the purportedly gluten-free pasta.</w:t>
      </w:r>
    </w:p>
    <w:p w:rsidR="00E456CD" w:rsidRDefault="00000000">
      <w:pPr>
        <w:pStyle w:val="Normal6"/>
        <w:widowControl w:val="0"/>
        <w:spacing w:before="200" w:line="260" w:lineRule="atLeast"/>
        <w:jc w:val="both"/>
      </w:pPr>
      <w:bookmarkStart w:id="1386" w:name="Bookmark_para_10_5"/>
      <w:bookmarkEnd w:id="1386"/>
      <w:r>
        <w:rPr>
          <w:rFonts w:ascii="Arial" w:eastAsia="Arial" w:hAnsi="Arial" w:cs="Arial"/>
          <w:color w:val="000000"/>
          <w:sz w:val="20"/>
        </w:rPr>
        <w:t>Following these and other incidents, J.D.'s parents resolved to provide medically safe food to J.D. To that end, they regularly prepare [**5]  his food and pack separate tableware to ensure that he can participate in school parties, celebrations, and meals to the greatest extent possible. Although there are some restaurants that his  [*668]  parents still trust, in general, they no longer eat out as a family due to the risk of gluten exposure.</w:t>
      </w:r>
    </w:p>
    <w:p w:rsidR="00E456CD" w:rsidRDefault="00000000">
      <w:pPr>
        <w:pStyle w:val="Normal6"/>
        <w:widowControl w:val="0"/>
        <w:spacing w:before="120" w:line="260" w:lineRule="atLeast"/>
      </w:pPr>
      <w:r>
        <w:rPr>
          <w:rFonts w:ascii="Arial" w:eastAsia="Arial" w:hAnsi="Arial" w:cs="Arial"/>
          <w:color w:val="000000"/>
          <w:sz w:val="20"/>
        </w:rPr>
        <w:t>B.</w:t>
      </w:r>
    </w:p>
    <w:p w:rsidR="00E456CD" w:rsidRDefault="00000000">
      <w:pPr>
        <w:pStyle w:val="Normal6"/>
        <w:widowControl w:val="0"/>
        <w:spacing w:before="200" w:line="260" w:lineRule="atLeast"/>
        <w:jc w:val="both"/>
      </w:pPr>
      <w:bookmarkStart w:id="1387" w:name="Bookmark_para_11_5"/>
      <w:bookmarkEnd w:id="1387"/>
      <w:r>
        <w:rPr>
          <w:rFonts w:ascii="Arial" w:eastAsia="Arial" w:hAnsi="Arial" w:cs="Arial"/>
          <w:color w:val="000000"/>
          <w:sz w:val="20"/>
        </w:rPr>
        <w:t>This case has its genesis in a school field trip. On May 11, 2017, J.D. and his classmates, accompanied by teachers and parent chaperones (including J.D.'s father) traveled to Colonial Williamsburg. Colonial Williamsburg bills itself as a "living-history museum" consisting of original and reconstructed buildings from the 18th century. The historic area includes Shields Tavern, a restaurant owned and operated by the Colonial Williamsburg Foundation, which offers guests a traditional, 18th-century experience with costumed actors and musicians. The itinerary for the trip included dinner at Shields Tavern.</w:t>
      </w:r>
    </w:p>
    <w:p w:rsidR="00E456CD" w:rsidRDefault="00000000">
      <w:pPr>
        <w:pStyle w:val="Normal6"/>
        <w:widowControl w:val="0"/>
        <w:spacing w:before="200" w:line="260" w:lineRule="atLeast"/>
        <w:jc w:val="both"/>
      </w:pPr>
      <w:bookmarkStart w:id="1388" w:name="Bookmark_para_12_4"/>
      <w:bookmarkEnd w:id="1388"/>
      <w:r>
        <w:rPr>
          <w:rFonts w:ascii="Arial" w:eastAsia="Arial" w:hAnsi="Arial" w:cs="Arial"/>
          <w:color w:val="000000"/>
          <w:sz w:val="20"/>
        </w:rPr>
        <w:t>Shields Tavern has a policy against allowing outside food into its restaurant. This policy is subject to two general exceptions: (1) parents may bring baby food or snacks for infants and toddlers, and (2) patrons may bring cakes and wine for events subject to a plating and corkage fee. Shields [**6]  Tavern also appears to allow outside food at the discretion of the manager.</w:t>
      </w:r>
    </w:p>
    <w:p w:rsidR="00E456CD" w:rsidRDefault="00000000">
      <w:pPr>
        <w:pStyle w:val="Normal6"/>
        <w:widowControl w:val="0"/>
        <w:spacing w:before="200" w:line="260" w:lineRule="atLeast"/>
        <w:jc w:val="both"/>
      </w:pPr>
      <w:bookmarkStart w:id="1389" w:name="Bookmark_para_13_4"/>
      <w:bookmarkEnd w:id="1389"/>
      <w:r>
        <w:rPr>
          <w:rFonts w:ascii="Arial" w:eastAsia="Arial" w:hAnsi="Arial" w:cs="Arial"/>
          <w:color w:val="000000"/>
          <w:sz w:val="20"/>
        </w:rPr>
        <w:t>Months before the trip, J.D.'s father informed the school that he and J.D. wouldn't be eating at any of the restaurants but would instead bring their own food. Nothing in the record indicates that this message was relayed to Shields Tavern. On the contrary, an invoice from Colonial Williamsburg shows that the school placed an order for two gluten-free meals at Shields Tavern. The parties dispute whether these meals were intended for J.D. and his father.</w:t>
      </w:r>
      <w:r>
        <w:rPr>
          <w:rFonts w:ascii="Arial" w:eastAsia="Arial" w:hAnsi="Arial" w:cs="Arial"/>
          <w:vertAlign w:val="superscript"/>
        </w:rPr>
        <w:footnoteReference w:customMarkFollows="1" w:id="60"/>
        <w:t>2</w:t>
      </w:r>
    </w:p>
    <w:p w:rsidR="00E456CD" w:rsidRDefault="00000000">
      <w:pPr>
        <w:pStyle w:val="Normal6"/>
        <w:widowControl w:val="0"/>
        <w:spacing w:before="200" w:line="260" w:lineRule="atLeast"/>
        <w:jc w:val="both"/>
      </w:pPr>
      <w:bookmarkStart w:id="1391" w:name="Bookmark_para_14_4"/>
      <w:bookmarkEnd w:id="1391"/>
      <w:r>
        <w:rPr>
          <w:rFonts w:ascii="Arial" w:eastAsia="Arial" w:hAnsi="Arial" w:cs="Arial"/>
          <w:color w:val="000000"/>
          <w:sz w:val="20"/>
        </w:rPr>
        <w:t>When J.D. and his father arrived at Shields Tavern, they sat down at a two-person table. J.D's father informed a waitress not to bring out any food for them.</w:t>
      </w:r>
      <w:r>
        <w:rPr>
          <w:rFonts w:ascii="Arial" w:eastAsia="Arial" w:hAnsi="Arial" w:cs="Arial"/>
          <w:vertAlign w:val="superscript"/>
        </w:rPr>
        <w:footnoteReference w:customMarkFollows="1" w:id="61"/>
        <w:t>3</w:t>
      </w:r>
      <w:r>
        <w:rPr>
          <w:rFonts w:ascii="Arial" w:eastAsia="Arial" w:hAnsi="Arial" w:cs="Arial"/>
          <w:color w:val="000000"/>
          <w:sz w:val="20"/>
        </w:rPr>
        <w:t xml:space="preserve"> He then unpacked a cooler filled with plates, cups, and utensils, and began making a gluten-free chicken sandwich. Another waitress told J.D.'s father that he couldn't bring in outside food because it was a health code violation.</w:t>
      </w:r>
      <w:r>
        <w:rPr>
          <w:rFonts w:ascii="Arial" w:eastAsia="Arial" w:hAnsi="Arial" w:cs="Arial"/>
          <w:vertAlign w:val="superscript"/>
        </w:rPr>
        <w:footnoteReference w:customMarkFollows="1" w:id="62"/>
        <w:t>4</w:t>
      </w:r>
      <w:r>
        <w:rPr>
          <w:rFonts w:ascii="Arial" w:eastAsia="Arial" w:hAnsi="Arial" w:cs="Arial"/>
          <w:color w:val="000000"/>
          <w:sz w:val="20"/>
        </w:rPr>
        <w:t xml:space="preserve"> J.D.'s father asked to speak to the manager, who confirmed the policy, and insisted that they would have to eat their food outside. The head chef soon arrived and offered to prepare a gluten-free meal for J.D.</w:t>
      </w:r>
      <w:r>
        <w:rPr>
          <w:rFonts w:ascii="Arial" w:eastAsia="Arial" w:hAnsi="Arial" w:cs="Arial"/>
          <w:vertAlign w:val="superscript"/>
        </w:rPr>
        <w:footnoteReference w:customMarkFollows="1" w:id="63"/>
        <w:t>5</w:t>
      </w:r>
    </w:p>
    <w:p w:rsidR="00E456CD" w:rsidRDefault="00000000">
      <w:pPr>
        <w:pStyle w:val="Normal6"/>
        <w:widowControl w:val="0"/>
        <w:spacing w:before="200" w:line="260" w:lineRule="atLeast"/>
        <w:jc w:val="both"/>
      </w:pPr>
      <w:bookmarkStart w:id="1395" w:name="Bookmark_para_15_4"/>
      <w:bookmarkEnd w:id="1395"/>
      <w:r>
        <w:rPr>
          <w:rFonts w:ascii="Arial" w:eastAsia="Arial" w:hAnsi="Arial" w:cs="Arial"/>
          <w:color w:val="000000"/>
          <w:sz w:val="20"/>
        </w:rPr>
        <w:t>At this point, J.D. and his father were left with three options: hope [**7]  for the best and accept the restaurant's offer of a gluten-free meal, stay inside and not eat, or eat the prepared meal outside. As J.D. began to cry, his father packed up the prepared meal and followed a server outside to the picnic tables behind Shields Tavern. J.D. and his father ate outside for  [*669]  20 or 30 minutes before returning to the restaurant.</w:t>
      </w:r>
    </w:p>
    <w:p w:rsidR="00E456CD" w:rsidRDefault="00000000">
      <w:pPr>
        <w:pStyle w:val="Normal6"/>
        <w:widowControl w:val="0"/>
        <w:spacing w:before="120" w:line="260" w:lineRule="atLeast"/>
      </w:pPr>
      <w:r>
        <w:rPr>
          <w:rFonts w:ascii="Arial" w:eastAsia="Arial" w:hAnsi="Arial" w:cs="Arial"/>
          <w:color w:val="000000"/>
          <w:sz w:val="20"/>
        </w:rPr>
        <w:t>C.</w:t>
      </w:r>
    </w:p>
    <w:p w:rsidR="00E456CD" w:rsidRDefault="00000000">
      <w:pPr>
        <w:pStyle w:val="Normal6"/>
        <w:widowControl w:val="0"/>
        <w:spacing w:before="200" w:line="260" w:lineRule="atLeast"/>
        <w:jc w:val="both"/>
      </w:pPr>
      <w:bookmarkStart w:id="1396" w:name="Bookmark_para_16_4"/>
      <w:bookmarkEnd w:id="1396"/>
      <w:r>
        <w:rPr>
          <w:rFonts w:ascii="Arial" w:eastAsia="Arial" w:hAnsi="Arial" w:cs="Arial"/>
          <w:color w:val="000000"/>
          <w:sz w:val="20"/>
        </w:rPr>
        <w:t>J.D., by his father and next friend, filed suit against the Colonial Williamsburg Foundation alleging violations of Section 504 of the Rehabilitation Act, Title III of the Americans with Disabilities Act ("ADA"), and the Virginians with Disabilities Act. He alleges that Colonial Williamsburg discriminated against him by excluding him from Shields Tavern and by failing to modify its policy against outside food.</w:t>
      </w:r>
    </w:p>
    <w:p w:rsidR="00E456CD" w:rsidRDefault="00000000">
      <w:pPr>
        <w:pStyle w:val="Normal6"/>
        <w:widowControl w:val="0"/>
        <w:spacing w:before="200" w:line="260" w:lineRule="atLeast"/>
        <w:jc w:val="both"/>
      </w:pPr>
      <w:bookmarkStart w:id="1397" w:name="Bookmark_para_17_3"/>
      <w:bookmarkEnd w:id="1397"/>
      <w:r>
        <w:rPr>
          <w:rFonts w:ascii="Arial" w:eastAsia="Arial" w:hAnsi="Arial" w:cs="Arial"/>
          <w:color w:val="000000"/>
          <w:sz w:val="20"/>
        </w:rPr>
        <w:t>Following discovery, Colonial Williamsburg moved for summary judgment. The district court referred the motion to a magistrate judge, who recommended granting it. The magistrate judge found that there was a genuine dispute of material fact as to whether J.D. is disabled within the meaning of the ADA. But the judge ultimately recommended granting summary judgment because J.D. didn't meet his burden to show that he was discriminated against because of his disability.</w:t>
      </w:r>
    </w:p>
    <w:p w:rsidR="00E456CD" w:rsidRDefault="00000000">
      <w:pPr>
        <w:pStyle w:val="Normal6"/>
        <w:widowControl w:val="0"/>
        <w:spacing w:before="200" w:line="260" w:lineRule="atLeast"/>
        <w:jc w:val="both"/>
      </w:pPr>
      <w:bookmarkStart w:id="1398" w:name="Bookmark_para_18_3"/>
      <w:bookmarkEnd w:id="1398"/>
      <w:r>
        <w:rPr>
          <w:rFonts w:ascii="Arial" w:eastAsia="Arial" w:hAnsi="Arial" w:cs="Arial"/>
          <w:color w:val="000000"/>
          <w:sz w:val="20"/>
        </w:rPr>
        <w:t>The district court adopted the magistrate judge's recommendation [**8]  and granted summary judgment to Colonial Williamsburg. The court also awarded costs to Colonial Williamsburg as the prevailing party. This appeal followed.</w:t>
      </w:r>
    </w:p>
    <w:p w:rsidR="00E456CD" w:rsidRDefault="00000000">
      <w:pPr>
        <w:pStyle w:val="Normal6"/>
        <w:widowControl w:val="0"/>
        <w:spacing w:before="120" w:line="260" w:lineRule="atLeast"/>
      </w:pPr>
      <w:r>
        <w:rPr>
          <w:rFonts w:ascii="Arial" w:eastAsia="Arial" w:hAnsi="Arial" w:cs="Arial"/>
          <w:color w:val="000000"/>
          <w:sz w:val="20"/>
        </w:rPr>
        <w:t>II.</w:t>
      </w:r>
    </w:p>
    <w:p w:rsidR="00E456CD" w:rsidRDefault="00000000">
      <w:pPr>
        <w:pStyle w:val="Normal6"/>
        <w:widowControl w:val="0"/>
        <w:spacing w:before="200" w:line="260" w:lineRule="atLeast"/>
        <w:jc w:val="both"/>
      </w:pPr>
      <w:bookmarkStart w:id="1399" w:name="Bookmark_para_19_3"/>
      <w:bookmarkStart w:id="1400" w:name="Bookmark_I5WBCV102HM6DJ0040000400"/>
      <w:bookmarkStart w:id="1401" w:name="Bookmark_I5WBCV102D6NC00010000400"/>
      <w:bookmarkStart w:id="1402" w:name="Bookmark_LNHNREFclscc1_3"/>
      <w:bookmarkEnd w:id="1399"/>
      <w:bookmarkEnd w:id="1400"/>
      <w:bookmarkEnd w:id="1401"/>
      <w:bookmarkEnd w:id="1402"/>
      <w:r>
        <w:rPr>
          <w:rFonts w:ascii="Arial" w:eastAsia="Arial" w:hAnsi="Arial" w:cs="Arial"/>
          <w:color w:val="000000"/>
          <w:sz w:val="20"/>
        </w:rPr>
        <w:t xml:space="preserve">"We review de novo a district court's summary judgment order." </w:t>
      </w:r>
      <w:bookmarkStart w:id="1403" w:name="Bookmark_I5WBCV102HM6DJ0030000400"/>
      <w:bookmarkEnd w:id="1403"/>
      <w:r>
        <w:rPr>
          <w:rFonts w:ascii="Arial" w:eastAsia="Arial" w:hAnsi="Arial" w:cs="Arial"/>
          <w:i/>
          <w:color w:val="000000"/>
          <w:sz w:val="20"/>
        </w:rPr>
        <w:t>Reyazuddin v. Montgomery County</w:t>
      </w:r>
      <w:r>
        <w:rPr>
          <w:rFonts w:ascii="Arial" w:eastAsia="Arial" w:hAnsi="Arial" w:cs="Arial"/>
          <w:color w:val="000000"/>
          <w:sz w:val="20"/>
        </w:rPr>
        <w:t xml:space="preserve">, 789 F.3d 407, 413 (4th Cir. 2015). </w:t>
      </w:r>
      <w:bookmarkStart w:id="1404" w:name="Bookmark_I5WBCV102D6NC00030000400"/>
      <w:bookmarkEnd w:id="1404"/>
      <w:r>
        <w:rPr>
          <w:rFonts w:ascii="Arial" w:eastAsia="Arial" w:hAnsi="Arial" w:cs="Arial"/>
          <w:color w:val="000000"/>
          <w:sz w:val="20"/>
        </w:rPr>
        <w:t xml:space="preserve">In doing so, we apply the same legal standards as the district court, viewing all facts and drawing all reasonable inferences "in the light most favorable to the non-moving party." </w:t>
      </w:r>
      <w:bookmarkStart w:id="1405" w:name="Bookmark_I5WBCV102HM6DJ0050000400"/>
      <w:bookmarkEnd w:id="1405"/>
      <w:r>
        <w:rPr>
          <w:rFonts w:ascii="Arial" w:eastAsia="Arial" w:hAnsi="Arial" w:cs="Arial"/>
          <w:i/>
          <w:color w:val="000000"/>
          <w:sz w:val="20"/>
        </w:rPr>
        <w:t>Dulaney</w:t>
      </w:r>
      <w:r>
        <w:rPr>
          <w:rFonts w:ascii="Arial" w:eastAsia="Arial" w:hAnsi="Arial" w:cs="Arial"/>
          <w:color w:val="000000"/>
          <w:sz w:val="20"/>
        </w:rPr>
        <w:t xml:space="preserve">, 673 F.3d at 330. We do not weigh conflicting evidence or make credibility determinations. </w:t>
      </w:r>
      <w:bookmarkStart w:id="1406" w:name="Bookmark_I5WBCV102D6NC00030000400_2"/>
      <w:bookmarkStart w:id="1407" w:name="Bookmark_I5WBCV102D6NC00050000400"/>
      <w:bookmarkStart w:id="1408" w:name="Bookmark_I5WBCV102D6NC00020000400"/>
      <w:bookmarkEnd w:id="1406"/>
      <w:bookmarkEnd w:id="1407"/>
      <w:bookmarkEnd w:id="1408"/>
      <w:r>
        <w:rPr>
          <w:rFonts w:ascii="Arial" w:eastAsia="Arial" w:hAnsi="Arial" w:cs="Arial"/>
          <w:i/>
          <w:color w:val="000000"/>
          <w:sz w:val="20"/>
        </w:rPr>
        <w:t>Reyazuddin</w:t>
      </w:r>
      <w:r>
        <w:rPr>
          <w:rFonts w:ascii="Arial" w:eastAsia="Arial" w:hAnsi="Arial" w:cs="Arial"/>
          <w:color w:val="000000"/>
          <w:sz w:val="20"/>
        </w:rPr>
        <w:t xml:space="preserve">, 789 F.3d at 413. </w:t>
      </w:r>
      <w:bookmarkStart w:id="1409" w:name="Bookmark_I5WBCV102D6NC00050000400_2"/>
      <w:bookmarkStart w:id="1410" w:name="Bookmark_LNHNREFclscc2_3"/>
      <w:bookmarkEnd w:id="1409"/>
      <w:bookmarkEnd w:id="1410"/>
      <w:r>
        <w:rPr>
          <w:rFonts w:ascii="Arial" w:eastAsia="Arial" w:hAnsi="Arial" w:cs="Arial"/>
          <w:color w:val="000000"/>
          <w:sz w:val="20"/>
        </w:rPr>
        <w:t xml:space="preserve">If there are genuine issues of material fact that can only be resolved by a factfinder, then the motion for summary judgment must be denied. </w:t>
      </w:r>
      <w:r>
        <w:rPr>
          <w:rFonts w:ascii="Arial" w:eastAsia="Arial" w:hAnsi="Arial" w:cs="Arial"/>
          <w:i/>
          <w:color w:val="000000"/>
          <w:sz w:val="20"/>
        </w:rPr>
        <w:t>Id.</w:t>
      </w:r>
      <w:r>
        <w:rPr>
          <w:rFonts w:ascii="Arial" w:eastAsia="Arial" w:hAnsi="Arial" w:cs="Arial"/>
          <w:color w:val="000000"/>
          <w:sz w:val="20"/>
        </w:rPr>
        <w:t xml:space="preserve"> "A genuine question of material fact exists where, after reviewing the record as a whole, a court finds that a reasonable jury could return a verdict for the nonmoving party." </w:t>
      </w:r>
      <w:bookmarkStart w:id="1411" w:name="Bookmark_I5WBCV102D6NC00040000400"/>
      <w:bookmarkEnd w:id="1411"/>
      <w:r>
        <w:rPr>
          <w:rFonts w:ascii="Arial" w:eastAsia="Arial" w:hAnsi="Arial" w:cs="Arial"/>
          <w:i/>
          <w:color w:val="000000"/>
          <w:sz w:val="20"/>
        </w:rPr>
        <w:t>Dulaney</w:t>
      </w:r>
      <w:r>
        <w:rPr>
          <w:rFonts w:ascii="Arial" w:eastAsia="Arial" w:hAnsi="Arial" w:cs="Arial"/>
          <w:color w:val="000000"/>
          <w:sz w:val="20"/>
        </w:rPr>
        <w:t>, 673 F.3d at 330.</w:t>
      </w:r>
    </w:p>
    <w:p w:rsidR="00E456CD" w:rsidRDefault="00000000">
      <w:pPr>
        <w:pStyle w:val="Normal6"/>
        <w:widowControl w:val="0"/>
        <w:spacing w:before="200" w:line="260" w:lineRule="atLeast"/>
        <w:jc w:val="both"/>
      </w:pPr>
      <w:bookmarkStart w:id="1412" w:name="Bookmark_para_20_3"/>
      <w:bookmarkStart w:id="1413" w:name="Bookmark_I5WBCV1028T3W70020000400"/>
      <w:bookmarkEnd w:id="1412"/>
      <w:bookmarkEnd w:id="1413"/>
      <w:r>
        <w:rPr>
          <w:rFonts w:ascii="Arial" w:eastAsia="Arial" w:hAnsi="Arial" w:cs="Arial"/>
          <w:color w:val="000000"/>
          <w:sz w:val="20"/>
        </w:rPr>
        <w:t>In this case, we view the evidence under the legal standards set forth in the ADA.</w:t>
      </w:r>
      <w:r>
        <w:rPr>
          <w:rFonts w:ascii="Arial" w:eastAsia="Arial" w:hAnsi="Arial" w:cs="Arial"/>
          <w:vertAlign w:val="superscript"/>
        </w:rPr>
        <w:footnoteReference w:customMarkFollows="1" w:id="64"/>
        <w:t>6</w:t>
      </w:r>
      <w:r>
        <w:rPr>
          <w:rFonts w:ascii="Arial" w:eastAsia="Arial" w:hAnsi="Arial" w:cs="Arial"/>
          <w:color w:val="000000"/>
          <w:sz w:val="20"/>
        </w:rPr>
        <w:t xml:space="preserve"> </w:t>
      </w:r>
      <w:bookmarkStart w:id="1419" w:name="Bookmark_LNHNREFclscc3_3"/>
      <w:bookmarkEnd w:id="1419"/>
      <w:r>
        <w:rPr>
          <w:rFonts w:ascii="Arial" w:eastAsia="Arial" w:hAnsi="Arial" w:cs="Arial"/>
          <w:color w:val="000000"/>
          <w:sz w:val="20"/>
        </w:rPr>
        <w:t xml:space="preserve">Congress enacted the ADA "to remedy widespread discrimination against disabled individuals, " </w:t>
      </w:r>
      <w:bookmarkStart w:id="1420" w:name="Bookmark_I5WBCV1028T3W70010000400"/>
      <w:bookmarkEnd w:id="1420"/>
      <w:r>
        <w:rPr>
          <w:rFonts w:ascii="Arial" w:eastAsia="Arial" w:hAnsi="Arial" w:cs="Arial"/>
          <w:i/>
          <w:color w:val="000000"/>
          <w:sz w:val="20"/>
        </w:rPr>
        <w:t>PGA Tour, Inc. v. Martin</w:t>
      </w:r>
      <w:r>
        <w:rPr>
          <w:rFonts w:ascii="Arial" w:eastAsia="Arial" w:hAnsi="Arial" w:cs="Arial"/>
          <w:color w:val="000000"/>
          <w:sz w:val="20"/>
        </w:rPr>
        <w:t>, 532 U.S. 661, 674, 121 S. Ct. 1879, 149 L. Ed. 2d 904 (2001), and to "provide clear, strong, consistent, enforceable standards" addressing that discrimination. 42 U.S.C. § 12101(b)(2). Title III of the ADA provides that "[n]o individual shall be discriminated against on the basis of disability in the full [**9]  and equal enjoyment of the goods, services, facilities, privileges, advantages, or accommodations of any place of public accommodation." 42 U.S.C. § 12182(a).</w:t>
      </w:r>
    </w:p>
    <w:p w:rsidR="00E456CD" w:rsidRDefault="00000000">
      <w:pPr>
        <w:pStyle w:val="Normal6"/>
        <w:widowControl w:val="0"/>
        <w:spacing w:before="200" w:line="260" w:lineRule="atLeast"/>
        <w:jc w:val="both"/>
      </w:pPr>
      <w:bookmarkStart w:id="1421" w:name="Bookmark_para_21_3"/>
      <w:bookmarkStart w:id="1422" w:name="Bookmark_I5WBCV102N1RJD0030000400"/>
      <w:bookmarkStart w:id="1423" w:name="Bookmark_LNHNREFclscc4_3"/>
      <w:bookmarkEnd w:id="1421"/>
      <w:bookmarkEnd w:id="1422"/>
      <w:bookmarkEnd w:id="1423"/>
      <w:r>
        <w:rPr>
          <w:rFonts w:ascii="Arial" w:eastAsia="Arial" w:hAnsi="Arial" w:cs="Arial"/>
          <w:color w:val="000000"/>
          <w:sz w:val="20"/>
        </w:rPr>
        <w:t xml:space="preserve">To prevail under Title III of the ADA, a plaintiff must show that: (1) he is disabled within the meaning of the ADA; [*670]  (2) the defendant owns, leases, or operates a place of public accommodation; and (3) the defendant discriminated against him because of his disability. </w:t>
      </w:r>
      <w:r>
        <w:rPr>
          <w:rFonts w:ascii="Arial" w:eastAsia="Arial" w:hAnsi="Arial" w:cs="Arial"/>
          <w:i/>
          <w:color w:val="000000"/>
          <w:sz w:val="20"/>
        </w:rPr>
        <w:t xml:space="preserve">See </w:t>
      </w:r>
      <w:bookmarkStart w:id="1424" w:name="Bookmark_I5WBCV102N1RJD0020000400"/>
      <w:bookmarkEnd w:id="1424"/>
      <w:r>
        <w:rPr>
          <w:rFonts w:ascii="Arial" w:eastAsia="Arial" w:hAnsi="Arial" w:cs="Arial"/>
          <w:i/>
          <w:color w:val="000000"/>
          <w:sz w:val="20"/>
        </w:rPr>
        <w:t>Ariz. ex rel. Goddard v. Harkins Amusement Enters., Inc.</w:t>
      </w:r>
      <w:r>
        <w:rPr>
          <w:rFonts w:ascii="Arial" w:eastAsia="Arial" w:hAnsi="Arial" w:cs="Arial"/>
          <w:color w:val="000000"/>
          <w:sz w:val="20"/>
        </w:rPr>
        <w:t xml:space="preserve">, 603 F.3d 666, 670 (9th Cir. 2010); </w:t>
      </w:r>
      <w:bookmarkStart w:id="1425" w:name="Bookmark_I5WBCV102N1RJD0040000400"/>
      <w:bookmarkEnd w:id="1425"/>
      <w:r>
        <w:rPr>
          <w:rFonts w:ascii="Arial" w:eastAsia="Arial" w:hAnsi="Arial" w:cs="Arial"/>
          <w:i/>
          <w:color w:val="000000"/>
          <w:sz w:val="20"/>
        </w:rPr>
        <w:t>Camarillo v. Carrols Corp.</w:t>
      </w:r>
      <w:r>
        <w:rPr>
          <w:rFonts w:ascii="Arial" w:eastAsia="Arial" w:hAnsi="Arial" w:cs="Arial"/>
          <w:color w:val="000000"/>
          <w:sz w:val="20"/>
        </w:rPr>
        <w:t xml:space="preserve">, 518 F.3d 153, 156 (2d Cir. 2008); </w:t>
      </w:r>
      <w:r>
        <w:rPr>
          <w:rFonts w:ascii="Arial" w:eastAsia="Arial" w:hAnsi="Arial" w:cs="Arial"/>
          <w:i/>
          <w:color w:val="000000"/>
          <w:sz w:val="20"/>
        </w:rPr>
        <w:t xml:space="preserve">see also </w:t>
      </w:r>
      <w:bookmarkStart w:id="1426" w:name="Bookmark_I5WBCV102HM6DK0010000400"/>
      <w:bookmarkEnd w:id="1426"/>
      <w:r>
        <w:rPr>
          <w:rFonts w:ascii="Arial" w:eastAsia="Arial" w:hAnsi="Arial" w:cs="Arial"/>
          <w:i/>
          <w:color w:val="000000"/>
          <w:sz w:val="20"/>
        </w:rPr>
        <w:t>Nat'l Fed'n of the Blind v. Lamone</w:t>
      </w:r>
      <w:r>
        <w:rPr>
          <w:rFonts w:ascii="Arial" w:eastAsia="Arial" w:hAnsi="Arial" w:cs="Arial"/>
          <w:color w:val="000000"/>
          <w:sz w:val="20"/>
        </w:rPr>
        <w:t>, 813 F.3d 494, 502-03 (4th Cir. 2016) (laying out similar standards under Title II of the ADA).</w:t>
      </w:r>
    </w:p>
    <w:p w:rsidR="00E456CD" w:rsidRDefault="00000000">
      <w:pPr>
        <w:pStyle w:val="Normal6"/>
        <w:widowControl w:val="0"/>
        <w:spacing w:before="200" w:line="260" w:lineRule="atLeast"/>
        <w:jc w:val="both"/>
      </w:pPr>
      <w:bookmarkStart w:id="1427" w:name="Bookmark_para_22_3"/>
      <w:bookmarkEnd w:id="1427"/>
      <w:r>
        <w:rPr>
          <w:rFonts w:ascii="Arial" w:eastAsia="Arial" w:hAnsi="Arial" w:cs="Arial"/>
          <w:color w:val="000000"/>
          <w:sz w:val="20"/>
        </w:rPr>
        <w:t xml:space="preserve">The parties don't dispute the second element since restaurants are expressly designated places of public accommodation. </w:t>
      </w:r>
      <w:r>
        <w:rPr>
          <w:rFonts w:ascii="Arial" w:eastAsia="Arial" w:hAnsi="Arial" w:cs="Arial"/>
          <w:i/>
          <w:color w:val="000000"/>
          <w:sz w:val="20"/>
        </w:rPr>
        <w:t>See</w:t>
      </w:r>
      <w:r>
        <w:rPr>
          <w:rFonts w:ascii="Arial" w:eastAsia="Arial" w:hAnsi="Arial" w:cs="Arial"/>
          <w:color w:val="000000"/>
          <w:sz w:val="20"/>
        </w:rPr>
        <w:t xml:space="preserve"> 42 U.S.C. § 12181(7)(B). Thus, we turn to consider the record evidence on whether J.D. is disabled, and whether Colonial Williamsburg discriminated against J.D. because of his disability.</w:t>
      </w:r>
    </w:p>
    <w:p w:rsidR="00E456CD" w:rsidRDefault="00000000">
      <w:pPr>
        <w:pStyle w:val="Normal6"/>
        <w:widowControl w:val="0"/>
        <w:spacing w:before="120" w:line="260" w:lineRule="atLeast"/>
      </w:pPr>
      <w:r>
        <w:rPr>
          <w:rFonts w:ascii="Arial" w:eastAsia="Arial" w:hAnsi="Arial" w:cs="Arial"/>
          <w:color w:val="000000"/>
          <w:sz w:val="20"/>
        </w:rPr>
        <w:t>III.</w:t>
      </w:r>
    </w:p>
    <w:p w:rsidR="00E456CD" w:rsidRDefault="00000000">
      <w:pPr>
        <w:pStyle w:val="Normal6"/>
        <w:widowControl w:val="0"/>
        <w:spacing w:before="200" w:line="260" w:lineRule="atLeast"/>
        <w:jc w:val="both"/>
      </w:pPr>
      <w:bookmarkStart w:id="1428" w:name="Bookmark_para_23_3"/>
      <w:bookmarkEnd w:id="1428"/>
      <w:r>
        <w:rPr>
          <w:rFonts w:ascii="Arial" w:eastAsia="Arial" w:hAnsi="Arial" w:cs="Arial"/>
          <w:color w:val="000000"/>
          <w:sz w:val="20"/>
        </w:rPr>
        <w:t xml:space="preserve">The district court held that there was a genuine dispute of material fact as to whether J.D. is disabled, denying summary judgment to Colonial Williamsburg on this first issue. </w:t>
      </w:r>
      <w:bookmarkStart w:id="1429" w:name="Bookmark_LNHNREFclscc5_3"/>
      <w:bookmarkEnd w:id="1429"/>
      <w:r>
        <w:rPr>
          <w:rFonts w:ascii="Arial" w:eastAsia="Arial" w:hAnsi="Arial" w:cs="Arial"/>
          <w:color w:val="000000"/>
          <w:sz w:val="20"/>
        </w:rPr>
        <w:t xml:space="preserve">The ADA defines a "disability" in pertinent part as "a physical or mental impairment that substantially limits one or more major life activities." 42 U.S.C. § 12102(1)(A). An impairment means "[a]ny physiological disorder or condition" that affects "one or more body systems," [**10]  such as the neurological, digestive, or immune systems. 28 C.F.R. § 36.105(b)(1)(i). "[N]ot every impairment will constitute a disability within the meaning of this section," but it will meet the definition if "it substantially limits the ability of an individual to perform a major life activity as compared to most people in the general population." </w:t>
      </w:r>
      <w:r>
        <w:rPr>
          <w:rFonts w:ascii="Arial" w:eastAsia="Arial" w:hAnsi="Arial" w:cs="Arial"/>
          <w:i/>
          <w:color w:val="000000"/>
          <w:sz w:val="20"/>
        </w:rPr>
        <w:t>Id.</w:t>
      </w:r>
      <w:r>
        <w:rPr>
          <w:rFonts w:ascii="Arial" w:eastAsia="Arial" w:hAnsi="Arial" w:cs="Arial"/>
          <w:color w:val="000000"/>
          <w:sz w:val="20"/>
        </w:rPr>
        <w:t xml:space="preserve"> § 36.105(d)(1)(v). Eating is a major life activity. </w:t>
      </w:r>
      <w:r>
        <w:rPr>
          <w:rFonts w:ascii="Arial" w:eastAsia="Arial" w:hAnsi="Arial" w:cs="Arial"/>
          <w:i/>
          <w:color w:val="000000"/>
          <w:sz w:val="20"/>
        </w:rPr>
        <w:t>Id.</w:t>
      </w:r>
      <w:r>
        <w:rPr>
          <w:rFonts w:ascii="Arial" w:eastAsia="Arial" w:hAnsi="Arial" w:cs="Arial"/>
          <w:color w:val="000000"/>
          <w:sz w:val="20"/>
        </w:rPr>
        <w:t xml:space="preserve"> § 36.105(c)(1)(i).</w:t>
      </w:r>
    </w:p>
    <w:p w:rsidR="00E456CD" w:rsidRDefault="00000000">
      <w:pPr>
        <w:pStyle w:val="Normal6"/>
        <w:widowControl w:val="0"/>
        <w:spacing w:before="200" w:line="260" w:lineRule="atLeast"/>
        <w:jc w:val="both"/>
      </w:pPr>
      <w:bookmarkStart w:id="1430" w:name="Bookmark_para_24_2"/>
      <w:bookmarkEnd w:id="1430"/>
      <w:r>
        <w:rPr>
          <w:rFonts w:ascii="Arial" w:eastAsia="Arial" w:hAnsi="Arial" w:cs="Arial"/>
          <w:color w:val="000000"/>
          <w:sz w:val="20"/>
        </w:rPr>
        <w:t>Here, the district court observed that the record is unclear regarding the nature and extent of J.D.'s impairment. For example, it's unclear whether J.D. has celiac disease or the less severe non-celiac gluten insensitivity, or for that matter which of his symptoms are actually caused or exacerbated by the ingestion of gluten. But viewing the facts in the light most favorable to the plaintiff, the court believed that J.D.'s impairment could qualify as a disability under the ADA.</w:t>
      </w:r>
    </w:p>
    <w:p w:rsidR="00E456CD" w:rsidRDefault="00000000">
      <w:pPr>
        <w:pStyle w:val="Normal6"/>
        <w:widowControl w:val="0"/>
        <w:spacing w:before="200" w:line="260" w:lineRule="atLeast"/>
        <w:jc w:val="both"/>
      </w:pPr>
      <w:bookmarkStart w:id="1431" w:name="Bookmark_para_25_2"/>
      <w:bookmarkEnd w:id="1431"/>
      <w:r>
        <w:rPr>
          <w:rFonts w:ascii="Arial" w:eastAsia="Arial" w:hAnsi="Arial" w:cs="Arial"/>
          <w:color w:val="000000"/>
          <w:sz w:val="20"/>
        </w:rPr>
        <w:t>Colonial Williamsburg argues that, even if J.D.'s gluten sensitivity causes all of the symptoms he claims, the district court erred in denying summary judgment on this issue because J.D. can simply avoid foods that contain gluten. As a result, his impairment doesn't "substantially limit" a major life activity. We disagree.</w:t>
      </w:r>
    </w:p>
    <w:p w:rsidR="00E456CD" w:rsidRDefault="00000000">
      <w:pPr>
        <w:pStyle w:val="Normal6"/>
        <w:widowControl w:val="0"/>
        <w:spacing w:before="200" w:line="260" w:lineRule="atLeast"/>
        <w:jc w:val="both"/>
      </w:pPr>
      <w:bookmarkStart w:id="1432" w:name="Bookmark_para_26_2"/>
      <w:bookmarkStart w:id="1433" w:name="Bookmark_I5WBCV102HM6DK0040000400"/>
      <w:bookmarkStart w:id="1434" w:name="Bookmark_LNHNREFclscc6_3"/>
      <w:bookmarkEnd w:id="1432"/>
      <w:bookmarkEnd w:id="1433"/>
      <w:bookmarkEnd w:id="1434"/>
      <w:r>
        <w:rPr>
          <w:rFonts w:ascii="Arial" w:eastAsia="Arial" w:hAnsi="Arial" w:cs="Arial"/>
          <w:color w:val="000000"/>
          <w:sz w:val="20"/>
        </w:rPr>
        <w:t xml:space="preserve">In considering whether an [**11]  impairment substantially limits an individual in a major life activity, we construe the statutory text "broadly in favor of expansive coverage," keeping in mind that the language "is not meant to be a demanding standard." 28 C.F.R. § 36.105(d)(1)(i). </w:t>
      </w:r>
      <w:bookmarkStart w:id="1435" w:name="Bookmark_I5WBCV102D6NC10010000400"/>
      <w:bookmarkEnd w:id="1435"/>
      <w:r>
        <w:rPr>
          <w:rFonts w:ascii="Arial" w:eastAsia="Arial" w:hAnsi="Arial" w:cs="Arial"/>
          <w:color w:val="000000"/>
          <w:sz w:val="20"/>
        </w:rPr>
        <w:t xml:space="preserve">This interpretation is consistent with the purpose of the ADA Amendments Act of 2008 ("ADAAA"), which was passed to "reinstat[e] a broad scope of protection to be available under the ADA." </w:t>
      </w:r>
      <w:bookmarkStart w:id="1436" w:name="Bookmark_I5WBCV102HM6DK0030000400"/>
      <w:bookmarkEnd w:id="1436"/>
      <w:r>
        <w:rPr>
          <w:rFonts w:ascii="Arial" w:eastAsia="Arial" w:hAnsi="Arial" w:cs="Arial"/>
          <w:i/>
          <w:color w:val="000000"/>
          <w:sz w:val="20"/>
        </w:rPr>
        <w:t>Summers v. Altarum Inst., Corp.</w:t>
      </w:r>
      <w:r>
        <w:rPr>
          <w:rFonts w:ascii="Arial" w:eastAsia="Arial" w:hAnsi="Arial" w:cs="Arial"/>
          <w:color w:val="000000"/>
          <w:sz w:val="20"/>
        </w:rPr>
        <w:t xml:space="preserve">, 740 F.3d 325, 329 (4th Cir. 2014) (quoting Pub. L. No. 110-325, § 2(b)(1), 122 Stat. 3553). Furthermore, the ADAAA makes explicit that the "substantially limits" inquiry is to be made "without regard to the ameliorative effects of mitigating measures," such as "learned behavioral . . . modifications." 42 U.S.C. § 12102(4)(E)(i). </w:t>
      </w:r>
      <w:bookmarkStart w:id="1437" w:name="Bookmark_I5WBCV102D6NC10010000400_2"/>
      <w:bookmarkEnd w:id="1437"/>
      <w:r>
        <w:rPr>
          <w:rFonts w:ascii="Arial" w:eastAsia="Arial" w:hAnsi="Arial" w:cs="Arial"/>
          <w:color w:val="000000"/>
          <w:sz w:val="20"/>
        </w:rPr>
        <w:t>Instead, we are to consider impairments in their "</w:t>
      </w:r>
      <w:r>
        <w:rPr>
          <w:rFonts w:ascii="Arial" w:eastAsia="Arial" w:hAnsi="Arial" w:cs="Arial"/>
          <w:i/>
          <w:color w:val="000000"/>
          <w:sz w:val="20"/>
        </w:rPr>
        <w:t>unmitigated</w:t>
      </w:r>
      <w:r>
        <w:rPr>
          <w:rFonts w:ascii="Arial" w:eastAsia="Arial" w:hAnsi="Arial" w:cs="Arial"/>
          <w:color w:val="000000"/>
          <w:sz w:val="20"/>
        </w:rPr>
        <w:t xml:space="preserve"> state." </w:t>
      </w:r>
      <w:bookmarkStart w:id="1438" w:name="Bookmark_I5WBCV102HM6DK0050000400"/>
      <w:bookmarkEnd w:id="1438"/>
      <w:r>
        <w:rPr>
          <w:rFonts w:ascii="Arial" w:eastAsia="Arial" w:hAnsi="Arial" w:cs="Arial"/>
          <w:i/>
          <w:color w:val="000000"/>
          <w:sz w:val="20"/>
        </w:rPr>
        <w:t>Rohr v. Salt River Project Agric. Improvement &amp; Power Dist.</w:t>
      </w:r>
      <w:r>
        <w:rPr>
          <w:rFonts w:ascii="Arial" w:eastAsia="Arial" w:hAnsi="Arial" w:cs="Arial"/>
          <w:color w:val="000000"/>
          <w:sz w:val="20"/>
        </w:rPr>
        <w:t>, 555 F.3d 850, 862 (9th Cir. 2009).</w:t>
      </w:r>
    </w:p>
    <w:p w:rsidR="00E456CD" w:rsidRDefault="00000000">
      <w:pPr>
        <w:pStyle w:val="Normal6"/>
        <w:widowControl w:val="0"/>
        <w:spacing w:before="200" w:line="260" w:lineRule="atLeast"/>
        <w:jc w:val="both"/>
      </w:pPr>
      <w:bookmarkStart w:id="1439" w:name="Bookmark_para_27_2"/>
      <w:bookmarkEnd w:id="1439"/>
      <w:r>
        <w:rPr>
          <w:rFonts w:ascii="Arial" w:eastAsia="Arial" w:hAnsi="Arial" w:cs="Arial"/>
          <w:color w:val="000000"/>
          <w:sz w:val="20"/>
        </w:rPr>
        <w:t xml:space="preserve">Here, we agree with the district court that J.D.'s need to maintain a strict diet is a learned behavioral modification, which  [*671]  the court was prohibited from considering. In other words, the district court was required to consider the effects of J.D.'s impairment when he's not on a strict gluten-free diet. </w:t>
      </w:r>
      <w:r>
        <w:rPr>
          <w:rFonts w:ascii="Arial" w:eastAsia="Arial" w:hAnsi="Arial" w:cs="Arial"/>
          <w:i/>
          <w:color w:val="000000"/>
          <w:sz w:val="20"/>
        </w:rPr>
        <w:t>See id.</w:t>
      </w:r>
      <w:r>
        <w:rPr>
          <w:rFonts w:ascii="Arial" w:eastAsia="Arial" w:hAnsi="Arial" w:cs="Arial"/>
          <w:color w:val="000000"/>
          <w:sz w:val="20"/>
        </w:rPr>
        <w:t xml:space="preserve"> ("[D]iabetes will be assessed in terms of its limitations on major life activities when the diabetic does </w:t>
      </w:r>
      <w:r>
        <w:rPr>
          <w:rFonts w:ascii="Arial" w:eastAsia="Arial" w:hAnsi="Arial" w:cs="Arial"/>
          <w:i/>
          <w:color w:val="000000"/>
          <w:sz w:val="20"/>
        </w:rPr>
        <w:t>not</w:t>
      </w:r>
      <w:r>
        <w:rPr>
          <w:rFonts w:ascii="Arial" w:eastAsia="Arial" w:hAnsi="Arial" w:cs="Arial"/>
          <w:color w:val="000000"/>
          <w:sz w:val="20"/>
        </w:rPr>
        <w:t xml:space="preserve"> take insulin injections or medicine and does not require behavioral adaptations such as a strict [**12]  diet."). As the district court observed, J.D. submitted extensive evidence about the serious consequences to his health when he ingests gluten. </w:t>
      </w:r>
      <w:bookmarkStart w:id="1440" w:name="Bookmark_I5WBCV102D6NC10030000400"/>
      <w:bookmarkEnd w:id="1440"/>
      <w:r>
        <w:rPr>
          <w:rFonts w:ascii="Arial" w:eastAsia="Arial" w:hAnsi="Arial" w:cs="Arial"/>
          <w:color w:val="000000"/>
          <w:sz w:val="20"/>
        </w:rPr>
        <w:t xml:space="preserve">That J.D. can avoid these symptoms when he maintains a gluten-free diet is immaterial because it runs counter to the clear mandate of the ADAAA. For that reason, we also find unpersuasive those cases pre-dating the ADAAA that considered such mitigating measures. </w:t>
      </w:r>
      <w:r>
        <w:rPr>
          <w:rFonts w:ascii="Arial" w:eastAsia="Arial" w:hAnsi="Arial" w:cs="Arial"/>
          <w:i/>
          <w:color w:val="000000"/>
          <w:sz w:val="20"/>
        </w:rPr>
        <w:t>See, e.g.</w:t>
      </w:r>
      <w:r>
        <w:rPr>
          <w:rFonts w:ascii="Arial" w:eastAsia="Arial" w:hAnsi="Arial" w:cs="Arial"/>
          <w:color w:val="000000"/>
          <w:sz w:val="20"/>
        </w:rPr>
        <w:t xml:space="preserve">, </w:t>
      </w:r>
      <w:bookmarkStart w:id="1441" w:name="Bookmark_I5WBCV102D6NC10020000400"/>
      <w:bookmarkEnd w:id="1441"/>
      <w:r>
        <w:rPr>
          <w:rFonts w:ascii="Arial" w:eastAsia="Arial" w:hAnsi="Arial" w:cs="Arial"/>
          <w:i/>
          <w:color w:val="000000"/>
          <w:sz w:val="20"/>
        </w:rPr>
        <w:t>Land v. Baptist Med. Ctr.</w:t>
      </w:r>
      <w:r>
        <w:rPr>
          <w:rFonts w:ascii="Arial" w:eastAsia="Arial" w:hAnsi="Arial" w:cs="Arial"/>
          <w:color w:val="000000"/>
          <w:sz w:val="20"/>
        </w:rPr>
        <w:t>, 164 F.3d 423, 425 (8th Cir. 1999) (finding plaintiff's allergies did not constitute a disability because she could avoid peanut products).</w:t>
      </w:r>
    </w:p>
    <w:p w:rsidR="00E456CD" w:rsidRDefault="00000000">
      <w:pPr>
        <w:pStyle w:val="Normal6"/>
        <w:widowControl w:val="0"/>
        <w:spacing w:before="200" w:line="260" w:lineRule="atLeast"/>
        <w:jc w:val="both"/>
      </w:pPr>
      <w:bookmarkStart w:id="1442" w:name="Bookmark_para_28_2"/>
      <w:bookmarkStart w:id="1443" w:name="Bookmark_I5WBCV102D6NC10050000400"/>
      <w:bookmarkEnd w:id="1442"/>
      <w:bookmarkEnd w:id="1443"/>
      <w:r>
        <w:rPr>
          <w:rFonts w:ascii="Arial" w:eastAsia="Arial" w:hAnsi="Arial" w:cs="Arial"/>
          <w:color w:val="000000"/>
          <w:sz w:val="20"/>
        </w:rPr>
        <w:t xml:space="preserve">To be sure, no one can eat whatever he or she desires without experiencing some negative health effects. Nonetheless, we must "permit those who are disabled because of severe dietary restrictions to enjoy the protections of the ADA." </w:t>
      </w:r>
      <w:bookmarkStart w:id="1444" w:name="Bookmark_I5WBCV102D6NC10040000400"/>
      <w:bookmarkEnd w:id="1444"/>
      <w:r>
        <w:rPr>
          <w:rFonts w:ascii="Arial" w:eastAsia="Arial" w:hAnsi="Arial" w:cs="Arial"/>
          <w:i/>
          <w:color w:val="000000"/>
          <w:sz w:val="20"/>
        </w:rPr>
        <w:t>Fraser v. Goodale</w:t>
      </w:r>
      <w:r>
        <w:rPr>
          <w:rFonts w:ascii="Arial" w:eastAsia="Arial" w:hAnsi="Arial" w:cs="Arial"/>
          <w:color w:val="000000"/>
          <w:sz w:val="20"/>
        </w:rPr>
        <w:t>, 342 F.3d 1032, 1041 (9th Cir. 2003). The evidence here—which a jury may choose to credit or not—is that J.D. and his parents must remain vigilant because the ingestion of even a small amount of gluten may have serious consequences for J.D.'s health. Unlike a person with simple diet restrictions, J.D. says that he must monitor everything he eats. And unlike a person with simple diet restrictions, J.D. alleges that he doesn't enjoy much (if any) margin for error.</w:t>
      </w:r>
    </w:p>
    <w:p w:rsidR="00E456CD" w:rsidRDefault="00000000">
      <w:pPr>
        <w:pStyle w:val="Normal6"/>
        <w:widowControl w:val="0"/>
        <w:spacing w:before="200" w:line="260" w:lineRule="atLeast"/>
        <w:jc w:val="both"/>
      </w:pPr>
      <w:bookmarkStart w:id="1445" w:name="Bookmark_para_29_2"/>
      <w:bookmarkEnd w:id="1445"/>
      <w:r>
        <w:rPr>
          <w:rFonts w:ascii="Arial" w:eastAsia="Arial" w:hAnsi="Arial" w:cs="Arial"/>
          <w:color w:val="000000"/>
          <w:sz w:val="20"/>
        </w:rPr>
        <w:t>In short, the [**13]  district court correctly determined that J.D. has raised a genuine dispute of material fact as to whether he is disabled within the meaning of the ADA.</w:t>
      </w:r>
    </w:p>
    <w:p w:rsidR="00E456CD" w:rsidRDefault="00000000">
      <w:pPr>
        <w:pStyle w:val="Normal6"/>
        <w:widowControl w:val="0"/>
        <w:spacing w:before="120" w:line="260" w:lineRule="atLeast"/>
      </w:pPr>
      <w:r>
        <w:rPr>
          <w:rFonts w:ascii="Arial" w:eastAsia="Arial" w:hAnsi="Arial" w:cs="Arial"/>
          <w:color w:val="000000"/>
          <w:sz w:val="20"/>
        </w:rPr>
        <w:t>IV.</w:t>
      </w:r>
    </w:p>
    <w:p w:rsidR="00E456CD" w:rsidRDefault="00000000">
      <w:pPr>
        <w:pStyle w:val="Normal6"/>
        <w:widowControl w:val="0"/>
        <w:spacing w:before="200" w:line="260" w:lineRule="atLeast"/>
        <w:jc w:val="both"/>
      </w:pPr>
      <w:bookmarkStart w:id="1446" w:name="Bookmark_para_30_2"/>
      <w:bookmarkEnd w:id="1446"/>
      <w:r>
        <w:rPr>
          <w:rFonts w:ascii="Arial" w:eastAsia="Arial" w:hAnsi="Arial" w:cs="Arial"/>
          <w:color w:val="000000"/>
          <w:sz w:val="20"/>
        </w:rPr>
        <w:t>We next consider whether Colonial Williamsburg discriminated against J.D. because of his disability. The ADA defines discrimination, in part, as:</w:t>
      </w:r>
    </w:p>
    <w:p w:rsidR="00E456CD" w:rsidRDefault="00000000">
      <w:pPr>
        <w:pStyle w:val="Normal6"/>
        <w:widowControl w:val="0"/>
        <w:spacing w:before="200" w:line="260" w:lineRule="atLeast"/>
        <w:ind w:left="400"/>
        <w:jc w:val="both"/>
      </w:pPr>
      <w:bookmarkStart w:id="1447" w:name="Bookmark_para_31_2"/>
      <w:bookmarkEnd w:id="1447"/>
      <w:r>
        <w:rPr>
          <w:rFonts w:ascii="Arial" w:eastAsia="Arial" w:hAnsi="Arial" w:cs="Arial"/>
          <w:color w:val="000000"/>
          <w:sz w:val="20"/>
        </w:rPr>
        <w:t xml:space="preserve">a failure to make </w:t>
      </w:r>
      <w:r>
        <w:rPr>
          <w:rFonts w:ascii="Arial" w:eastAsia="Arial" w:hAnsi="Arial" w:cs="Arial"/>
          <w:i/>
          <w:color w:val="000000"/>
          <w:sz w:val="20"/>
        </w:rPr>
        <w:t>reasonable</w:t>
      </w:r>
      <w:r>
        <w:rPr>
          <w:rFonts w:ascii="Arial" w:eastAsia="Arial" w:hAnsi="Arial" w:cs="Arial"/>
          <w:color w:val="000000"/>
          <w:sz w:val="20"/>
        </w:rPr>
        <w:t xml:space="preserve"> modifications in policies, practices, or procedures, when such modifications are </w:t>
      </w:r>
      <w:r>
        <w:rPr>
          <w:rFonts w:ascii="Arial" w:eastAsia="Arial" w:hAnsi="Arial" w:cs="Arial"/>
          <w:i/>
          <w:color w:val="000000"/>
          <w:sz w:val="20"/>
        </w:rPr>
        <w:t>necessary</w:t>
      </w:r>
      <w:r>
        <w:rPr>
          <w:rFonts w:ascii="Arial" w:eastAsia="Arial" w:hAnsi="Arial" w:cs="Arial"/>
          <w:color w:val="000000"/>
          <w:sz w:val="20"/>
        </w:rPr>
        <w:t xml:space="preserve"> to afford such goods, services, facilities, privileges, advantages, or accommodations to individuals with disabilities, unless the entity can demonstrate that making such modifications would </w:t>
      </w:r>
      <w:r>
        <w:rPr>
          <w:rFonts w:ascii="Arial" w:eastAsia="Arial" w:hAnsi="Arial" w:cs="Arial"/>
          <w:i/>
          <w:color w:val="000000"/>
          <w:sz w:val="20"/>
        </w:rPr>
        <w:t>fundamentally alter</w:t>
      </w:r>
      <w:r>
        <w:rPr>
          <w:rFonts w:ascii="Arial" w:eastAsia="Arial" w:hAnsi="Arial" w:cs="Arial"/>
          <w:color w:val="000000"/>
          <w:sz w:val="20"/>
        </w:rPr>
        <w:t xml:space="preserve"> the nature of such goods, services, [etc.].</w:t>
      </w:r>
    </w:p>
    <w:p w:rsidR="00E456CD" w:rsidRDefault="00000000">
      <w:pPr>
        <w:pStyle w:val="Normal6"/>
        <w:widowControl w:val="0"/>
        <w:spacing w:line="260" w:lineRule="atLeast"/>
        <w:jc w:val="both"/>
      </w:pPr>
      <w:r>
        <w:rPr>
          <w:rFonts w:ascii="Arial" w:eastAsia="Arial" w:hAnsi="Arial" w:cs="Arial"/>
          <w:color w:val="000000"/>
          <w:sz w:val="20"/>
        </w:rPr>
        <w:t>42 U.S.C. § 12182(b)(2)(A)(ii) (emphases added).</w:t>
      </w:r>
    </w:p>
    <w:p w:rsidR="00E456CD" w:rsidRDefault="00000000">
      <w:pPr>
        <w:pStyle w:val="Normal6"/>
        <w:widowControl w:val="0"/>
        <w:spacing w:before="200" w:line="260" w:lineRule="atLeast"/>
        <w:jc w:val="both"/>
      </w:pPr>
      <w:bookmarkStart w:id="1448" w:name="Bookmark_para_32_2"/>
      <w:bookmarkStart w:id="1449" w:name="Bookmark_I5VD0F0VDRB0000646000035"/>
      <w:bookmarkStart w:id="1450" w:name="Bookmark_I5WBCV102SF8GT0020000400"/>
      <w:bookmarkEnd w:id="1448"/>
      <w:bookmarkEnd w:id="1449"/>
      <w:bookmarkEnd w:id="1450"/>
      <w:r>
        <w:rPr>
          <w:rFonts w:ascii="Arial" w:eastAsia="Arial" w:hAnsi="Arial" w:cs="Arial"/>
          <w:color w:val="000000"/>
          <w:sz w:val="20"/>
        </w:rPr>
        <w:t xml:space="preserve">The Supreme Court has explained that </w:t>
      </w:r>
      <w:bookmarkStart w:id="1451" w:name="Bookmark_LNHNREFclscc7_3"/>
      <w:bookmarkEnd w:id="1451"/>
      <w:r>
        <w:rPr>
          <w:rFonts w:ascii="Arial" w:eastAsia="Arial" w:hAnsi="Arial" w:cs="Arial"/>
          <w:color w:val="000000"/>
          <w:sz w:val="20"/>
        </w:rPr>
        <w:t xml:space="preserve">this provision "contemplates three inquiries": (1) whether the requested modification is "necessary" for the disabled individual; (2) whether it is "reasonable"; and (3) whether it would "fundamentally alter the nature" of the public accommodation. </w:t>
      </w:r>
      <w:bookmarkStart w:id="1452" w:name="Bookmark_I5WBCV102SF8GT0040000400"/>
      <w:bookmarkStart w:id="1453" w:name="Bookmark_I5WBCV102SF8GT0010000400"/>
      <w:bookmarkEnd w:id="1452"/>
      <w:bookmarkEnd w:id="1453"/>
      <w:r>
        <w:rPr>
          <w:rFonts w:ascii="Arial" w:eastAsia="Arial" w:hAnsi="Arial" w:cs="Arial"/>
          <w:i/>
          <w:color w:val="000000"/>
          <w:sz w:val="20"/>
        </w:rPr>
        <w:t>Martin</w:t>
      </w:r>
      <w:r>
        <w:rPr>
          <w:rFonts w:ascii="Arial" w:eastAsia="Arial" w:hAnsi="Arial" w:cs="Arial"/>
          <w:color w:val="000000"/>
          <w:sz w:val="20"/>
        </w:rPr>
        <w:t xml:space="preserve">, 532 U.S. at 683 n.38. The plaintiff bears the burden of proving that the requested modification is both necessary and reasonable; the defendant bears the burden of proving that the requested modification would be a fundamental alteration. </w:t>
      </w:r>
      <w:bookmarkStart w:id="1454" w:name="Bookmark_I5WBCV102SF8GT0040000400_2"/>
      <w:bookmarkStart w:id="1455" w:name="Bookmark_I5WBCV102N1RJF0030000400"/>
      <w:bookmarkEnd w:id="1454"/>
      <w:bookmarkEnd w:id="1455"/>
      <w:r>
        <w:rPr>
          <w:rFonts w:ascii="Arial" w:eastAsia="Arial" w:hAnsi="Arial" w:cs="Arial"/>
          <w:i/>
          <w:color w:val="000000"/>
          <w:sz w:val="20"/>
        </w:rPr>
        <w:t xml:space="preserve">See [**14]  </w:t>
      </w:r>
      <w:bookmarkStart w:id="1456" w:name="Bookmark_I5WBCV102SF8GT0030000400"/>
      <w:bookmarkEnd w:id="1456"/>
      <w:r>
        <w:rPr>
          <w:rFonts w:ascii="Arial" w:eastAsia="Arial" w:hAnsi="Arial" w:cs="Arial"/>
          <w:i/>
          <w:color w:val="000000"/>
          <w:sz w:val="20"/>
        </w:rPr>
        <w:t>Lamone</w:t>
      </w:r>
      <w:r>
        <w:rPr>
          <w:rFonts w:ascii="Arial" w:eastAsia="Arial" w:hAnsi="Arial" w:cs="Arial"/>
          <w:color w:val="000000"/>
          <w:sz w:val="20"/>
        </w:rPr>
        <w:t xml:space="preserve">, 813 F.3d at 507-08; </w:t>
      </w:r>
      <w:bookmarkStart w:id="1457" w:name="Bookmark_I5WBCV102SF8GT0050000400"/>
      <w:bookmarkEnd w:id="1457"/>
      <w:r>
        <w:rPr>
          <w:rFonts w:ascii="Arial" w:eastAsia="Arial" w:hAnsi="Arial" w:cs="Arial"/>
          <w:i/>
          <w:color w:val="000000"/>
          <w:sz w:val="20"/>
        </w:rPr>
        <w:t>A.L. ex rel. D.L. v. Walt Disney Parks &amp; Resorts US, Inc.</w:t>
      </w:r>
      <w:r>
        <w:rPr>
          <w:rFonts w:ascii="Arial" w:eastAsia="Arial" w:hAnsi="Arial" w:cs="Arial"/>
          <w:color w:val="000000"/>
          <w:sz w:val="20"/>
        </w:rPr>
        <w:t xml:space="preserve">, 900 F.3d 1270, 1292 (11th Cir. 2018). </w:t>
      </w:r>
      <w:bookmarkStart w:id="1458" w:name="Bookmark_I5WBCV102N1RJF0030000400_2"/>
      <w:bookmarkEnd w:id="1458"/>
      <w:r>
        <w:rPr>
          <w:rFonts w:ascii="Arial" w:eastAsia="Arial" w:hAnsi="Arial" w:cs="Arial"/>
          <w:color w:val="000000"/>
          <w:sz w:val="20"/>
        </w:rPr>
        <w:t xml:space="preserve">For each step, the ADA requires an "individualized inquiry" based on particular circumstances. </w:t>
      </w:r>
      <w:bookmarkStart w:id="1459" w:name="Bookmark_I5WBCV102N1RJF0020000400"/>
      <w:bookmarkEnd w:id="1459"/>
      <w:r>
        <w:rPr>
          <w:rFonts w:ascii="Arial" w:eastAsia="Arial" w:hAnsi="Arial" w:cs="Arial"/>
          <w:i/>
          <w:color w:val="000000"/>
          <w:sz w:val="20"/>
        </w:rPr>
        <w:t>Martin</w:t>
      </w:r>
      <w:r>
        <w:rPr>
          <w:rFonts w:ascii="Arial" w:eastAsia="Arial" w:hAnsi="Arial" w:cs="Arial"/>
          <w:color w:val="000000"/>
          <w:sz w:val="20"/>
        </w:rPr>
        <w:t>, 532 U.S. at 688.</w:t>
      </w:r>
    </w:p>
    <w:p w:rsidR="00E456CD" w:rsidRDefault="00000000">
      <w:pPr>
        <w:pStyle w:val="Normal6"/>
        <w:widowControl w:val="0"/>
        <w:spacing w:before="200" w:line="260" w:lineRule="atLeast"/>
        <w:jc w:val="both"/>
      </w:pPr>
      <w:bookmarkStart w:id="1460" w:name="Bookmark_para_33_2"/>
      <w:bookmarkEnd w:id="1460"/>
      <w:r>
        <w:rPr>
          <w:rFonts w:ascii="Arial" w:eastAsia="Arial" w:hAnsi="Arial" w:cs="Arial"/>
          <w:color w:val="000000"/>
          <w:sz w:val="20"/>
        </w:rPr>
        <w:t>In this case, the district court ultimately granted summary judgment on the "necessary" prong. The court determined that J.D.'s request to bring his homemade meal inside Shields Tavern was not a "necessary" modification under the ADA because the gluten-free meal offered by Shields  [*672]  Tavern would have provided J.D. with full and equal enjoyment of the restaurant. As a result, the district court declined to reach the reasonableness or fundamental alteration inquiries.</w:t>
      </w:r>
    </w:p>
    <w:p w:rsidR="00E456CD" w:rsidRDefault="00000000">
      <w:pPr>
        <w:pStyle w:val="Normal6"/>
        <w:widowControl w:val="0"/>
        <w:spacing w:before="120" w:line="260" w:lineRule="atLeast"/>
      </w:pPr>
      <w:r>
        <w:rPr>
          <w:rFonts w:ascii="Arial" w:eastAsia="Arial" w:hAnsi="Arial" w:cs="Arial"/>
          <w:color w:val="000000"/>
          <w:sz w:val="20"/>
        </w:rPr>
        <w:t>A.</w:t>
      </w:r>
    </w:p>
    <w:p w:rsidR="00E456CD" w:rsidRDefault="00000000">
      <w:pPr>
        <w:pStyle w:val="Normal6"/>
        <w:widowControl w:val="0"/>
        <w:spacing w:before="200" w:line="260" w:lineRule="atLeast"/>
        <w:jc w:val="both"/>
      </w:pPr>
      <w:bookmarkStart w:id="1461" w:name="Bookmark_para_34_1"/>
      <w:bookmarkStart w:id="1462" w:name="Bookmark_I5WBCV102N1RJF0050000400"/>
      <w:bookmarkStart w:id="1463" w:name="Bookmark_I5WBCV102SF8GV0010000400"/>
      <w:bookmarkEnd w:id="1461"/>
      <w:bookmarkEnd w:id="1462"/>
      <w:bookmarkEnd w:id="1463"/>
      <w:r>
        <w:rPr>
          <w:rFonts w:ascii="Arial" w:eastAsia="Arial" w:hAnsi="Arial" w:cs="Arial"/>
          <w:color w:val="000000"/>
          <w:sz w:val="20"/>
        </w:rPr>
        <w:t xml:space="preserve">We begin by considering whether J.D's requested modification was necessary. In conducting this inquiry, courts have used a "like experience" standard, meaning that public accommodations must start by considering how their facilities are used by nondisabled guests and then must take necessary and reasonable steps to provide disabled guests with a "like experience." </w:t>
      </w:r>
      <w:bookmarkStart w:id="1464" w:name="Bookmark_I5WBCV102N1RJF0040000400"/>
      <w:bookmarkEnd w:id="1464"/>
      <w:r>
        <w:rPr>
          <w:rFonts w:ascii="Arial" w:eastAsia="Arial" w:hAnsi="Arial" w:cs="Arial"/>
          <w:i/>
          <w:color w:val="000000"/>
          <w:sz w:val="20"/>
        </w:rPr>
        <w:t>A.L. v. Walt Disney</w:t>
      </w:r>
      <w:r>
        <w:rPr>
          <w:rFonts w:ascii="Arial" w:eastAsia="Arial" w:hAnsi="Arial" w:cs="Arial"/>
          <w:color w:val="000000"/>
          <w:sz w:val="20"/>
        </w:rPr>
        <w:t xml:space="preserve">, 900 F.3d at 1296; </w:t>
      </w:r>
      <w:r>
        <w:rPr>
          <w:rFonts w:ascii="Arial" w:eastAsia="Arial" w:hAnsi="Arial" w:cs="Arial"/>
          <w:i/>
          <w:color w:val="000000"/>
          <w:sz w:val="20"/>
        </w:rPr>
        <w:t xml:space="preserve">accord </w:t>
      </w:r>
      <w:bookmarkStart w:id="1465" w:name="Bookmark_I5WBCV1028T3W80010000400"/>
      <w:bookmarkEnd w:id="1465"/>
      <w:r>
        <w:rPr>
          <w:rFonts w:ascii="Arial" w:eastAsia="Arial" w:hAnsi="Arial" w:cs="Arial"/>
          <w:i/>
          <w:color w:val="000000"/>
          <w:sz w:val="20"/>
        </w:rPr>
        <w:t>Argenyi v. Creighton Univ.</w:t>
      </w:r>
      <w:r>
        <w:rPr>
          <w:rFonts w:ascii="Arial" w:eastAsia="Arial" w:hAnsi="Arial" w:cs="Arial"/>
          <w:color w:val="000000"/>
          <w:sz w:val="20"/>
        </w:rPr>
        <w:t xml:space="preserve">, 703 F.3d 441, 451 (8th Cir. 2013); </w:t>
      </w:r>
      <w:bookmarkStart w:id="1466" w:name="Bookmark_I5WBCV1028T3W80030000400"/>
      <w:bookmarkEnd w:id="1466"/>
      <w:r>
        <w:rPr>
          <w:rFonts w:ascii="Arial" w:eastAsia="Arial" w:hAnsi="Arial" w:cs="Arial"/>
          <w:i/>
          <w:color w:val="000000"/>
          <w:sz w:val="20"/>
        </w:rPr>
        <w:t>Baughman v. Walt Disney World Co.</w:t>
      </w:r>
      <w:r>
        <w:rPr>
          <w:rFonts w:ascii="Arial" w:eastAsia="Arial" w:hAnsi="Arial" w:cs="Arial"/>
          <w:color w:val="000000"/>
          <w:sz w:val="20"/>
        </w:rPr>
        <w:t xml:space="preserve">, 685 F.3d 1131, 1135 (9th Cir. 2012). This approach is consistent with the ADA, which "guarantees the disabled more than mere access to public facilities; it guarantees them 'full and equal enjoyment.'" </w:t>
      </w:r>
      <w:bookmarkStart w:id="1467" w:name="Bookmark_I5WBCV1028T3W80050000400"/>
      <w:bookmarkEnd w:id="1467"/>
      <w:r>
        <w:rPr>
          <w:rFonts w:ascii="Arial" w:eastAsia="Arial" w:hAnsi="Arial" w:cs="Arial"/>
          <w:i/>
          <w:color w:val="000000"/>
          <w:sz w:val="20"/>
        </w:rPr>
        <w:t>Baughman</w:t>
      </w:r>
      <w:r>
        <w:rPr>
          <w:rFonts w:ascii="Arial" w:eastAsia="Arial" w:hAnsi="Arial" w:cs="Arial"/>
          <w:color w:val="000000"/>
          <w:sz w:val="20"/>
        </w:rPr>
        <w:t>, 685 F.3d at 1135 (quoting 42 U.S.C. § 12182(a)).</w:t>
      </w:r>
    </w:p>
    <w:p w:rsidR="00E456CD" w:rsidRDefault="00000000">
      <w:pPr>
        <w:pStyle w:val="Normal6"/>
        <w:widowControl w:val="0"/>
        <w:spacing w:before="200" w:line="260" w:lineRule="atLeast"/>
        <w:jc w:val="both"/>
      </w:pPr>
      <w:bookmarkStart w:id="1468" w:name="Bookmark_para_35_1"/>
      <w:bookmarkEnd w:id="1468"/>
      <w:r>
        <w:rPr>
          <w:rFonts w:ascii="Arial" w:eastAsia="Arial" w:hAnsi="Arial" w:cs="Arial"/>
          <w:color w:val="000000"/>
          <w:sz w:val="20"/>
        </w:rPr>
        <w:t>Under this framework, the district court determined that Shields Tavern offered [**15]  food and an 18th-century atmosphere to its guests. And, it concluded, Shields Tavern didn't deny J.D. a like experience because the restaurant would have prepared J.D. a gluten-free meal or would have allowed him to remain inside, enjoy the atmosphere, and eat his meal later. Thus, J.D.'s requested modification wasn't necessary for full and equal enjoyment of the restaurant.</w:t>
      </w:r>
    </w:p>
    <w:p w:rsidR="00E456CD" w:rsidRDefault="00000000">
      <w:pPr>
        <w:pStyle w:val="Normal6"/>
        <w:widowControl w:val="0"/>
        <w:spacing w:before="200" w:line="260" w:lineRule="atLeast"/>
        <w:jc w:val="both"/>
      </w:pPr>
      <w:bookmarkStart w:id="1469" w:name="Bookmark_para_36_1"/>
      <w:bookmarkEnd w:id="1469"/>
      <w:r>
        <w:rPr>
          <w:rFonts w:ascii="Arial" w:eastAsia="Arial" w:hAnsi="Arial" w:cs="Arial"/>
          <w:color w:val="000000"/>
          <w:sz w:val="20"/>
        </w:rPr>
        <w:t>On appeal, J.D. argues that the district court erred in not drawing factual inferences in his favor. Specifically, he contends the district court ignored his history of repeatedly getting sick when eating purportedly gluten-free meals prepared by commercial kitchens, which (he says) shows that he was at a significant risk had he accepted the gluten-free meal offered by Shields Tavern. We agree with J.D. that this testimony is crucial to determining whether his requested modification was necessary to ensure full and equal enjoyment of the restaurant.</w:t>
      </w:r>
      <w:r>
        <w:rPr>
          <w:rFonts w:ascii="Arial" w:eastAsia="Arial" w:hAnsi="Arial" w:cs="Arial"/>
          <w:vertAlign w:val="superscript"/>
        </w:rPr>
        <w:footnoteReference w:customMarkFollows="1" w:id="65"/>
        <w:t>7</w:t>
      </w:r>
    </w:p>
    <w:p w:rsidR="00E456CD" w:rsidRDefault="00000000">
      <w:pPr>
        <w:pStyle w:val="Normal6"/>
        <w:widowControl w:val="0"/>
        <w:spacing w:before="200" w:line="260" w:lineRule="atLeast"/>
        <w:jc w:val="both"/>
      </w:pPr>
      <w:bookmarkStart w:id="1471" w:name="Bookmark_para_37_1"/>
      <w:bookmarkStart w:id="1472" w:name="Bookmark_I5WBCV102SF8GV0030000400"/>
      <w:bookmarkStart w:id="1473" w:name="Bookmark_I5WBCV102SF8GV0050000400"/>
      <w:bookmarkEnd w:id="1471"/>
      <w:bookmarkEnd w:id="1472"/>
      <w:bookmarkEnd w:id="1473"/>
      <w:r>
        <w:rPr>
          <w:rFonts w:ascii="Arial" w:eastAsia="Arial" w:hAnsi="Arial" w:cs="Arial"/>
          <w:color w:val="000000"/>
          <w:sz w:val="20"/>
        </w:rPr>
        <w:t xml:space="preserve">In </w:t>
      </w:r>
      <w:r>
        <w:rPr>
          <w:rFonts w:ascii="Arial" w:eastAsia="Arial" w:hAnsi="Arial" w:cs="Arial"/>
          <w:i/>
          <w:color w:val="000000"/>
          <w:sz w:val="20"/>
        </w:rPr>
        <w:t>Martin</w:t>
      </w:r>
      <w:r>
        <w:rPr>
          <w:rFonts w:ascii="Arial" w:eastAsia="Arial" w:hAnsi="Arial" w:cs="Arial"/>
          <w:color w:val="000000"/>
          <w:sz w:val="20"/>
        </w:rPr>
        <w:t xml:space="preserve">, the Supreme Court touched briefly in dicta on the meaning of "necessary" as it is used in the ADA. </w:t>
      </w:r>
      <w:bookmarkStart w:id="1474" w:name="Bookmark_I5WBCV102SF8GV0020000400"/>
      <w:bookmarkEnd w:id="1474"/>
      <w:r>
        <w:rPr>
          <w:rFonts w:ascii="Arial" w:eastAsia="Arial" w:hAnsi="Arial" w:cs="Arial"/>
          <w:color w:val="000000"/>
          <w:sz w:val="20"/>
        </w:rPr>
        <w:t xml:space="preserve">532 U.S. at 682. The plaintiff, a professional golfer with a degenerative circulatory disorder, requested a waiver of the PGA Tour's walking rule so he could ride his golf cart between [**16]  the 18 holes at tournaments. </w:t>
      </w:r>
      <w:bookmarkStart w:id="1475" w:name="Bookmark_I5WBCV102SF8GV0040000400"/>
      <w:bookmarkEnd w:id="1475"/>
      <w:r>
        <w:rPr>
          <w:rFonts w:ascii="Arial" w:eastAsia="Arial" w:hAnsi="Arial" w:cs="Arial"/>
          <w:i/>
          <w:color w:val="000000"/>
          <w:sz w:val="20"/>
        </w:rPr>
        <w:t>Id.</w:t>
      </w:r>
      <w:r>
        <w:rPr>
          <w:rFonts w:ascii="Arial" w:eastAsia="Arial" w:hAnsi="Arial" w:cs="Arial"/>
          <w:color w:val="000000"/>
          <w:sz w:val="20"/>
        </w:rPr>
        <w:t xml:space="preserve"> at 667-69. </w:t>
      </w:r>
      <w:bookmarkStart w:id="1476" w:name="Bookmark_I5WBCV102HM6DM0020000400"/>
      <w:bookmarkEnd w:id="1476"/>
      <w:r>
        <w:rPr>
          <w:rFonts w:ascii="Arial" w:eastAsia="Arial" w:hAnsi="Arial" w:cs="Arial"/>
          <w:color w:val="000000"/>
          <w:sz w:val="20"/>
        </w:rPr>
        <w:t xml:space="preserve">The Court accepted the PGA Tour's concession that the request was reasonable and necessary. The Court then explained: "Martin's claim thus differs from one that might be asserted by players with less serious afflictions that make walking the course uncomfortable or difficult, but not beyond their capacity. In such cases, an accommodation might be reasonable but not necessary." </w:t>
      </w:r>
      <w:bookmarkStart w:id="1477" w:name="Bookmark_I5WBCV102HM6DM0010000400"/>
      <w:bookmarkEnd w:id="1477"/>
      <w:r>
        <w:rPr>
          <w:rFonts w:ascii="Arial" w:eastAsia="Arial" w:hAnsi="Arial" w:cs="Arial"/>
          <w:i/>
          <w:color w:val="000000"/>
          <w:sz w:val="20"/>
        </w:rPr>
        <w:t>Id.</w:t>
      </w:r>
      <w:r>
        <w:rPr>
          <w:rFonts w:ascii="Arial" w:eastAsia="Arial" w:hAnsi="Arial" w:cs="Arial"/>
          <w:color w:val="000000"/>
          <w:sz w:val="20"/>
        </w:rPr>
        <w:t xml:space="preserve"> at 682.</w:t>
      </w:r>
    </w:p>
    <w:p w:rsidR="00E456CD" w:rsidRDefault="00000000">
      <w:pPr>
        <w:pStyle w:val="Normal6"/>
        <w:widowControl w:val="0"/>
        <w:spacing w:before="200" w:line="260" w:lineRule="atLeast"/>
        <w:jc w:val="both"/>
      </w:pPr>
      <w:bookmarkStart w:id="1478" w:name="Bookmark_para_38_1"/>
      <w:bookmarkStart w:id="1479" w:name="Bookmark_I5WBCV102HM6DM0040000400"/>
      <w:bookmarkEnd w:id="1478"/>
      <w:bookmarkEnd w:id="1479"/>
      <w:r>
        <w:rPr>
          <w:rFonts w:ascii="Arial" w:eastAsia="Arial" w:hAnsi="Arial" w:cs="Arial"/>
          <w:color w:val="000000"/>
          <w:sz w:val="20"/>
        </w:rPr>
        <w:t xml:space="preserve">Two of our sister circuits have applied this statement regarding a plaintiff's capacity when analyzing the "necessary" prong. </w:t>
      </w:r>
      <w:bookmarkStart w:id="1480" w:name="Bookmark_I5WBCV1028T3W90010000400"/>
      <w:bookmarkEnd w:id="1480"/>
      <w:r>
        <w:rPr>
          <w:rFonts w:ascii="Arial" w:eastAsia="Arial" w:hAnsi="Arial" w:cs="Arial"/>
          <w:color w:val="000000"/>
          <w:sz w:val="20"/>
        </w:rPr>
        <w:t xml:space="preserve">First, in </w:t>
      </w:r>
      <w:r>
        <w:rPr>
          <w:rFonts w:ascii="Arial" w:eastAsia="Arial" w:hAnsi="Arial" w:cs="Arial"/>
          <w:i/>
          <w:color w:val="000000"/>
          <w:sz w:val="20"/>
        </w:rPr>
        <w:t>Argenyi</w:t>
      </w:r>
      <w:r>
        <w:rPr>
          <w:rFonts w:ascii="Arial" w:eastAsia="Arial" w:hAnsi="Arial" w:cs="Arial"/>
          <w:color w:val="000000"/>
          <w:sz w:val="20"/>
        </w:rPr>
        <w:t xml:space="preserve">, a hearing-impaired medical student requested certain auxiliary aids and services. </w:t>
      </w:r>
      <w:bookmarkStart w:id="1481" w:name="Bookmark_I5WBCV102HM6DM0030000400"/>
      <w:bookmarkEnd w:id="1481"/>
      <w:r>
        <w:rPr>
          <w:rFonts w:ascii="Arial" w:eastAsia="Arial" w:hAnsi="Arial" w:cs="Arial"/>
          <w:color w:val="000000"/>
          <w:sz w:val="20"/>
        </w:rPr>
        <w:t xml:space="preserve">703 F.3d at 450. Creighton University provided some accommodations, but Argenyi showed that he was still unable to follow lectures and classroom dialogue or successfully communicate with clinical patients. </w:t>
      </w:r>
      <w:bookmarkStart w:id="1482" w:name="Bookmark_I5WBCV1028T3W90010000400_2"/>
      <w:bookmarkEnd w:id="1482"/>
      <w:r>
        <w:rPr>
          <w:rFonts w:ascii="Arial" w:eastAsia="Arial" w:hAnsi="Arial" w:cs="Arial"/>
          <w:color w:val="000000"/>
          <w:sz w:val="20"/>
        </w:rPr>
        <w:t xml:space="preserve">Thus, the evidence was that "aspects of his medical education" were not just "uncomfortable or  [*673]  difficult," but "beyond his capacity." </w:t>
      </w:r>
      <w:r>
        <w:rPr>
          <w:rFonts w:ascii="Arial" w:eastAsia="Arial" w:hAnsi="Arial" w:cs="Arial"/>
          <w:i/>
          <w:color w:val="000000"/>
          <w:sz w:val="20"/>
        </w:rPr>
        <w:t>Id.</w:t>
      </w:r>
      <w:r>
        <w:rPr>
          <w:rFonts w:ascii="Arial" w:eastAsia="Arial" w:hAnsi="Arial" w:cs="Arial"/>
          <w:color w:val="000000"/>
          <w:sz w:val="20"/>
        </w:rPr>
        <w:t xml:space="preserve"> From such evidence, the Eighth Circuit said, a reasonable factfinder could determine that "Argenyi was denied an opportunity to benefit from medical school equal to that of his nondisabled classmates." </w:t>
      </w:r>
      <w:bookmarkStart w:id="1483" w:name="Bookmark_I5WBCV102HM6DM0050000400"/>
      <w:bookmarkEnd w:id="1483"/>
      <w:r>
        <w:rPr>
          <w:rFonts w:ascii="Arial" w:eastAsia="Arial" w:hAnsi="Arial" w:cs="Arial"/>
          <w:i/>
          <w:color w:val="000000"/>
          <w:sz w:val="20"/>
        </w:rPr>
        <w:t>Id.</w:t>
      </w:r>
      <w:r>
        <w:rPr>
          <w:rFonts w:ascii="Arial" w:eastAsia="Arial" w:hAnsi="Arial" w:cs="Arial"/>
          <w:color w:val="000000"/>
          <w:sz w:val="20"/>
        </w:rPr>
        <w:t xml:space="preserve"> at 451.</w:t>
      </w:r>
    </w:p>
    <w:p w:rsidR="00E456CD" w:rsidRDefault="00000000">
      <w:pPr>
        <w:pStyle w:val="Normal6"/>
        <w:widowControl w:val="0"/>
        <w:spacing w:before="200" w:line="260" w:lineRule="atLeast"/>
        <w:jc w:val="both"/>
      </w:pPr>
      <w:bookmarkStart w:id="1484" w:name="Bookmark_para_39_1"/>
      <w:bookmarkStart w:id="1485" w:name="Bookmark_I5WBCV1028T3W90030000400"/>
      <w:bookmarkStart w:id="1486" w:name="Bookmark_I5WBCV1028T3W90050000400"/>
      <w:bookmarkEnd w:id="1484"/>
      <w:bookmarkEnd w:id="1485"/>
      <w:bookmarkEnd w:id="1486"/>
      <w:r>
        <w:rPr>
          <w:rFonts w:ascii="Arial" w:eastAsia="Arial" w:hAnsi="Arial" w:cs="Arial"/>
          <w:color w:val="000000"/>
          <w:sz w:val="20"/>
        </w:rPr>
        <w:t xml:space="preserve">Next, in </w:t>
      </w:r>
      <w:r>
        <w:rPr>
          <w:rFonts w:ascii="Arial" w:eastAsia="Arial" w:hAnsi="Arial" w:cs="Arial"/>
          <w:i/>
          <w:color w:val="000000"/>
          <w:sz w:val="20"/>
        </w:rPr>
        <w:t>A.L. v. Walt Disney</w:t>
      </w:r>
      <w:r>
        <w:rPr>
          <w:rFonts w:ascii="Arial" w:eastAsia="Arial" w:hAnsi="Arial" w:cs="Arial"/>
          <w:color w:val="000000"/>
          <w:sz w:val="20"/>
        </w:rPr>
        <w:t xml:space="preserve"> [**17] , a group of individuals with severe autism challenged the sufficiency of the defendant's Disability Access Service program for its theme parks. </w:t>
      </w:r>
      <w:bookmarkStart w:id="1487" w:name="Bookmark_I5WBCV1028T3W90020000400"/>
      <w:bookmarkEnd w:id="1487"/>
      <w:r>
        <w:rPr>
          <w:rFonts w:ascii="Arial" w:eastAsia="Arial" w:hAnsi="Arial" w:cs="Arial"/>
          <w:color w:val="000000"/>
          <w:sz w:val="20"/>
        </w:rPr>
        <w:t xml:space="preserve">900 F.3d at 1296-98. </w:t>
      </w:r>
      <w:bookmarkStart w:id="1488" w:name="Bookmark_I5WBCV102D6NC20020000400"/>
      <w:bookmarkEnd w:id="1488"/>
      <w:r>
        <w:rPr>
          <w:rFonts w:ascii="Arial" w:eastAsia="Arial" w:hAnsi="Arial" w:cs="Arial"/>
          <w:color w:val="000000"/>
          <w:sz w:val="20"/>
        </w:rPr>
        <w:t xml:space="preserve">Although Walt Disney allowed disabled plaintiffs to wait "virtually" for ride attractions without standing in line, the plaintiffs' evidence showed that they had no concept of time, could not defer gratification, and could not wait for rides. </w:t>
      </w:r>
      <w:bookmarkStart w:id="1489" w:name="Bookmark_I5WBCV102D6NC20040000400"/>
      <w:bookmarkEnd w:id="1489"/>
      <w:r>
        <w:rPr>
          <w:rFonts w:ascii="Arial" w:eastAsia="Arial" w:hAnsi="Arial" w:cs="Arial"/>
          <w:i/>
          <w:color w:val="000000"/>
          <w:sz w:val="20"/>
        </w:rPr>
        <w:t>Id.</w:t>
      </w:r>
      <w:r>
        <w:rPr>
          <w:rFonts w:ascii="Arial" w:eastAsia="Arial" w:hAnsi="Arial" w:cs="Arial"/>
          <w:color w:val="000000"/>
          <w:sz w:val="20"/>
        </w:rPr>
        <w:t xml:space="preserve"> Thus, the evidence suggested that waiting for rides, even virtually, was "beyond the capacity of plaintiffs." </w:t>
      </w:r>
      <w:bookmarkStart w:id="1490" w:name="Bookmark_I5WBCV1028T3W90040000400"/>
      <w:bookmarkEnd w:id="1490"/>
      <w:r>
        <w:rPr>
          <w:rFonts w:ascii="Arial" w:eastAsia="Arial" w:hAnsi="Arial" w:cs="Arial"/>
          <w:i/>
          <w:color w:val="000000"/>
          <w:sz w:val="20"/>
        </w:rPr>
        <w:t>Id.</w:t>
      </w:r>
      <w:r>
        <w:rPr>
          <w:rFonts w:ascii="Arial" w:eastAsia="Arial" w:hAnsi="Arial" w:cs="Arial"/>
          <w:color w:val="000000"/>
          <w:sz w:val="20"/>
        </w:rPr>
        <w:t xml:space="preserve"> at 1296. </w:t>
      </w:r>
      <w:bookmarkStart w:id="1491" w:name="Bookmark_I5WBCV102D6NC20040000400_2"/>
      <w:bookmarkStart w:id="1492" w:name="Bookmark_I5WBCV102D6NC20020000400_2"/>
      <w:bookmarkEnd w:id="1491"/>
      <w:bookmarkEnd w:id="1492"/>
      <w:r>
        <w:rPr>
          <w:rFonts w:ascii="Arial" w:eastAsia="Arial" w:hAnsi="Arial" w:cs="Arial"/>
          <w:color w:val="000000"/>
          <w:sz w:val="20"/>
        </w:rPr>
        <w:t xml:space="preserve">Disney's existing program, said the Eleventh Circuit, "accommodate[d] the need to avoid physical lines, but not the need to avoid waits." </w:t>
      </w:r>
      <w:bookmarkStart w:id="1493" w:name="Bookmark_I5WBCV102D6NC20010000400"/>
      <w:bookmarkEnd w:id="1493"/>
      <w:r>
        <w:rPr>
          <w:rFonts w:ascii="Arial" w:eastAsia="Arial" w:hAnsi="Arial" w:cs="Arial"/>
          <w:i/>
          <w:color w:val="000000"/>
          <w:sz w:val="20"/>
        </w:rPr>
        <w:t>Id.</w:t>
      </w:r>
      <w:r>
        <w:rPr>
          <w:rFonts w:ascii="Arial" w:eastAsia="Arial" w:hAnsi="Arial" w:cs="Arial"/>
          <w:color w:val="000000"/>
          <w:sz w:val="20"/>
        </w:rPr>
        <w:t xml:space="preserve"> at 1297. This accommodation, then, "as good as it may be, still fail[ed] to address plaintiffs' alleged impairments." </w:t>
      </w:r>
      <w:bookmarkStart w:id="1494" w:name="Bookmark_I5WBCV102D6NC20030000400"/>
      <w:bookmarkEnd w:id="1494"/>
      <w:r>
        <w:rPr>
          <w:rFonts w:ascii="Arial" w:eastAsia="Arial" w:hAnsi="Arial" w:cs="Arial"/>
          <w:i/>
          <w:color w:val="000000"/>
          <w:sz w:val="20"/>
        </w:rPr>
        <w:t>Id.</w:t>
      </w:r>
      <w:r>
        <w:rPr>
          <w:rFonts w:ascii="Arial" w:eastAsia="Arial" w:hAnsi="Arial" w:cs="Arial"/>
          <w:color w:val="000000"/>
          <w:sz w:val="20"/>
        </w:rPr>
        <w:t xml:space="preserve"> at 1298. And because factual disputes existed as to those impairments, the court reversed the district court's grant of summary judgment on the "necessary" inquiry.</w:t>
      </w:r>
    </w:p>
    <w:p w:rsidR="00E456CD" w:rsidRDefault="00000000">
      <w:pPr>
        <w:pStyle w:val="Normal6"/>
        <w:widowControl w:val="0"/>
        <w:spacing w:before="200" w:line="260" w:lineRule="atLeast"/>
        <w:jc w:val="both"/>
      </w:pPr>
      <w:bookmarkStart w:id="1495" w:name="Bookmark_para_40_1"/>
      <w:bookmarkStart w:id="1496" w:name="Bookmark_I5WBCV102HM6DN0010000400"/>
      <w:bookmarkEnd w:id="1495"/>
      <w:bookmarkEnd w:id="1496"/>
      <w:r>
        <w:rPr>
          <w:rFonts w:ascii="Arial" w:eastAsia="Arial" w:hAnsi="Arial" w:cs="Arial"/>
          <w:color w:val="000000"/>
          <w:sz w:val="20"/>
        </w:rPr>
        <w:t>From these cases, we make two observations. First,</w:t>
      </w:r>
      <w:bookmarkStart w:id="1497" w:name="Bookmark_LNHNREFclscc8_3"/>
      <w:bookmarkEnd w:id="1497"/>
      <w:r>
        <w:rPr>
          <w:rFonts w:ascii="Arial" w:eastAsia="Arial" w:hAnsi="Arial" w:cs="Arial"/>
          <w:color w:val="000000"/>
          <w:sz w:val="20"/>
        </w:rPr>
        <w:t xml:space="preserve"> the "necessary" inquiry requires an individualized inquiry into the plaintiff's capacity. Only after identifying the extent of the disability can we determine what accommodations are necessary for that "particular person's disability." </w:t>
      </w:r>
      <w:bookmarkStart w:id="1498" w:name="Bookmark_I5WBCV102D6NC20050000400"/>
      <w:bookmarkEnd w:id="1498"/>
      <w:r>
        <w:rPr>
          <w:rFonts w:ascii="Arial" w:eastAsia="Arial" w:hAnsi="Arial" w:cs="Arial"/>
          <w:i/>
          <w:color w:val="000000"/>
          <w:sz w:val="20"/>
        </w:rPr>
        <w:t>Martin</w:t>
      </w:r>
      <w:r>
        <w:rPr>
          <w:rFonts w:ascii="Arial" w:eastAsia="Arial" w:hAnsi="Arial" w:cs="Arial"/>
          <w:color w:val="000000"/>
          <w:sz w:val="20"/>
        </w:rPr>
        <w:t>, 532 U.S. at 688. Here, J.D. alleges that he has a disability that prevents him from eating at restaurants. The evidence shows that J.D. repeatedly became sick when exposed to gluten at restaurants, whether from cross-contamination or from human error in following protocols. And this happened despite his parents' best efforts to ensure gluten-free meals. At summary judgment, viewing all facts and drawing all inferences in the light most favorable to J.D., we believe there is a genuine dispute on whether eating out is beyond J.D.'s capacity.</w:t>
      </w:r>
    </w:p>
    <w:p w:rsidR="00E456CD" w:rsidRDefault="00000000">
      <w:pPr>
        <w:pStyle w:val="Normal6"/>
        <w:widowControl w:val="0"/>
        <w:spacing w:before="200" w:line="260" w:lineRule="atLeast"/>
        <w:jc w:val="both"/>
      </w:pPr>
      <w:bookmarkStart w:id="1499" w:name="Bookmark_para_41_1"/>
      <w:bookmarkStart w:id="1500" w:name="Bookmark_I5WBCV102HM6DN0030000400"/>
      <w:bookmarkEnd w:id="1499"/>
      <w:bookmarkEnd w:id="1500"/>
      <w:r>
        <w:rPr>
          <w:rFonts w:ascii="Arial" w:eastAsia="Arial" w:hAnsi="Arial" w:cs="Arial"/>
          <w:color w:val="000000"/>
          <w:sz w:val="20"/>
        </w:rPr>
        <w:t>Second, where an accommodation is already in place, a plaintiff may still be entitled [**18]  to something more if he can show that the accommodation does not account sufficiently for his disability.</w:t>
      </w:r>
      <w:r>
        <w:rPr>
          <w:rFonts w:ascii="Arial" w:eastAsia="Arial" w:hAnsi="Arial" w:cs="Arial"/>
          <w:vertAlign w:val="superscript"/>
        </w:rPr>
        <w:footnoteReference w:customMarkFollows="1" w:id="66"/>
        <w:t>8</w:t>
      </w:r>
      <w:r>
        <w:rPr>
          <w:rFonts w:ascii="Arial" w:eastAsia="Arial" w:hAnsi="Arial" w:cs="Arial"/>
          <w:color w:val="000000"/>
          <w:sz w:val="20"/>
        </w:rPr>
        <w:t xml:space="preserve"> Here, Shields Tavern offered to accommodate J.D. by preparing him a gluten-free meal. The district court concluded that J.D.'s proposed modification was not necessary in light of this offer. We disagree.</w:t>
      </w:r>
    </w:p>
    <w:p w:rsidR="00E456CD" w:rsidRDefault="00000000">
      <w:pPr>
        <w:pStyle w:val="Normal6"/>
        <w:widowControl w:val="0"/>
        <w:spacing w:before="200" w:line="260" w:lineRule="atLeast"/>
        <w:jc w:val="both"/>
      </w:pPr>
      <w:bookmarkStart w:id="1504" w:name="Bookmark_para_42_0"/>
      <w:bookmarkEnd w:id="1504"/>
      <w:r>
        <w:rPr>
          <w:rFonts w:ascii="Arial" w:eastAsia="Arial" w:hAnsi="Arial" w:cs="Arial"/>
          <w:color w:val="000000"/>
          <w:sz w:val="20"/>
        </w:rPr>
        <w:t>That Shields Tavern has rigorous protocols for preparing gluten-free meals is commendable and may suffice as an accommodation for the majority of people with a gluten intolerance. Indeed, a jury might well reject J.D.'s evidence about the severity of his gluten intolerance, and thus find that the protocols at Shields Tavern were sufficient to account for his disability. But in our view, J.D. has put forth enough evidence at this stage to raise a genuine dispute of material fact as to whether the proposed accommodation sufficiently accounts for his disability.</w:t>
      </w:r>
    </w:p>
    <w:p w:rsidR="00E456CD" w:rsidRDefault="00000000">
      <w:pPr>
        <w:pStyle w:val="Normal6"/>
        <w:widowControl w:val="0"/>
        <w:spacing w:before="200" w:line="260" w:lineRule="atLeast"/>
        <w:jc w:val="both"/>
      </w:pPr>
      <w:bookmarkStart w:id="1505" w:name="Bookmark_para_43_0"/>
      <w:bookmarkEnd w:id="1505"/>
      <w:r>
        <w:rPr>
          <w:rFonts w:ascii="Arial" w:eastAsia="Arial" w:hAnsi="Arial" w:cs="Arial"/>
          <w:color w:val="000000"/>
          <w:sz w:val="20"/>
        </w:rPr>
        <w:t>In sum, the district court incorrectly overlooked the testimony that J.D. repeatedly became sick after eating purportedly  [*674]  gluten-free meals prepared by commercial kitchens. Until a jury resolves the disputes surrounding the nature and extent of J.D.'s disability, we cannot determine if [**19]  the accommodation Shields Tavern offered, as good as it may be, fully accounted for his disability. Accordingly, we hold that the district court erred in finding as a matter of law that J.D.'s proposed modification was not necessary to have an experience equal to that of his classmates.</w:t>
      </w:r>
    </w:p>
    <w:p w:rsidR="00E456CD" w:rsidRDefault="00000000">
      <w:pPr>
        <w:pStyle w:val="Normal6"/>
        <w:widowControl w:val="0"/>
        <w:spacing w:before="120" w:line="260" w:lineRule="atLeast"/>
      </w:pPr>
      <w:r>
        <w:rPr>
          <w:rFonts w:ascii="Arial" w:eastAsia="Arial" w:hAnsi="Arial" w:cs="Arial"/>
          <w:color w:val="000000"/>
          <w:sz w:val="20"/>
        </w:rPr>
        <w:t>B.</w:t>
      </w:r>
    </w:p>
    <w:p w:rsidR="00E456CD" w:rsidRDefault="00000000">
      <w:pPr>
        <w:pStyle w:val="Normal6"/>
        <w:widowControl w:val="0"/>
        <w:spacing w:before="200" w:line="260" w:lineRule="atLeast"/>
        <w:jc w:val="both"/>
      </w:pPr>
      <w:bookmarkStart w:id="1506" w:name="Bookmark_para_44_0"/>
      <w:bookmarkStart w:id="1507" w:name="Bookmark_I5WBCV102N1RJG0020000400"/>
      <w:bookmarkEnd w:id="1506"/>
      <w:bookmarkEnd w:id="1507"/>
      <w:r>
        <w:rPr>
          <w:rFonts w:ascii="Arial" w:eastAsia="Arial" w:hAnsi="Arial" w:cs="Arial"/>
          <w:color w:val="000000"/>
          <w:sz w:val="20"/>
        </w:rPr>
        <w:t xml:space="preserve">We turn now to the second inquiry under the ADA—that is, whether the requested modification is reasonable. Although the district court declined to reach this issue, we believe remand is unnecessary because "the record suffices to define the issues properly presented for our review and to permit their fair de novo review and resolution." </w:t>
      </w:r>
      <w:bookmarkStart w:id="1508" w:name="Bookmark_I5WBCV102N1RJG0010000400"/>
      <w:bookmarkEnd w:id="1508"/>
      <w:r>
        <w:rPr>
          <w:rFonts w:ascii="Arial" w:eastAsia="Arial" w:hAnsi="Arial" w:cs="Arial"/>
          <w:i/>
          <w:color w:val="000000"/>
          <w:sz w:val="20"/>
        </w:rPr>
        <w:t>Hager v. Gibson</w:t>
      </w:r>
      <w:r>
        <w:rPr>
          <w:rFonts w:ascii="Arial" w:eastAsia="Arial" w:hAnsi="Arial" w:cs="Arial"/>
          <w:color w:val="000000"/>
          <w:sz w:val="20"/>
        </w:rPr>
        <w:t xml:space="preserve">, 109 F.3d 201, 207 (4th Cir. 1997); </w:t>
      </w:r>
      <w:r>
        <w:rPr>
          <w:rFonts w:ascii="Arial" w:eastAsia="Arial" w:hAnsi="Arial" w:cs="Arial"/>
          <w:i/>
          <w:color w:val="000000"/>
          <w:sz w:val="20"/>
        </w:rPr>
        <w:t xml:space="preserve">see also </w:t>
      </w:r>
      <w:bookmarkStart w:id="1509" w:name="Bookmark_I5WBCV102N1RJG0030000400"/>
      <w:bookmarkEnd w:id="1509"/>
      <w:r>
        <w:rPr>
          <w:rFonts w:ascii="Arial" w:eastAsia="Arial" w:hAnsi="Arial" w:cs="Arial"/>
          <w:i/>
          <w:color w:val="000000"/>
          <w:sz w:val="20"/>
        </w:rPr>
        <w:t>Charbonnages de France v. Smith</w:t>
      </w:r>
      <w:r>
        <w:rPr>
          <w:rFonts w:ascii="Arial" w:eastAsia="Arial" w:hAnsi="Arial" w:cs="Arial"/>
          <w:color w:val="000000"/>
          <w:sz w:val="20"/>
        </w:rPr>
        <w:t>, 597 F.2d 406, 416 (4th Cir. 1979) ("Our analysis of the record before the district court convinces us that summary judgment was not warranted on any alternative basis there revealed and urged."). Here, we are satisfied that there exists a genuine dispute of material fact as to whether J.D.'s requested modification is reasonable.</w:t>
      </w:r>
    </w:p>
    <w:p w:rsidR="00E456CD" w:rsidRDefault="00000000">
      <w:pPr>
        <w:pStyle w:val="Normal6"/>
        <w:widowControl w:val="0"/>
        <w:spacing w:before="200" w:line="260" w:lineRule="atLeast"/>
        <w:jc w:val="both"/>
      </w:pPr>
      <w:bookmarkStart w:id="1510" w:name="Bookmark_para_45_0"/>
      <w:bookmarkStart w:id="1511" w:name="Bookmark_I5WBCV102D6NC30010000400"/>
      <w:bookmarkStart w:id="1512" w:name="Bookmark_I5WBCV102D6NC30030000400"/>
      <w:bookmarkStart w:id="1513" w:name="Bookmark_I5WBCV102SF8GW0020000400"/>
      <w:bookmarkStart w:id="1514" w:name="Bookmark_LNHNREFclscc9_2"/>
      <w:bookmarkEnd w:id="1510"/>
      <w:bookmarkEnd w:id="1511"/>
      <w:bookmarkEnd w:id="1512"/>
      <w:bookmarkEnd w:id="1513"/>
      <w:bookmarkEnd w:id="1514"/>
      <w:r>
        <w:rPr>
          <w:rFonts w:ascii="Arial" w:eastAsia="Arial" w:hAnsi="Arial" w:cs="Arial"/>
          <w:color w:val="000000"/>
          <w:sz w:val="20"/>
        </w:rPr>
        <w:t xml:space="preserve">Under the ADA, "[f]acilities are not required to make any and all possible accommodations that would provide full and equal access to disabled patrons," but "need only make accommodations that are reasonable." </w:t>
      </w:r>
      <w:bookmarkStart w:id="1515" w:name="Bookmark_I5WBCV102N1RJG0050000400"/>
      <w:bookmarkEnd w:id="1515"/>
      <w:r>
        <w:rPr>
          <w:rFonts w:ascii="Arial" w:eastAsia="Arial" w:hAnsi="Arial" w:cs="Arial"/>
          <w:i/>
          <w:color w:val="000000"/>
          <w:sz w:val="20"/>
        </w:rPr>
        <w:t>Baughman</w:t>
      </w:r>
      <w:r>
        <w:rPr>
          <w:rFonts w:ascii="Arial" w:eastAsia="Arial" w:hAnsi="Arial" w:cs="Arial"/>
          <w:color w:val="000000"/>
          <w:sz w:val="20"/>
        </w:rPr>
        <w:t xml:space="preserve">, 685 F.3d at 1135. A modification is reasonable if it is "reasonable on [**20]  its face, </w:t>
      </w:r>
      <w:r>
        <w:rPr>
          <w:rFonts w:ascii="Arial" w:eastAsia="Arial" w:hAnsi="Arial" w:cs="Arial"/>
          <w:i/>
          <w:color w:val="000000"/>
          <w:sz w:val="20"/>
        </w:rPr>
        <w:t>i.e.</w:t>
      </w:r>
      <w:r>
        <w:rPr>
          <w:rFonts w:ascii="Arial" w:eastAsia="Arial" w:hAnsi="Arial" w:cs="Arial"/>
          <w:color w:val="000000"/>
          <w:sz w:val="20"/>
        </w:rPr>
        <w:t xml:space="preserve">, ordinarily or in the run of cases." </w:t>
      </w:r>
      <w:bookmarkStart w:id="1516" w:name="Bookmark_I5WBCV102D6NC30020000400"/>
      <w:bookmarkEnd w:id="1516"/>
      <w:r>
        <w:rPr>
          <w:rFonts w:ascii="Arial" w:eastAsia="Arial" w:hAnsi="Arial" w:cs="Arial"/>
          <w:i/>
          <w:color w:val="000000"/>
          <w:sz w:val="20"/>
        </w:rPr>
        <w:t>Halpern</w:t>
      </w:r>
      <w:r>
        <w:rPr>
          <w:rFonts w:ascii="Arial" w:eastAsia="Arial" w:hAnsi="Arial" w:cs="Arial"/>
          <w:color w:val="000000"/>
          <w:sz w:val="20"/>
        </w:rPr>
        <w:t xml:space="preserve">, 669 F.3d at 464 (quoting </w:t>
      </w:r>
      <w:bookmarkStart w:id="1517" w:name="Bookmark_I5WBCV102D6NC30040000400"/>
      <w:bookmarkEnd w:id="1517"/>
      <w:r>
        <w:rPr>
          <w:rFonts w:ascii="Arial" w:eastAsia="Arial" w:hAnsi="Arial" w:cs="Arial"/>
          <w:i/>
          <w:color w:val="000000"/>
          <w:sz w:val="20"/>
        </w:rPr>
        <w:t>US Airways, Inc. v. Barnett</w:t>
      </w:r>
      <w:r>
        <w:rPr>
          <w:rFonts w:ascii="Arial" w:eastAsia="Arial" w:hAnsi="Arial" w:cs="Arial"/>
          <w:color w:val="000000"/>
          <w:sz w:val="20"/>
        </w:rPr>
        <w:t xml:space="preserve">, 535 U.S. 391, 402, 122 S. Ct. 1516, 152 L. Ed. 2d 589 (2002)). Reasonableness is generally a fact-specific inquiry, </w:t>
      </w:r>
      <w:r>
        <w:rPr>
          <w:rFonts w:ascii="Arial" w:eastAsia="Arial" w:hAnsi="Arial" w:cs="Arial"/>
          <w:i/>
          <w:color w:val="000000"/>
          <w:sz w:val="20"/>
        </w:rPr>
        <w:t>id.</w:t>
      </w:r>
      <w:r>
        <w:rPr>
          <w:rFonts w:ascii="Arial" w:eastAsia="Arial" w:hAnsi="Arial" w:cs="Arial"/>
          <w:color w:val="000000"/>
          <w:sz w:val="20"/>
        </w:rPr>
        <w:t xml:space="preserve">, asking whether the specific modification is "reasonable under the circumstances." </w:t>
      </w:r>
      <w:bookmarkStart w:id="1518" w:name="Bookmark_I5WBCV102SF8GW0010000400"/>
      <w:bookmarkEnd w:id="1518"/>
      <w:r>
        <w:rPr>
          <w:rFonts w:ascii="Arial" w:eastAsia="Arial" w:hAnsi="Arial" w:cs="Arial"/>
          <w:i/>
          <w:color w:val="000000"/>
          <w:sz w:val="20"/>
        </w:rPr>
        <w:t>Martin</w:t>
      </w:r>
      <w:r>
        <w:rPr>
          <w:rFonts w:ascii="Arial" w:eastAsia="Arial" w:hAnsi="Arial" w:cs="Arial"/>
          <w:color w:val="000000"/>
          <w:sz w:val="20"/>
        </w:rPr>
        <w:t>, 532 U.S. at 688.</w:t>
      </w:r>
    </w:p>
    <w:p w:rsidR="00E456CD" w:rsidRDefault="00000000">
      <w:pPr>
        <w:pStyle w:val="Normal6"/>
        <w:widowControl w:val="0"/>
        <w:spacing w:before="200" w:line="260" w:lineRule="atLeast"/>
        <w:jc w:val="both"/>
      </w:pPr>
      <w:bookmarkStart w:id="1519" w:name="Bookmark_para_46_0"/>
      <w:bookmarkStart w:id="1520" w:name="Bookmark_I5WBCV102SF8GW0040000400"/>
      <w:bookmarkEnd w:id="1519"/>
      <w:bookmarkEnd w:id="1520"/>
      <w:r>
        <w:rPr>
          <w:rFonts w:ascii="Arial" w:eastAsia="Arial" w:hAnsi="Arial" w:cs="Arial"/>
          <w:color w:val="000000"/>
          <w:sz w:val="20"/>
        </w:rPr>
        <w:t xml:space="preserve">J.D. argues that his request is reasonable because he asked only that Shields Tavern let him eat his prepared meal. His request didn't cost anything; nor did it require Shields Tavern to do anything. Thus, he contends, the costs of the accommodation "d[id] not clearly exceed its benefits." </w:t>
      </w:r>
      <w:bookmarkStart w:id="1521" w:name="Bookmark_I5WBCV102SF8GW0030000400"/>
      <w:bookmarkEnd w:id="1521"/>
      <w:r>
        <w:rPr>
          <w:rFonts w:ascii="Arial" w:eastAsia="Arial" w:hAnsi="Arial" w:cs="Arial"/>
          <w:i/>
          <w:color w:val="000000"/>
          <w:sz w:val="20"/>
        </w:rPr>
        <w:t>Lamone</w:t>
      </w:r>
      <w:r>
        <w:rPr>
          <w:rFonts w:ascii="Arial" w:eastAsia="Arial" w:hAnsi="Arial" w:cs="Arial"/>
          <w:color w:val="000000"/>
          <w:sz w:val="20"/>
        </w:rPr>
        <w:t xml:space="preserve">, 813 F.3d at 508 (quoting </w:t>
      </w:r>
      <w:bookmarkStart w:id="1522" w:name="Bookmark_I5WBCV102SF8GW0050000400"/>
      <w:bookmarkEnd w:id="1522"/>
      <w:r>
        <w:rPr>
          <w:rFonts w:ascii="Arial" w:eastAsia="Arial" w:hAnsi="Arial" w:cs="Arial"/>
          <w:i/>
          <w:color w:val="000000"/>
          <w:sz w:val="20"/>
        </w:rPr>
        <w:t>Henrietta D. v. Bloomberg</w:t>
      </w:r>
      <w:r>
        <w:rPr>
          <w:rFonts w:ascii="Arial" w:eastAsia="Arial" w:hAnsi="Arial" w:cs="Arial"/>
          <w:color w:val="000000"/>
          <w:sz w:val="20"/>
        </w:rPr>
        <w:t>, 331 F.3d 261, 280 (2d Cir. 2003)).</w:t>
      </w:r>
    </w:p>
    <w:p w:rsidR="00E456CD" w:rsidRDefault="00000000">
      <w:pPr>
        <w:pStyle w:val="Normal6"/>
        <w:widowControl w:val="0"/>
        <w:spacing w:before="200" w:line="260" w:lineRule="atLeast"/>
        <w:jc w:val="both"/>
      </w:pPr>
      <w:bookmarkStart w:id="1523" w:name="Bookmark_para_47_0"/>
      <w:bookmarkEnd w:id="1523"/>
      <w:r>
        <w:rPr>
          <w:rFonts w:ascii="Arial" w:eastAsia="Arial" w:hAnsi="Arial" w:cs="Arial"/>
          <w:color w:val="000000"/>
          <w:sz w:val="20"/>
        </w:rPr>
        <w:t xml:space="preserve">J.D. also points to the fact that Shields Tavern allows parents to bring in outside food for toddlers and infants. The record also shows that (about two weeks after the events of this case) Colonial Williamsburg granted a similar accommodation to a child visiting another of its restaurants. </w:t>
      </w:r>
      <w:bookmarkStart w:id="1524" w:name="Bookmark_I5WBCV102N1RJH0030000400"/>
      <w:bookmarkEnd w:id="1524"/>
      <w:r>
        <w:rPr>
          <w:rFonts w:ascii="Arial" w:eastAsia="Arial" w:hAnsi="Arial" w:cs="Arial"/>
          <w:color w:val="000000"/>
          <w:sz w:val="20"/>
        </w:rPr>
        <w:t xml:space="preserve">After being notified (before the child's visit) of his severe allergies, Colonial Williamsburg determined that it could not accommodate him, and so allowed the child to eat a homemade meal in the restaurant. Although not dispositive, the fact that Colonial Williamsburg granted a similar request speaks directly to the reasonableness of J.D.'s request. </w:t>
      </w:r>
      <w:r>
        <w:rPr>
          <w:rFonts w:ascii="Arial" w:eastAsia="Arial" w:hAnsi="Arial" w:cs="Arial"/>
          <w:i/>
          <w:color w:val="000000"/>
          <w:sz w:val="20"/>
        </w:rPr>
        <w:t xml:space="preserve">See </w:t>
      </w:r>
      <w:bookmarkStart w:id="1525" w:name="Bookmark_I5WBCV102N1RJH0020000400"/>
      <w:bookmarkEnd w:id="1525"/>
      <w:r>
        <w:rPr>
          <w:rFonts w:ascii="Arial" w:eastAsia="Arial" w:hAnsi="Arial" w:cs="Arial"/>
          <w:i/>
          <w:color w:val="000000"/>
          <w:sz w:val="20"/>
        </w:rPr>
        <w:t>Lamone</w:t>
      </w:r>
      <w:r>
        <w:rPr>
          <w:rFonts w:ascii="Arial" w:eastAsia="Arial" w:hAnsi="Arial" w:cs="Arial"/>
          <w:color w:val="000000"/>
          <w:sz w:val="20"/>
        </w:rPr>
        <w:t>, 813 F.3d at 507-08 ("[A]lthough not determinative by itself, the [**21]  fact that a version of [a tool used to facilitate voting by disabled voters] was voluntarily implemented by defendants [previously] . . . speaks to the reasonableness of using the tool.").</w:t>
      </w:r>
    </w:p>
    <w:p w:rsidR="00E456CD" w:rsidRDefault="00000000">
      <w:pPr>
        <w:pStyle w:val="Normal6"/>
        <w:widowControl w:val="0"/>
        <w:spacing w:before="200" w:line="260" w:lineRule="atLeast"/>
        <w:jc w:val="both"/>
      </w:pPr>
      <w:bookmarkStart w:id="1526" w:name="Bookmark_para_48_0"/>
      <w:bookmarkEnd w:id="1526"/>
      <w:r>
        <w:rPr>
          <w:rFonts w:ascii="Arial" w:eastAsia="Arial" w:hAnsi="Arial" w:cs="Arial"/>
          <w:color w:val="000000"/>
          <w:sz w:val="20"/>
        </w:rPr>
        <w:t>In response, Colonial Williamsburg says that J.D.'s request—bringing his own food into a restaurant without any advance notice—is unreasonable on its face. Colonial Williamsburg urges that the lack of notice would be disruptive to the restaurant's operations, and that the modification would present safety and liability risks for Shields Tavern. While each of these concerns certainly touches on the reasonableness of J.D.'s request, they are not dispositive.</w:t>
      </w:r>
    </w:p>
    <w:p w:rsidR="00E456CD" w:rsidRDefault="00000000">
      <w:pPr>
        <w:pStyle w:val="Normal6"/>
        <w:widowControl w:val="0"/>
        <w:spacing w:before="200" w:line="260" w:lineRule="atLeast"/>
        <w:jc w:val="both"/>
      </w:pPr>
      <w:bookmarkStart w:id="1527" w:name="Bookmark_para_49_0"/>
      <w:bookmarkEnd w:id="1527"/>
      <w:r>
        <w:rPr>
          <w:rFonts w:ascii="Arial" w:eastAsia="Arial" w:hAnsi="Arial" w:cs="Arial"/>
          <w:color w:val="000000"/>
          <w:sz w:val="20"/>
        </w:rPr>
        <w:t xml:space="preserve"> [*675]  Starting with notice, </w:t>
      </w:r>
      <w:bookmarkStart w:id="1528" w:name="Bookmark_LNHNREFclscc10_2"/>
      <w:bookmarkEnd w:id="1528"/>
      <w:r>
        <w:rPr>
          <w:rFonts w:ascii="Arial" w:eastAsia="Arial" w:hAnsi="Arial" w:cs="Arial"/>
          <w:color w:val="000000"/>
          <w:sz w:val="20"/>
        </w:rPr>
        <w:t xml:space="preserve">there is nothing in Title III of the ADA or the implementing regulations mandating prior notice at a place of public accommodation. And to the extent notice is even mentioned in other parts of the ADA, such as for accommodations in air and bus travel, the regulations emphasize that "advance notice requirements are generally undesirable" and should be used only when necessary to ensure the accommodation can be made, such as when extra staffing is needed. 49 C.F.R. pt. 37, app. D, § 37.169 (bus travel); </w:t>
      </w:r>
      <w:r>
        <w:rPr>
          <w:rFonts w:ascii="Arial" w:eastAsia="Arial" w:hAnsi="Arial" w:cs="Arial"/>
          <w:i/>
          <w:color w:val="000000"/>
          <w:sz w:val="20"/>
        </w:rPr>
        <w:t>see also</w:t>
      </w:r>
      <w:r>
        <w:rPr>
          <w:rFonts w:ascii="Arial" w:eastAsia="Arial" w:hAnsi="Arial" w:cs="Arial"/>
          <w:color w:val="000000"/>
          <w:sz w:val="20"/>
        </w:rPr>
        <w:t xml:space="preserve"> 14 C.F.R. § 382.27(a) (air carrier "must not require a passenger with [**22]  a disability to provide advance notice in order to obtain services or accommodations" except as enumerated). What's more, even if a person fails to give the requisite advance notice under these regulations, the entity must still provide the accommodations if it can reasonably do so. </w:t>
      </w:r>
      <w:r>
        <w:rPr>
          <w:rFonts w:ascii="Arial" w:eastAsia="Arial" w:hAnsi="Arial" w:cs="Arial"/>
          <w:i/>
          <w:color w:val="000000"/>
          <w:sz w:val="20"/>
        </w:rPr>
        <w:t>See</w:t>
      </w:r>
      <w:r>
        <w:rPr>
          <w:rFonts w:ascii="Arial" w:eastAsia="Arial" w:hAnsi="Arial" w:cs="Arial"/>
          <w:color w:val="000000"/>
          <w:sz w:val="20"/>
        </w:rPr>
        <w:t xml:space="preserve"> 49 C.F.R. pt. 37, app. D, § 37.169; 14 C.F.R. § 382.27(g).</w:t>
      </w:r>
    </w:p>
    <w:p w:rsidR="00E456CD" w:rsidRDefault="00000000">
      <w:pPr>
        <w:pStyle w:val="Normal6"/>
        <w:widowControl w:val="0"/>
        <w:spacing w:before="200" w:line="260" w:lineRule="atLeast"/>
        <w:jc w:val="both"/>
      </w:pPr>
      <w:bookmarkStart w:id="1529" w:name="Bookmark_para_50_0"/>
      <w:bookmarkStart w:id="1530" w:name="Bookmark_I5WBCV102N1RJH0050000400"/>
      <w:bookmarkEnd w:id="1529"/>
      <w:bookmarkEnd w:id="1530"/>
      <w:r>
        <w:rPr>
          <w:rFonts w:ascii="Arial" w:eastAsia="Arial" w:hAnsi="Arial" w:cs="Arial"/>
          <w:color w:val="000000"/>
          <w:sz w:val="20"/>
        </w:rPr>
        <w:t xml:space="preserve">Accordingly, we cannot say that J.D.'s request was unreasonable on its face merely because he failed to provide notice. Instead, the timing of the request is simply an additional fact to consider in the totality of circumstances. </w:t>
      </w:r>
      <w:r>
        <w:rPr>
          <w:rFonts w:ascii="Arial" w:eastAsia="Arial" w:hAnsi="Arial" w:cs="Arial"/>
          <w:i/>
          <w:color w:val="000000"/>
          <w:sz w:val="20"/>
        </w:rPr>
        <w:t xml:space="preserve">See </w:t>
      </w:r>
      <w:bookmarkStart w:id="1531" w:name="Bookmark_I5WBCV102N1RJH0040000400"/>
      <w:bookmarkEnd w:id="1531"/>
      <w:r>
        <w:rPr>
          <w:rFonts w:ascii="Arial" w:eastAsia="Arial" w:hAnsi="Arial" w:cs="Arial"/>
          <w:i/>
          <w:color w:val="000000"/>
          <w:sz w:val="20"/>
        </w:rPr>
        <w:t>Zukle v. Regents of Univ. of Cal</w:t>
      </w:r>
      <w:r>
        <w:rPr>
          <w:rFonts w:ascii="Arial" w:eastAsia="Arial" w:hAnsi="Arial" w:cs="Arial"/>
          <w:color w:val="000000"/>
          <w:sz w:val="20"/>
        </w:rPr>
        <w:t xml:space="preserve">., 166 F.3d 1041, 1051 n.16 (9th Cir. 1999) (late timing of request contributed to court's finding of unreasonableness); </w:t>
      </w:r>
      <w:bookmarkStart w:id="1532" w:name="Bookmark_I5WBCV102SF8GX0010000400"/>
      <w:bookmarkEnd w:id="1532"/>
      <w:r>
        <w:rPr>
          <w:rFonts w:ascii="Arial" w:eastAsia="Arial" w:hAnsi="Arial" w:cs="Arial"/>
          <w:i/>
          <w:color w:val="000000"/>
          <w:sz w:val="20"/>
        </w:rPr>
        <w:t>Dee v. Md. Nat'l Capitol Park &amp; Planning Comm'n</w:t>
      </w:r>
      <w:r>
        <w:rPr>
          <w:rFonts w:ascii="Arial" w:eastAsia="Arial" w:hAnsi="Arial" w:cs="Arial"/>
          <w:color w:val="000000"/>
          <w:sz w:val="20"/>
        </w:rPr>
        <w:t>, No. CBD-09-491, 2010 U.S. Dist. LEXIS 83882, 2010 WL 3245332, at *6 (D. Md. Aug. 16, 2010) (30 minutes' notice was not per se unreasonable). J.D. argues that the timing of his request was reasonable because he wasn't asking Shields Tavern to take any action or provide any additional services. He also points to evidence that Shields Tavern allows outside food for toddlers and infants without prior notice. Thus, we believe J.D. has put forth sufficient evidence such that a jury could find his request reasonable despite the lack of notice.</w:t>
      </w:r>
    </w:p>
    <w:p w:rsidR="00E456CD" w:rsidRDefault="00000000">
      <w:pPr>
        <w:pStyle w:val="Normal6"/>
        <w:widowControl w:val="0"/>
        <w:spacing w:before="200" w:line="260" w:lineRule="atLeast"/>
        <w:jc w:val="both"/>
      </w:pPr>
      <w:bookmarkStart w:id="1533" w:name="Bookmark_para_51_0"/>
      <w:bookmarkEnd w:id="1533"/>
      <w:r>
        <w:rPr>
          <w:rFonts w:ascii="Arial" w:eastAsia="Arial" w:hAnsi="Arial" w:cs="Arial"/>
          <w:color w:val="000000"/>
          <w:sz w:val="20"/>
        </w:rPr>
        <w:t>Next, Colonial Williamsburg argues that J.D.'s requested modification is unreasonable [**23]  because it is contrary to the Virginia Health Code and presents safety and liability risks. Neither argument suffices to show that J.D.'s requested modification is unreasonable as a matter of law.</w:t>
      </w:r>
    </w:p>
    <w:p w:rsidR="00E456CD" w:rsidRDefault="00000000">
      <w:pPr>
        <w:pStyle w:val="Normal6"/>
        <w:widowControl w:val="0"/>
        <w:spacing w:before="200" w:line="260" w:lineRule="atLeast"/>
        <w:jc w:val="both"/>
      </w:pPr>
      <w:bookmarkStart w:id="1534" w:name="Bookmark_para_52_0"/>
      <w:bookmarkEnd w:id="1534"/>
      <w:r>
        <w:rPr>
          <w:rFonts w:ascii="Arial" w:eastAsia="Arial" w:hAnsi="Arial" w:cs="Arial"/>
          <w:color w:val="000000"/>
          <w:sz w:val="20"/>
        </w:rPr>
        <w:t>The relevant state health code provision bars "[f]ood prepared in a private home" from being "used or offered" in a restaurant. 12 Va. Admin. Code § 5-421-270(B). While there is no Virginia case law interpreting this provision, we agree with J.D. that this provision prohibits restaurants from serving food prepared in a private home, but it doesn't necessarily prohibit customers from bringing in outside food.</w:t>
      </w:r>
    </w:p>
    <w:p w:rsidR="00E456CD" w:rsidRDefault="00000000">
      <w:pPr>
        <w:pStyle w:val="Normal6"/>
        <w:widowControl w:val="0"/>
        <w:spacing w:before="200" w:line="260" w:lineRule="atLeast"/>
        <w:jc w:val="both"/>
      </w:pPr>
      <w:bookmarkStart w:id="1535" w:name="Bookmark_para_53_0"/>
      <w:bookmarkStart w:id="1536" w:name="Bookmark_I5WBCV102SF8GX0040000400"/>
      <w:bookmarkEnd w:id="1535"/>
      <w:bookmarkEnd w:id="1536"/>
      <w:r>
        <w:rPr>
          <w:rFonts w:ascii="Arial" w:eastAsia="Arial" w:hAnsi="Arial" w:cs="Arial"/>
          <w:color w:val="000000"/>
          <w:sz w:val="20"/>
        </w:rPr>
        <w:t xml:space="preserve">And </w:t>
      </w:r>
      <w:bookmarkStart w:id="1537" w:name="Bookmark_LNHNREFclscc11_2"/>
      <w:bookmarkEnd w:id="1537"/>
      <w:r>
        <w:rPr>
          <w:rFonts w:ascii="Arial" w:eastAsia="Arial" w:hAnsi="Arial" w:cs="Arial"/>
          <w:color w:val="000000"/>
          <w:sz w:val="20"/>
        </w:rPr>
        <w:t xml:space="preserve">although "[a] public accommodation may impose legitimate safety requirements that are necessary for safe operation," 28 C.F.R. § 36.301(b), such requirements won't inevitably override a reasonable modification request. </w:t>
      </w:r>
      <w:r>
        <w:rPr>
          <w:rFonts w:ascii="Arial" w:eastAsia="Arial" w:hAnsi="Arial" w:cs="Arial"/>
          <w:i/>
          <w:color w:val="000000"/>
          <w:sz w:val="20"/>
        </w:rPr>
        <w:t xml:space="preserve">See </w:t>
      </w:r>
      <w:bookmarkStart w:id="1538" w:name="Bookmark_I5WBCV102SF8GX0030000400"/>
      <w:bookmarkEnd w:id="1538"/>
      <w:r>
        <w:rPr>
          <w:rFonts w:ascii="Arial" w:eastAsia="Arial" w:hAnsi="Arial" w:cs="Arial"/>
          <w:i/>
          <w:color w:val="000000"/>
          <w:sz w:val="20"/>
        </w:rPr>
        <w:t>Lamone</w:t>
      </w:r>
      <w:r>
        <w:rPr>
          <w:rFonts w:ascii="Arial" w:eastAsia="Arial" w:hAnsi="Arial" w:cs="Arial"/>
          <w:color w:val="000000"/>
          <w:sz w:val="20"/>
        </w:rPr>
        <w:t>, 813 F.3d at 508 ("[R]equiring public entities to make changes to rules, policies, practices, or services is exactly what the ADA does." (citation omitted)). Moreover, it's unclear if J.D.'s request would truly pose a safety concern. There is no evidence about the risks of contamination from J.D.'s meal, and (as the record shows) Shields Tavern permits guests to bring outside food in other circumstances.</w:t>
      </w:r>
    </w:p>
    <w:p w:rsidR="00E456CD" w:rsidRDefault="00000000">
      <w:pPr>
        <w:pStyle w:val="Normal6"/>
        <w:widowControl w:val="0"/>
        <w:spacing w:before="200" w:line="260" w:lineRule="atLeast"/>
        <w:jc w:val="both"/>
      </w:pPr>
      <w:bookmarkStart w:id="1539" w:name="Bookmark_para_54_0"/>
      <w:bookmarkStart w:id="1540" w:name="Bookmark_I5WBCV1028T3WB0010000400"/>
      <w:bookmarkEnd w:id="1539"/>
      <w:bookmarkEnd w:id="1540"/>
      <w:r>
        <w:rPr>
          <w:rFonts w:ascii="Arial" w:eastAsia="Arial" w:hAnsi="Arial" w:cs="Arial"/>
          <w:color w:val="000000"/>
          <w:sz w:val="20"/>
        </w:rPr>
        <w:t xml:space="preserve">Our discussion thus far exemplifies [**24]  the fact-intensive nature of this reasonableness inquiry. Such an inquiry is best left to a jury, who can weigh the competing evidence and make credibility determinations. Because J.D. has put forth evidence from which a jury may infer that the requested modification is reasonable under these circumstances, </w:t>
      </w:r>
      <w:r>
        <w:rPr>
          <w:rFonts w:ascii="Arial" w:eastAsia="Arial" w:hAnsi="Arial" w:cs="Arial"/>
          <w:i/>
          <w:color w:val="000000"/>
          <w:sz w:val="20"/>
        </w:rPr>
        <w:t xml:space="preserve">see </w:t>
      </w:r>
      <w:bookmarkStart w:id="1541" w:name="Bookmark_I5WBCV102SF8GX0050000400"/>
      <w:bookmarkEnd w:id="1541"/>
      <w:r>
        <w:rPr>
          <w:rFonts w:ascii="Arial" w:eastAsia="Arial" w:hAnsi="Arial" w:cs="Arial"/>
          <w:i/>
          <w:color w:val="000000"/>
          <w:sz w:val="20"/>
        </w:rPr>
        <w:t>Halpern</w:t>
      </w:r>
      <w:r>
        <w:rPr>
          <w:rFonts w:ascii="Arial" w:eastAsia="Arial" w:hAnsi="Arial" w:cs="Arial"/>
          <w:color w:val="000000"/>
          <w:sz w:val="20"/>
        </w:rPr>
        <w:t>, 669 F.3d at 464, we hold that there is a genuine dispute of material fact on reasonableness.</w:t>
      </w:r>
    </w:p>
    <w:p w:rsidR="00E456CD" w:rsidRDefault="00000000">
      <w:pPr>
        <w:pStyle w:val="Normal6"/>
        <w:widowControl w:val="0"/>
        <w:spacing w:before="240" w:line="260" w:lineRule="atLeast"/>
      </w:pPr>
      <w:r>
        <w:br/>
      </w:r>
      <w:r>
        <w:rPr>
          <w:rFonts w:ascii="Arial" w:eastAsia="Arial" w:hAnsi="Arial" w:cs="Arial"/>
          <w:color w:val="000000"/>
          <w:sz w:val="20"/>
        </w:rPr>
        <w:t> [*676]  C.</w:t>
      </w:r>
    </w:p>
    <w:p w:rsidR="00E456CD" w:rsidRDefault="00000000">
      <w:pPr>
        <w:pStyle w:val="Normal6"/>
        <w:widowControl w:val="0"/>
        <w:spacing w:before="200" w:line="260" w:lineRule="atLeast"/>
        <w:jc w:val="both"/>
      </w:pPr>
      <w:bookmarkStart w:id="1542" w:name="Bookmark_para_55_0"/>
      <w:bookmarkStart w:id="1543" w:name="Bookmark_I5WBCV1028T3WB0030000400"/>
      <w:bookmarkStart w:id="1544" w:name="Bookmark_I5WBCV1028T3WB0050000400"/>
      <w:bookmarkEnd w:id="1542"/>
      <w:bookmarkEnd w:id="1543"/>
      <w:bookmarkEnd w:id="1544"/>
      <w:r>
        <w:rPr>
          <w:rFonts w:ascii="Arial" w:eastAsia="Arial" w:hAnsi="Arial" w:cs="Arial"/>
          <w:color w:val="000000"/>
          <w:sz w:val="20"/>
        </w:rPr>
        <w:t xml:space="preserve">Finally, we consider whether the requested modification would "fundamentally alter the nature" of the goods and services. 42 U.S.C. § 12182(b)(2)(A)(ii). </w:t>
      </w:r>
      <w:bookmarkStart w:id="1545" w:name="Bookmark_LNHNREFclscc12_2"/>
      <w:bookmarkEnd w:id="1545"/>
      <w:r>
        <w:rPr>
          <w:rFonts w:ascii="Arial" w:eastAsia="Arial" w:hAnsi="Arial" w:cs="Arial"/>
          <w:color w:val="000000"/>
          <w:sz w:val="20"/>
        </w:rPr>
        <w:t xml:space="preserve">"Under the ADA, a failure to make a reasonable modification is itself an act of discrimination unless the place of public accommodation can demonstrate that implementing the modification would fundamentally alter the nature of the program." </w:t>
      </w:r>
      <w:bookmarkStart w:id="1546" w:name="Bookmark_I5WBCV1028T3WB0020000400"/>
      <w:bookmarkEnd w:id="1546"/>
      <w:r>
        <w:rPr>
          <w:rFonts w:ascii="Arial" w:eastAsia="Arial" w:hAnsi="Arial" w:cs="Arial"/>
          <w:i/>
          <w:color w:val="000000"/>
          <w:sz w:val="20"/>
        </w:rPr>
        <w:t>Montalvo v. Radcliffe</w:t>
      </w:r>
      <w:r>
        <w:rPr>
          <w:rFonts w:ascii="Arial" w:eastAsia="Arial" w:hAnsi="Arial" w:cs="Arial"/>
          <w:color w:val="000000"/>
          <w:sz w:val="20"/>
        </w:rPr>
        <w:t xml:space="preserve">, 167 F.3d 873, 877 (4th Cir. 1999). Unlike the first two inquiries, the defendant bears the burden here. </w:t>
      </w:r>
      <w:r>
        <w:rPr>
          <w:rFonts w:ascii="Arial" w:eastAsia="Arial" w:hAnsi="Arial" w:cs="Arial"/>
          <w:i/>
          <w:color w:val="000000"/>
          <w:sz w:val="20"/>
        </w:rPr>
        <w:t xml:space="preserve">See </w:t>
      </w:r>
      <w:bookmarkStart w:id="1547" w:name="Bookmark_I5WBCV1028T3WB0040000400"/>
      <w:bookmarkEnd w:id="1547"/>
      <w:r>
        <w:rPr>
          <w:rFonts w:ascii="Arial" w:eastAsia="Arial" w:hAnsi="Arial" w:cs="Arial"/>
          <w:i/>
          <w:color w:val="000000"/>
          <w:sz w:val="20"/>
        </w:rPr>
        <w:t>Lamone</w:t>
      </w:r>
      <w:r>
        <w:rPr>
          <w:rFonts w:ascii="Arial" w:eastAsia="Arial" w:hAnsi="Arial" w:cs="Arial"/>
          <w:color w:val="000000"/>
          <w:sz w:val="20"/>
        </w:rPr>
        <w:t>, 813 F.3d at 508. But like the first two inquiries, we hold there is a genuine dispute of material fact as to whether granting J.D.'s request would have fundamentally altered the nature of the Colonial Williamsburg experience.</w:t>
      </w:r>
      <w:r>
        <w:rPr>
          <w:rFonts w:ascii="Arial" w:eastAsia="Arial" w:hAnsi="Arial" w:cs="Arial"/>
          <w:vertAlign w:val="superscript"/>
        </w:rPr>
        <w:footnoteReference w:customMarkFollows="1" w:id="67"/>
        <w:t>9</w:t>
      </w:r>
    </w:p>
    <w:p w:rsidR="00E456CD" w:rsidRDefault="00000000">
      <w:pPr>
        <w:pStyle w:val="Normal6"/>
        <w:widowControl w:val="0"/>
        <w:spacing w:before="200" w:line="260" w:lineRule="atLeast"/>
        <w:jc w:val="both"/>
      </w:pPr>
      <w:bookmarkStart w:id="1549" w:name="Bookmark_para_56_0"/>
      <w:bookmarkStart w:id="1550" w:name="Bookmark_I5WBCV102HM6DP0020000400"/>
      <w:bookmarkStart w:id="1551" w:name="Bookmark_I5WBCV1028T3WC0010000400"/>
      <w:bookmarkEnd w:id="1549"/>
      <w:bookmarkEnd w:id="1550"/>
      <w:bookmarkEnd w:id="1551"/>
      <w:r>
        <w:rPr>
          <w:rFonts w:ascii="Arial" w:eastAsia="Arial" w:hAnsi="Arial" w:cs="Arial"/>
          <w:color w:val="000000"/>
          <w:sz w:val="20"/>
        </w:rPr>
        <w:t xml:space="preserve">A "fundamental alteration" is a "modification to 'an essential aspect' of [a public accommodation's] program." </w:t>
      </w:r>
      <w:bookmarkStart w:id="1552" w:name="Bookmark_I5WBCV102HM6DP0010000400"/>
      <w:bookmarkEnd w:id="1552"/>
      <w:r>
        <w:rPr>
          <w:rFonts w:ascii="Arial" w:eastAsia="Arial" w:hAnsi="Arial" w:cs="Arial"/>
          <w:i/>
          <w:color w:val="000000"/>
          <w:sz w:val="20"/>
        </w:rPr>
        <w:t>Halpern</w:t>
      </w:r>
      <w:r>
        <w:rPr>
          <w:rFonts w:ascii="Arial" w:eastAsia="Arial" w:hAnsi="Arial" w:cs="Arial"/>
          <w:color w:val="000000"/>
          <w:sz w:val="20"/>
        </w:rPr>
        <w:t xml:space="preserve">, 669 F.3d at 464 (quoting </w:t>
      </w:r>
      <w:bookmarkStart w:id="1553" w:name="Bookmark_I5WBCV102HM6DP0030000400"/>
      <w:bookmarkEnd w:id="1553"/>
      <w:r>
        <w:rPr>
          <w:rFonts w:ascii="Arial" w:eastAsia="Arial" w:hAnsi="Arial" w:cs="Arial"/>
          <w:i/>
          <w:color w:val="000000"/>
          <w:sz w:val="20"/>
        </w:rPr>
        <w:t>Martin</w:t>
      </w:r>
      <w:r>
        <w:rPr>
          <w:rFonts w:ascii="Arial" w:eastAsia="Arial" w:hAnsi="Arial" w:cs="Arial"/>
          <w:color w:val="000000"/>
          <w:sz w:val="20"/>
        </w:rPr>
        <w:t xml:space="preserve">, 532 U.S. at 683). In </w:t>
      </w:r>
      <w:r>
        <w:rPr>
          <w:rFonts w:ascii="Arial" w:eastAsia="Arial" w:hAnsi="Arial" w:cs="Arial"/>
          <w:i/>
          <w:color w:val="000000"/>
          <w:sz w:val="20"/>
        </w:rPr>
        <w:t>Martin</w:t>
      </w:r>
      <w:r>
        <w:rPr>
          <w:rFonts w:ascii="Arial" w:eastAsia="Arial" w:hAnsi="Arial" w:cs="Arial"/>
          <w:color w:val="000000"/>
          <w:sz w:val="20"/>
        </w:rPr>
        <w:t xml:space="preserve">, the Supreme Court considered [**25]  whether a waiver of the PGA Tour's walking rule would fundamentally alter the nature of the tournaments. </w:t>
      </w:r>
      <w:bookmarkStart w:id="1554" w:name="Bookmark_I5WBCV1028T3WC0030000400"/>
      <w:bookmarkEnd w:id="1554"/>
      <w:r>
        <w:rPr>
          <w:rFonts w:ascii="Arial" w:eastAsia="Arial" w:hAnsi="Arial" w:cs="Arial"/>
          <w:color w:val="000000"/>
          <w:sz w:val="20"/>
        </w:rPr>
        <w:t xml:space="preserve">The Court first observed that the walking rule is "not an essential attribute of the game itself." </w:t>
      </w:r>
      <w:bookmarkStart w:id="1555" w:name="Bookmark_I5WBCV102HM6DP0050000400"/>
      <w:bookmarkEnd w:id="1555"/>
      <w:r>
        <w:rPr>
          <w:rFonts w:ascii="Arial" w:eastAsia="Arial" w:hAnsi="Arial" w:cs="Arial"/>
          <w:color w:val="000000"/>
          <w:sz w:val="20"/>
        </w:rPr>
        <w:t xml:space="preserve">532 U.S. at 684. </w:t>
      </w:r>
      <w:bookmarkStart w:id="1556" w:name="Bookmark_I5WBCV1028T3WC0030000400_2"/>
      <w:bookmarkEnd w:id="1556"/>
      <w:r>
        <w:rPr>
          <w:rFonts w:ascii="Arial" w:eastAsia="Arial" w:hAnsi="Arial" w:cs="Arial"/>
          <w:color w:val="000000"/>
          <w:sz w:val="20"/>
        </w:rPr>
        <w:t xml:space="preserve">The Court then rejected the argument that a waiver of this peripheral rule would alter the character of the competition by giving Martin an unfair advantage. Accepting that "the purpose of the walking rule is to subject players to fatigue, which in turn may influence the outcome of tournaments," the Court held that the purpose of the rule was "not compromised in the slightest" by the accommodation because it was uncontested that Martin "easily endures greater fatigue even with a cart than his able-bodied competitors do by walking." </w:t>
      </w:r>
      <w:bookmarkStart w:id="1557" w:name="Bookmark_I5WBCV1028T3WC0020000400"/>
      <w:bookmarkEnd w:id="1557"/>
      <w:r>
        <w:rPr>
          <w:rFonts w:ascii="Arial" w:eastAsia="Arial" w:hAnsi="Arial" w:cs="Arial"/>
          <w:i/>
          <w:color w:val="000000"/>
          <w:sz w:val="20"/>
        </w:rPr>
        <w:t>Id.</w:t>
      </w:r>
      <w:r>
        <w:rPr>
          <w:rFonts w:ascii="Arial" w:eastAsia="Arial" w:hAnsi="Arial" w:cs="Arial"/>
          <w:color w:val="000000"/>
          <w:sz w:val="20"/>
        </w:rPr>
        <w:t xml:space="preserve"> at 690. Thus, the modification did not fundamentally alter the tournament.</w:t>
      </w:r>
    </w:p>
    <w:p w:rsidR="00E456CD" w:rsidRDefault="00000000">
      <w:pPr>
        <w:pStyle w:val="Normal6"/>
        <w:widowControl w:val="0"/>
        <w:spacing w:before="200" w:line="260" w:lineRule="atLeast"/>
        <w:jc w:val="both"/>
      </w:pPr>
      <w:bookmarkStart w:id="1558" w:name="Bookmark_para_57_0"/>
      <w:bookmarkStart w:id="1559" w:name="Bookmark_I5WBCV1028T3WC0050000400"/>
      <w:bookmarkEnd w:id="1558"/>
      <w:bookmarkEnd w:id="1559"/>
      <w:r>
        <w:rPr>
          <w:rFonts w:ascii="Arial" w:eastAsia="Arial" w:hAnsi="Arial" w:cs="Arial"/>
          <w:color w:val="000000"/>
          <w:sz w:val="20"/>
        </w:rPr>
        <w:t xml:space="preserve">We reached a different conclusion in </w:t>
      </w:r>
      <w:r>
        <w:rPr>
          <w:rFonts w:ascii="Arial" w:eastAsia="Arial" w:hAnsi="Arial" w:cs="Arial"/>
          <w:i/>
          <w:color w:val="000000"/>
          <w:sz w:val="20"/>
        </w:rPr>
        <w:t>Montalvo</w:t>
      </w:r>
      <w:r>
        <w:rPr>
          <w:rFonts w:ascii="Arial" w:eastAsia="Arial" w:hAnsi="Arial" w:cs="Arial"/>
          <w:color w:val="000000"/>
          <w:sz w:val="20"/>
        </w:rPr>
        <w:t xml:space="preserve">. </w:t>
      </w:r>
      <w:bookmarkStart w:id="1560" w:name="Bookmark_I5WBCV102D6NC40020000400"/>
      <w:bookmarkEnd w:id="1560"/>
      <w:r>
        <w:rPr>
          <w:rFonts w:ascii="Arial" w:eastAsia="Arial" w:hAnsi="Arial" w:cs="Arial"/>
          <w:color w:val="000000"/>
          <w:sz w:val="20"/>
        </w:rPr>
        <w:t xml:space="preserve">There, a father tried to enroll his 12-year-old son, who was HIV-positive, into karate classes. </w:t>
      </w:r>
      <w:bookmarkStart w:id="1561" w:name="Bookmark_I5WBCV1028T3WC0040000400"/>
      <w:bookmarkEnd w:id="1561"/>
      <w:r>
        <w:rPr>
          <w:rFonts w:ascii="Arial" w:eastAsia="Arial" w:hAnsi="Arial" w:cs="Arial"/>
          <w:color w:val="000000"/>
          <w:sz w:val="20"/>
        </w:rPr>
        <w:t xml:space="preserve">167 F.3d at 875. The karate school denied the boy enrollment due to the risk of transmitting HIV to other students through physical contact and frequent bloody injuries. </w:t>
      </w:r>
      <w:bookmarkStart w:id="1562" w:name="Bookmark_I5WBCV102D6NC40020000400_2"/>
      <w:bookmarkEnd w:id="1562"/>
      <w:r>
        <w:rPr>
          <w:rFonts w:ascii="Arial" w:eastAsia="Arial" w:hAnsi="Arial" w:cs="Arial"/>
          <w:i/>
          <w:color w:val="000000"/>
          <w:sz w:val="20"/>
        </w:rPr>
        <w:t>Id.</w:t>
      </w:r>
      <w:r>
        <w:rPr>
          <w:rFonts w:ascii="Arial" w:eastAsia="Arial" w:hAnsi="Arial" w:cs="Arial"/>
          <w:color w:val="000000"/>
          <w:sz w:val="20"/>
        </w:rPr>
        <w:t xml:space="preserve"> We held that the school was entitled to reject a modification that would "soften the teaching [**26]  style of its program." </w:t>
      </w:r>
      <w:bookmarkStart w:id="1563" w:name="Bookmark_I5WBCV102D6NC40010000400"/>
      <w:bookmarkEnd w:id="1563"/>
      <w:r>
        <w:rPr>
          <w:rFonts w:ascii="Arial" w:eastAsia="Arial" w:hAnsi="Arial" w:cs="Arial"/>
          <w:i/>
          <w:color w:val="000000"/>
          <w:sz w:val="20"/>
        </w:rPr>
        <w:t>Id.</w:t>
      </w:r>
      <w:r>
        <w:rPr>
          <w:rFonts w:ascii="Arial" w:eastAsia="Arial" w:hAnsi="Arial" w:cs="Arial"/>
          <w:color w:val="000000"/>
          <w:sz w:val="20"/>
        </w:rPr>
        <w:t xml:space="preserve"> at 879. This program's "unique niche in the market was its adherence to traditional, 'hardstyle' Japanese karate," and contact between participants "was an integral aspect of such a program." </w:t>
      </w:r>
      <w:r>
        <w:rPr>
          <w:rFonts w:ascii="Arial" w:eastAsia="Arial" w:hAnsi="Arial" w:cs="Arial"/>
          <w:i/>
          <w:color w:val="000000"/>
          <w:sz w:val="20"/>
        </w:rPr>
        <w:t>Id.</w:t>
      </w:r>
      <w:r>
        <w:rPr>
          <w:rFonts w:ascii="Arial" w:eastAsia="Arial" w:hAnsi="Arial" w:cs="Arial"/>
          <w:color w:val="000000"/>
          <w:sz w:val="20"/>
        </w:rPr>
        <w:t xml:space="preserve"> Thus, requiring the school to make its program less combat-oriented would "constitute a fundamental alternation of the nature of its program." </w:t>
      </w:r>
      <w:r>
        <w:rPr>
          <w:rFonts w:ascii="Arial" w:eastAsia="Arial" w:hAnsi="Arial" w:cs="Arial"/>
          <w:i/>
          <w:color w:val="000000"/>
          <w:sz w:val="20"/>
        </w:rPr>
        <w:t>Id.</w:t>
      </w:r>
    </w:p>
    <w:p w:rsidR="00E456CD" w:rsidRDefault="00000000">
      <w:pPr>
        <w:pStyle w:val="Normal6"/>
        <w:widowControl w:val="0"/>
        <w:spacing w:before="200" w:line="260" w:lineRule="atLeast"/>
        <w:jc w:val="both"/>
      </w:pPr>
      <w:bookmarkStart w:id="1564" w:name="Bookmark_para_58_0"/>
      <w:bookmarkEnd w:id="1564"/>
      <w:r>
        <w:rPr>
          <w:rFonts w:ascii="Arial" w:eastAsia="Arial" w:hAnsi="Arial" w:cs="Arial"/>
          <w:color w:val="000000"/>
          <w:sz w:val="20"/>
        </w:rPr>
        <w:t xml:space="preserve">The case before us falls somewhere between </w:t>
      </w:r>
      <w:r>
        <w:rPr>
          <w:rFonts w:ascii="Arial" w:eastAsia="Arial" w:hAnsi="Arial" w:cs="Arial"/>
          <w:i/>
          <w:color w:val="000000"/>
          <w:sz w:val="20"/>
        </w:rPr>
        <w:t>Martin</w:t>
      </w:r>
      <w:r>
        <w:rPr>
          <w:rFonts w:ascii="Arial" w:eastAsia="Arial" w:hAnsi="Arial" w:cs="Arial"/>
          <w:color w:val="000000"/>
          <w:sz w:val="20"/>
        </w:rPr>
        <w:t xml:space="preserve"> and </w:t>
      </w:r>
      <w:r>
        <w:rPr>
          <w:rFonts w:ascii="Arial" w:eastAsia="Arial" w:hAnsi="Arial" w:cs="Arial"/>
          <w:i/>
          <w:color w:val="000000"/>
          <w:sz w:val="20"/>
        </w:rPr>
        <w:t>Montalvo</w:t>
      </w:r>
      <w:r>
        <w:rPr>
          <w:rFonts w:ascii="Arial" w:eastAsia="Arial" w:hAnsi="Arial" w:cs="Arial"/>
          <w:color w:val="000000"/>
          <w:sz w:val="20"/>
        </w:rPr>
        <w:t xml:space="preserve">. On one hand, as Colonial Williamsburg argues, food service is an essential aspect of Shields Tavern. Indeed, it's </w:t>
      </w:r>
      <w:r>
        <w:rPr>
          <w:rFonts w:ascii="Arial" w:eastAsia="Arial" w:hAnsi="Arial" w:cs="Arial"/>
          <w:i/>
          <w:color w:val="000000"/>
          <w:sz w:val="20"/>
        </w:rPr>
        <w:t>the</w:t>
      </w:r>
      <w:r>
        <w:rPr>
          <w:rFonts w:ascii="Arial" w:eastAsia="Arial" w:hAnsi="Arial" w:cs="Arial"/>
          <w:color w:val="000000"/>
          <w:sz w:val="20"/>
        </w:rPr>
        <w:t xml:space="preserve"> essential aspect. </w:t>
      </w:r>
      <w:bookmarkStart w:id="1565" w:name="Bookmark_I5WBCV102D6NC40040000400"/>
      <w:bookmarkEnd w:id="1565"/>
      <w:r>
        <w:rPr>
          <w:rFonts w:ascii="Arial" w:eastAsia="Arial" w:hAnsi="Arial" w:cs="Arial"/>
          <w:color w:val="000000"/>
          <w:sz w:val="20"/>
        </w:rPr>
        <w:t xml:space="preserve">Thus, a jury could reasonably find that requiring the Tavern to allow outside food would fundamentally alter the nature of this service. On the other hand, a jury could reasonably conclude that granting J.D.'s specific request would not have affected the experience of the other patrons in the restaurant. And though food sales are essential to Shields Tavern's bottom line, there is no evidence that Colonial  [*677]  Williamsburg has been deluged with requests from people seeking to bring in outside food such that it couldn't give "individualized attention to the handful of requests that it might receive." </w:t>
      </w:r>
      <w:bookmarkStart w:id="1566" w:name="Bookmark_I5WBCV102D6NC40030000400"/>
      <w:bookmarkEnd w:id="1566"/>
      <w:r>
        <w:rPr>
          <w:rFonts w:ascii="Arial" w:eastAsia="Arial" w:hAnsi="Arial" w:cs="Arial"/>
          <w:i/>
          <w:color w:val="000000"/>
          <w:sz w:val="20"/>
        </w:rPr>
        <w:t>Martin</w:t>
      </w:r>
      <w:r>
        <w:rPr>
          <w:rFonts w:ascii="Arial" w:eastAsia="Arial" w:hAnsi="Arial" w:cs="Arial"/>
          <w:color w:val="000000"/>
          <w:sz w:val="20"/>
        </w:rPr>
        <w:t>, 532 U.S. at 691. Thus, a jury could reasonably find that [**27]  accommodating the occasional request of someone with severe food sensitivities would not fundamentally alter the Tavern's business model, especially if other family members purchase food or (as happened here) if the meals are already paid for as part of a group rate. In short, the question whether granting J.D.'s request would fundamentally alter the nature of Shields Tavern's services may reasonably be resolved in favor of either party. Accordingly, this issue too is for a jury to decide.</w:t>
      </w:r>
    </w:p>
    <w:p w:rsidR="00E456CD" w:rsidRDefault="00000000">
      <w:pPr>
        <w:pStyle w:val="Normal6"/>
        <w:widowControl w:val="0"/>
        <w:spacing w:before="200" w:line="260" w:lineRule="atLeast"/>
        <w:jc w:val="both"/>
      </w:pPr>
      <w:bookmarkStart w:id="1567" w:name="Bookmark_para_59_0"/>
      <w:bookmarkEnd w:id="1567"/>
      <w:r>
        <w:rPr>
          <w:rFonts w:ascii="Arial" w:eastAsia="Arial" w:hAnsi="Arial" w:cs="Arial"/>
          <w:color w:val="000000"/>
          <w:sz w:val="20"/>
        </w:rPr>
        <w:t>***</w:t>
      </w:r>
    </w:p>
    <w:p w:rsidR="00E456CD" w:rsidRDefault="00000000">
      <w:pPr>
        <w:pStyle w:val="Normal6"/>
        <w:widowControl w:val="0"/>
        <w:spacing w:before="200" w:line="260" w:lineRule="atLeast"/>
        <w:jc w:val="both"/>
      </w:pPr>
      <w:bookmarkStart w:id="1568" w:name="Bookmark_para_60_0"/>
      <w:bookmarkEnd w:id="1568"/>
      <w:r>
        <w:rPr>
          <w:rFonts w:ascii="Arial" w:eastAsia="Arial" w:hAnsi="Arial" w:cs="Arial"/>
          <w:color w:val="000000"/>
          <w:sz w:val="20"/>
        </w:rPr>
        <w:t>For the reasons given, we vacate the district court's judgment and remand this case for further proceedings consistent with our opinion.</w:t>
      </w:r>
      <w:r>
        <w:rPr>
          <w:rFonts w:ascii="Arial" w:eastAsia="Arial" w:hAnsi="Arial" w:cs="Arial"/>
          <w:vertAlign w:val="superscript"/>
        </w:rPr>
        <w:footnoteReference w:customMarkFollows="1" w:id="68"/>
        <w:t>10</w:t>
      </w:r>
    </w:p>
    <w:p w:rsidR="00E456CD" w:rsidRDefault="00000000">
      <w:pPr>
        <w:pStyle w:val="Normal6"/>
        <w:widowControl w:val="0"/>
        <w:spacing w:before="200" w:line="260" w:lineRule="atLeast"/>
        <w:jc w:val="both"/>
      </w:pPr>
      <w:bookmarkStart w:id="1570" w:name="Bookmark_para_61_0"/>
      <w:bookmarkEnd w:id="1570"/>
      <w:r>
        <w:rPr>
          <w:rFonts w:ascii="Arial" w:eastAsia="Arial" w:hAnsi="Arial" w:cs="Arial"/>
          <w:i/>
          <w:color w:val="000000"/>
          <w:sz w:val="20"/>
        </w:rPr>
        <w:t>VACATED AND REMANDED</w:t>
      </w:r>
    </w:p>
    <w:p w:rsidR="00E456CD" w:rsidRDefault="00000000">
      <w:pPr>
        <w:pStyle w:val="Normal6"/>
        <w:widowControl w:val="0"/>
        <w:spacing w:before="240" w:line="260" w:lineRule="atLeast"/>
      </w:pPr>
      <w:bookmarkStart w:id="1571" w:name="Dissent_by_0"/>
      <w:bookmarkEnd w:id="1571"/>
      <w:r>
        <w:rPr>
          <w:rFonts w:ascii="Arial" w:eastAsia="Arial" w:hAnsi="Arial" w:cs="Arial"/>
          <w:b/>
          <w:color w:val="000000"/>
          <w:sz w:val="20"/>
        </w:rPr>
        <w:t>Dissent by:</w:t>
      </w:r>
      <w:r>
        <w:rPr>
          <w:rFonts w:ascii="Arial" w:eastAsia="Arial" w:hAnsi="Arial" w:cs="Arial"/>
          <w:color w:val="000000"/>
          <w:sz w:val="20"/>
        </w:rPr>
        <w:t> WILKINSON</w:t>
      </w:r>
    </w:p>
    <w:p w:rsidR="00E456CD" w:rsidRDefault="00000000">
      <w:pPr>
        <w:pStyle w:val="Normal6"/>
        <w:keepNext/>
        <w:widowControl w:val="0"/>
        <w:spacing w:before="240" w:line="340" w:lineRule="atLeast"/>
      </w:pPr>
      <w:bookmarkStart w:id="1572" w:name="Dissent_0"/>
      <w:bookmarkEnd w:id="1572"/>
      <w:r>
        <w:rPr>
          <w:rFonts w:ascii="Arial" w:eastAsia="Arial" w:hAnsi="Arial" w:cs="Arial"/>
          <w:b/>
          <w:color w:val="000000"/>
          <w:sz w:val="28"/>
        </w:rPr>
        <w:t>Dissent</w:t>
      </w:r>
    </w:p>
    <w:p w:rsidR="00E456CD" w:rsidRDefault="00E22289">
      <w:pPr>
        <w:pStyle w:val="Normal6"/>
        <w:spacing w:line="60" w:lineRule="exact"/>
      </w:pPr>
      <w:r>
        <w:rPr>
          <w:noProof/>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1142896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D7888" id="Line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6"/>
      </w:pPr>
    </w:p>
    <w:p w:rsidR="00E456CD" w:rsidRDefault="00000000">
      <w:pPr>
        <w:pStyle w:val="Normal6"/>
        <w:widowControl w:val="0"/>
        <w:spacing w:before="200" w:line="260" w:lineRule="atLeast"/>
        <w:jc w:val="both"/>
      </w:pPr>
      <w:bookmarkStart w:id="1573" w:name="Bookmark_para_62_0"/>
      <w:bookmarkEnd w:id="1573"/>
      <w:r>
        <w:rPr>
          <w:rFonts w:ascii="Arial" w:eastAsia="Arial" w:hAnsi="Arial" w:cs="Arial"/>
          <w:color w:val="000000"/>
          <w:sz w:val="20"/>
        </w:rPr>
        <w:t>WILKINSON, Circuit Judge, dissenting:</w:t>
      </w:r>
    </w:p>
    <w:p w:rsidR="00E456CD" w:rsidRDefault="00000000">
      <w:pPr>
        <w:pStyle w:val="Normal6"/>
        <w:widowControl w:val="0"/>
        <w:spacing w:before="200" w:line="260" w:lineRule="atLeast"/>
        <w:jc w:val="both"/>
      </w:pPr>
      <w:bookmarkStart w:id="1574" w:name="Bookmark_para_63_0"/>
      <w:bookmarkEnd w:id="1574"/>
      <w:r>
        <w:rPr>
          <w:rFonts w:ascii="Arial" w:eastAsia="Arial" w:hAnsi="Arial" w:cs="Arial"/>
          <w:color w:val="000000"/>
          <w:sz w:val="20"/>
        </w:rPr>
        <w:t>The majority's almost per se rule forces restaurants throughout the Fourth Circuit to give up control over their most valuable asset: the food they serve. This is a terrible rule. It forces restaurants to allow customers to bring in food prepared off the premises, in who knows what conditions, containing who knows what ingredients. It exposes the restaurants' patrons to public health risks, subjects the restaurants themselves to legal liability, and deprives servers of much needed tips. The accommodation [**28]  requested in this case was not necessary because of the Tavern's offer of a gluten-free meal prepared in house, which is what the district court and magistrate judge so found. I would certainly uphold their judgment, and additionally I would hold that the requested modification was unreasonable. For these reasons, I respectfully dissent.</w:t>
      </w:r>
    </w:p>
    <w:p w:rsidR="00E456CD" w:rsidRDefault="00000000">
      <w:pPr>
        <w:pStyle w:val="Normal6"/>
        <w:widowControl w:val="0"/>
        <w:spacing w:before="120" w:line="260" w:lineRule="atLeast"/>
      </w:pPr>
      <w:r>
        <w:rPr>
          <w:rFonts w:ascii="Arial" w:eastAsia="Arial" w:hAnsi="Arial" w:cs="Arial"/>
          <w:color w:val="000000"/>
          <w:sz w:val="20"/>
        </w:rPr>
        <w:t>I.</w:t>
      </w:r>
    </w:p>
    <w:p w:rsidR="00E456CD" w:rsidRDefault="00000000">
      <w:pPr>
        <w:pStyle w:val="Normal6"/>
        <w:widowControl w:val="0"/>
        <w:spacing w:before="200" w:line="260" w:lineRule="atLeast"/>
        <w:jc w:val="both"/>
      </w:pPr>
      <w:bookmarkStart w:id="1575" w:name="Bookmark_para_64_0"/>
      <w:bookmarkEnd w:id="1575"/>
      <w:r>
        <w:rPr>
          <w:rFonts w:ascii="Arial" w:eastAsia="Arial" w:hAnsi="Arial" w:cs="Arial"/>
          <w:color w:val="000000"/>
          <w:sz w:val="20"/>
        </w:rPr>
        <w:t>The magistrate's report and recommendation, adopted in full by the district court, J.A. 423, describes the Americans with Disabilities Act's requirement on places of public accommodation. J.A. 332-34. As relevant here, those requirements come from clause 12182(b)(2)(A)(ii) of Title 42, which defines discrimination as</w:t>
      </w:r>
    </w:p>
    <w:p w:rsidR="00E456CD" w:rsidRDefault="00000000">
      <w:pPr>
        <w:pStyle w:val="Normal6"/>
        <w:widowControl w:val="0"/>
        <w:spacing w:before="200" w:line="260" w:lineRule="atLeast"/>
        <w:ind w:left="400"/>
        <w:jc w:val="both"/>
      </w:pPr>
      <w:bookmarkStart w:id="1576" w:name="Bookmark_para_65_0"/>
      <w:bookmarkStart w:id="1577" w:name="Bookmark_I5VD0F0VHMM00006460000B9"/>
      <w:bookmarkStart w:id="1578" w:name="Bookmark_I5WBCV112HM6DT0010000400"/>
      <w:bookmarkEnd w:id="1576"/>
      <w:bookmarkEnd w:id="1577"/>
      <w:bookmarkEnd w:id="1578"/>
      <w:r>
        <w:rPr>
          <w:rFonts w:ascii="Arial" w:eastAsia="Arial" w:hAnsi="Arial" w:cs="Arial"/>
          <w:color w:val="000000"/>
          <w:sz w:val="20"/>
        </w:rPr>
        <w:t>a failure to make reasonable modifications in policies, practices, or procedures, when such modifications are necessary to afford such goods, services, facilities, privileges, advantages, or accommodations to individuals with disabilities, unless the entity can demonstrate that making such modifications would fundamentally alter the nature of such goods, services, facilities, privileges, advantages, or accommodations;</w:t>
      </w:r>
    </w:p>
    <w:p w:rsidR="00E456CD" w:rsidRDefault="00000000">
      <w:pPr>
        <w:pStyle w:val="Normal6"/>
        <w:widowControl w:val="0"/>
        <w:spacing w:before="200" w:line="260" w:lineRule="atLeast"/>
        <w:jc w:val="both"/>
      </w:pPr>
      <w:bookmarkStart w:id="1579" w:name="Bookmark_I5WBCV112HM6DT0010000400_2"/>
      <w:bookmarkEnd w:id="1579"/>
      <w:r>
        <w:rPr>
          <w:rFonts w:ascii="Arial" w:eastAsia="Arial" w:hAnsi="Arial" w:cs="Arial"/>
          <w:color w:val="000000"/>
          <w:sz w:val="20"/>
        </w:rPr>
        <w:t xml:space="preserve">The Supreme Court explained that this clause contemplates "three inquiries[:]" whether the modification requested by the [**29]  disabled individual is necessary, whether it is reasonable, and whether it would fundamentally alter the nature of the public accommodation. </w:t>
      </w:r>
      <w:bookmarkStart w:id="1580" w:name="Bookmark_I5WBCV102D6NC40050000400"/>
      <w:bookmarkEnd w:id="1580"/>
      <w:r>
        <w:rPr>
          <w:rFonts w:ascii="Arial" w:eastAsia="Arial" w:hAnsi="Arial" w:cs="Arial"/>
          <w:i/>
          <w:color w:val="000000"/>
          <w:sz w:val="20"/>
        </w:rPr>
        <w:t>PGA Tour, Inc. v. Martin</w:t>
      </w:r>
      <w:r>
        <w:rPr>
          <w:rFonts w:ascii="Arial" w:eastAsia="Arial" w:hAnsi="Arial" w:cs="Arial"/>
          <w:color w:val="000000"/>
          <w:sz w:val="20"/>
        </w:rPr>
        <w:t>, 532 U.S. 661, 683 n. 38, 121 S. Ct. 1879, 149 L. Ed. 2d 904 (2001). Accordingly, a public accommodation is not discriminating against a disabled individual by refusing to provide a modification that is not necessary or is not reasonable, which in my view is all that Colonial Williamsburg has done. While the majority claims its analysis is  [*678]  "individualized," Maj. Op. at 13, it is, as I shall demonstrate, tantamount to a ruling that restaurants must accept meals prepared outside their premises as a matter of course.</w:t>
      </w:r>
    </w:p>
    <w:p w:rsidR="00E456CD" w:rsidRDefault="00000000">
      <w:pPr>
        <w:pStyle w:val="Normal6"/>
        <w:widowControl w:val="0"/>
        <w:spacing w:before="120" w:line="260" w:lineRule="atLeast"/>
      </w:pPr>
      <w:r>
        <w:rPr>
          <w:rFonts w:ascii="Arial" w:eastAsia="Arial" w:hAnsi="Arial" w:cs="Arial"/>
          <w:color w:val="000000"/>
          <w:sz w:val="20"/>
        </w:rPr>
        <w:t>II.</w:t>
      </w:r>
    </w:p>
    <w:p w:rsidR="00E456CD" w:rsidRDefault="00000000">
      <w:pPr>
        <w:pStyle w:val="Normal6"/>
        <w:widowControl w:val="0"/>
        <w:spacing w:before="200" w:line="260" w:lineRule="atLeast"/>
        <w:jc w:val="both"/>
      </w:pPr>
      <w:bookmarkStart w:id="1581" w:name="Bookmark_para_66_0"/>
      <w:bookmarkEnd w:id="1581"/>
      <w:r>
        <w:rPr>
          <w:rFonts w:ascii="Arial" w:eastAsia="Arial" w:hAnsi="Arial" w:cs="Arial"/>
          <w:color w:val="000000"/>
          <w:sz w:val="20"/>
        </w:rPr>
        <w:t xml:space="preserve">I begin with necessity. </w:t>
      </w:r>
      <w:bookmarkStart w:id="1582" w:name="Bookmark_I5VD0F0VP3G00006460000BC"/>
      <w:bookmarkStart w:id="1583" w:name="Bookmark_I5WBCV112HM6DT0030000400"/>
      <w:bookmarkEnd w:id="1582"/>
      <w:bookmarkEnd w:id="1583"/>
      <w:r>
        <w:rPr>
          <w:rFonts w:ascii="Arial" w:eastAsia="Arial" w:hAnsi="Arial" w:cs="Arial"/>
          <w:color w:val="000000"/>
          <w:sz w:val="20"/>
        </w:rPr>
        <w:t xml:space="preserve">Necessity is determined with respect to the disabled person's ability to obtain "full and equal enjoyment" of a public accommodation. 42 U.S.C. § 12182(a). </w:t>
      </w:r>
      <w:bookmarkStart w:id="1584" w:name="Bookmark_I5VD0F0VS7D0000646000038"/>
      <w:bookmarkStart w:id="1585" w:name="Bookmark_I5VD0F0VXRG00006460000BG"/>
      <w:bookmarkStart w:id="1586" w:name="Bookmark_I5WBCV112HM6DT0050000400"/>
      <w:bookmarkEnd w:id="1584"/>
      <w:bookmarkEnd w:id="1585"/>
      <w:bookmarkEnd w:id="1586"/>
      <w:r>
        <w:rPr>
          <w:rFonts w:ascii="Arial" w:eastAsia="Arial" w:hAnsi="Arial" w:cs="Arial"/>
          <w:color w:val="000000"/>
          <w:sz w:val="20"/>
        </w:rPr>
        <w:t xml:space="preserve">This court recognizes, of course, that it is not always possible for the experience of a disabled person to be "identical" to that of a person who does not suffer from a disability. </w:t>
      </w:r>
      <w:bookmarkStart w:id="1587" w:name="Bookmark_I5WBCV112HM6DT0020000400"/>
      <w:bookmarkEnd w:id="1587"/>
      <w:r>
        <w:rPr>
          <w:rFonts w:ascii="Arial" w:eastAsia="Arial" w:hAnsi="Arial" w:cs="Arial"/>
          <w:i/>
          <w:color w:val="000000"/>
          <w:sz w:val="20"/>
        </w:rPr>
        <w:t>Feldman v. Pro Football, Inc.</w:t>
      </w:r>
      <w:r>
        <w:rPr>
          <w:rFonts w:ascii="Arial" w:eastAsia="Arial" w:hAnsi="Arial" w:cs="Arial"/>
          <w:color w:val="000000"/>
          <w:sz w:val="20"/>
        </w:rPr>
        <w:t xml:space="preserve">, 419 F. App'x 381, 391-92 (4th Cir. 2011). </w:t>
      </w:r>
      <w:bookmarkStart w:id="1588" w:name="Bookmark_I5WBCV112HM6DT0050000400_2"/>
      <w:bookmarkStart w:id="1589" w:name="Bookmark_I5VD0F0W2PC000064600003C"/>
      <w:bookmarkStart w:id="1590" w:name="Bookmark_I5WBCV112N1RJJ0040000400"/>
      <w:bookmarkEnd w:id="1588"/>
      <w:bookmarkEnd w:id="1589"/>
      <w:bookmarkEnd w:id="1590"/>
      <w:r>
        <w:rPr>
          <w:rFonts w:ascii="Arial" w:eastAsia="Arial" w:hAnsi="Arial" w:cs="Arial"/>
          <w:color w:val="000000"/>
          <w:sz w:val="20"/>
        </w:rPr>
        <w:t xml:space="preserve">Rather, the ADA simply requires that a disabled customer have an experience that is "as equal as possible[.]"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1591" w:name="Bookmark_I5WBCV112HM6DT0040000400"/>
      <w:bookmarkEnd w:id="1591"/>
      <w:r>
        <w:rPr>
          <w:rFonts w:ascii="Arial" w:eastAsia="Arial" w:hAnsi="Arial" w:cs="Arial"/>
          <w:i/>
          <w:color w:val="000000"/>
          <w:sz w:val="20"/>
        </w:rPr>
        <w:t>Baughman v. Walt Disney World Co.</w:t>
      </w:r>
      <w:r>
        <w:rPr>
          <w:rFonts w:ascii="Arial" w:eastAsia="Arial" w:hAnsi="Arial" w:cs="Arial"/>
          <w:color w:val="000000"/>
          <w:sz w:val="20"/>
        </w:rPr>
        <w:t xml:space="preserve">, 685 F.3d 1131, 1135 (9th Cir. 2012); </w:t>
      </w:r>
      <w:bookmarkStart w:id="1592" w:name="Bookmark_I5WBCV112N1RJJ0010000400"/>
      <w:bookmarkEnd w:id="1592"/>
      <w:r>
        <w:rPr>
          <w:rFonts w:ascii="Arial" w:eastAsia="Arial" w:hAnsi="Arial" w:cs="Arial"/>
          <w:i/>
          <w:color w:val="000000"/>
          <w:sz w:val="20"/>
        </w:rPr>
        <w:t>Argenyi v. Creighton Univ.</w:t>
      </w:r>
      <w:r>
        <w:rPr>
          <w:rFonts w:ascii="Arial" w:eastAsia="Arial" w:hAnsi="Arial" w:cs="Arial"/>
          <w:color w:val="000000"/>
          <w:sz w:val="20"/>
        </w:rPr>
        <w:t xml:space="preserve">, 703 F.3d 441, 447-49 (8th Cir. 2013). </w:t>
      </w:r>
      <w:bookmarkStart w:id="1593" w:name="Bookmark_I5WBCV112N1RJJ0040000400_2"/>
      <w:bookmarkEnd w:id="1593"/>
      <w:r>
        <w:rPr>
          <w:rFonts w:ascii="Arial" w:eastAsia="Arial" w:hAnsi="Arial" w:cs="Arial"/>
          <w:color w:val="000000"/>
          <w:sz w:val="20"/>
        </w:rPr>
        <w:t xml:space="preserve">As long as a disabled guest has "meaningful access" to a place of public accommodation, the ADA's requirements are satisfied. </w:t>
      </w:r>
      <w:bookmarkStart w:id="1594" w:name="Bookmark_I5WBCV112N1RJJ0030000400"/>
      <w:bookmarkEnd w:id="1594"/>
      <w:r>
        <w:rPr>
          <w:rFonts w:ascii="Arial" w:eastAsia="Arial" w:hAnsi="Arial" w:cs="Arial"/>
          <w:i/>
          <w:color w:val="000000"/>
          <w:sz w:val="20"/>
        </w:rPr>
        <w:t>Argenyi</w:t>
      </w:r>
      <w:r>
        <w:rPr>
          <w:rFonts w:ascii="Arial" w:eastAsia="Arial" w:hAnsi="Arial" w:cs="Arial"/>
          <w:color w:val="000000"/>
          <w:sz w:val="20"/>
        </w:rPr>
        <w:t>, 703 F.3d at 448.</w:t>
      </w:r>
    </w:p>
    <w:p w:rsidR="00E456CD" w:rsidRDefault="00000000">
      <w:pPr>
        <w:pStyle w:val="Normal6"/>
        <w:widowControl w:val="0"/>
        <w:spacing w:before="200" w:line="260" w:lineRule="atLeast"/>
        <w:jc w:val="both"/>
      </w:pPr>
      <w:bookmarkStart w:id="1595" w:name="Bookmark_para_67_0"/>
      <w:bookmarkEnd w:id="1595"/>
      <w:r>
        <w:rPr>
          <w:rFonts w:ascii="Arial" w:eastAsia="Arial" w:hAnsi="Arial" w:cs="Arial"/>
          <w:color w:val="000000"/>
          <w:sz w:val="20"/>
        </w:rPr>
        <w:t>The availability [**30]  of a Tavern-prepared gluten-free meal allowed J.D. "meaningful access" to the restaurant's offerings and renders the modification sought by J.D. unnecessary. When J.D. arrived at the Tavern on his class trip, the head chef, Anthony Zurowski, offered to personally make and serve J.D. a gluten-free meal. Had J.D. accepted this offer, he would have been able to sit with his classmates inside the Tavern and enjoy its educational offering along side them. But, instead of accepting the offer, J.D. decided that he would eat a meal prepared at home. He was asked by the Tavern to do so at some nearby picnic tables. After finishing his home-prepared meal, J.D. rejoined his classmates in the Tavern for the remainder of their time there.</w:t>
      </w:r>
    </w:p>
    <w:p w:rsidR="00E456CD" w:rsidRDefault="00000000">
      <w:pPr>
        <w:pStyle w:val="Normal6"/>
        <w:widowControl w:val="0"/>
        <w:spacing w:before="200" w:line="260" w:lineRule="atLeast"/>
        <w:jc w:val="both"/>
      </w:pPr>
      <w:bookmarkStart w:id="1596" w:name="Bookmark_para_68_0"/>
      <w:bookmarkEnd w:id="1596"/>
      <w:r>
        <w:rPr>
          <w:rFonts w:ascii="Arial" w:eastAsia="Arial" w:hAnsi="Arial" w:cs="Arial"/>
          <w:color w:val="000000"/>
          <w:sz w:val="20"/>
        </w:rPr>
        <w:t>I fully respect J.D.'s desire for a gluten-free meal. As appellant notes, Celiac Disease and Non-Celiac Gluten Sensitivity can, if not properly managed, result in severe health effects. Opening Br. for Appellant at 8-9. Of course J.D. should take all reasonable precautions to keep his condition in check, and of course his father is to be commended for wanting to do what he can to protect his son. J.D.'s dietary restriction makes great sense. If the Tavern, a well-known [**31]  tourist destination that serves multitudes of patrons from around the world, were not offering J.D. a gluten-free meal we would have a different case.</w:t>
      </w:r>
    </w:p>
    <w:p w:rsidR="00E456CD" w:rsidRDefault="00000000">
      <w:pPr>
        <w:pStyle w:val="Normal6"/>
        <w:widowControl w:val="0"/>
        <w:spacing w:before="200" w:line="260" w:lineRule="atLeast"/>
        <w:jc w:val="both"/>
      </w:pPr>
      <w:bookmarkStart w:id="1597" w:name="Bookmark_para_69_0"/>
      <w:bookmarkEnd w:id="1597"/>
      <w:r>
        <w:rPr>
          <w:rFonts w:ascii="Arial" w:eastAsia="Arial" w:hAnsi="Arial" w:cs="Arial"/>
          <w:color w:val="000000"/>
          <w:sz w:val="20"/>
        </w:rPr>
        <w:t>But that is not what happened here. In this case, J.D.'s own expert testified that the meal offered by Zurowski—baked chicken and potatoes—would be gluten-free. There is no dispute that Zurowski had extensive training as a chef, including one-on-one training from Colonial Williamsburg's head chef specifically focused on gluten-free meal preparation. J.A. 87-88. In light of that training, there is no dispute that Zurowski knew how to ensure that J.D.'s gluten-free meal was not contaminated by any trace amounts of gluten: he knew to use a separate designated area to prepare the meal, he knew to sanitize the area and his utensils beforehand, he knew to use a fresh set of gloves and apron, and he knew to use a separate oven. J.A. 337-39. Once it left the kitchen, there is no dispute that the Tavern's procedures required that J.D.'s meal be labeled as gluten-free and that it be specially covered with a metal lid to avoid cross contamination. J.A. 339. And there is no dispute that the Tavern had extensive experience preparing gluten-free meals [**32]  for patrons with disabilities that were similar to J.D.'s: Over the past five years, Zurowski had prepared roughly four to five gluten-free meals a day, for a total of over  [*679]  5,000 meals, without ever receiving a single complaint that the meals actually contained gluten. J.A. 339. J.D.'s father even admitted he had no reason not to trust the Tavern's kitchen staff. J.A. 341.</w:t>
      </w:r>
    </w:p>
    <w:p w:rsidR="00E456CD" w:rsidRDefault="00000000">
      <w:pPr>
        <w:pStyle w:val="Normal6"/>
        <w:widowControl w:val="0"/>
        <w:spacing w:before="200" w:line="260" w:lineRule="atLeast"/>
        <w:jc w:val="both"/>
      </w:pPr>
      <w:bookmarkStart w:id="1598" w:name="Bookmark_para_70_0"/>
      <w:bookmarkEnd w:id="1598"/>
      <w:r>
        <w:rPr>
          <w:rFonts w:ascii="Arial" w:eastAsia="Arial" w:hAnsi="Arial" w:cs="Arial"/>
          <w:color w:val="000000"/>
          <w:sz w:val="20"/>
        </w:rPr>
        <w:t xml:space="preserve">J.D. does allege two unfortunate experiences at other restaurants assertedly offering gluten-free meals. But the reasons for those restaurants' purported failures are but hastily and sketchily described in the record, while a wealth of undisputed information attests to the rigor and adequacy of the Tavern's preparations. Given the unchallenged facts, the district court was absolutely correct to grant appellee's summary judgment motion. </w:t>
      </w:r>
      <w:bookmarkStart w:id="1599" w:name="Bookmark_I5VD0F0W71T000064600003F"/>
      <w:bookmarkStart w:id="1600" w:name="Bookmark_I5VD0F0W9RY000064600003G"/>
      <w:bookmarkStart w:id="1601" w:name="Bookmark_I5WBCV112D6NC50010000400"/>
      <w:bookmarkEnd w:id="1599"/>
      <w:bookmarkEnd w:id="1600"/>
      <w:bookmarkEnd w:id="1601"/>
      <w:r>
        <w:rPr>
          <w:rFonts w:ascii="Arial" w:eastAsia="Arial" w:hAnsi="Arial" w:cs="Arial"/>
          <w:color w:val="000000"/>
          <w:sz w:val="20"/>
        </w:rPr>
        <w:t xml:space="preserve">Had J.D. accepted the Tavern's bona fide offer of a gluten-free meal, his experience would have been almost identical to that of his classmates. Any difference in his experience was caused by his rejection of that offer and his desire to replace the Tavern's accommodation with his own. But the ADA does not require places of public accommodation to provide the precise modification requested [**33]  by the disabled individual. </w:t>
      </w:r>
      <w:bookmarkStart w:id="1602" w:name="Bookmark_I5WBCV112N1RJJ0050000400"/>
      <w:bookmarkEnd w:id="1602"/>
      <w:r>
        <w:rPr>
          <w:rFonts w:ascii="Arial" w:eastAsia="Arial" w:hAnsi="Arial" w:cs="Arial"/>
          <w:i/>
          <w:color w:val="000000"/>
          <w:sz w:val="20"/>
        </w:rPr>
        <w:t>Callum v. CVS Health Corporation</w:t>
      </w:r>
      <w:r>
        <w:rPr>
          <w:rFonts w:ascii="Arial" w:eastAsia="Arial" w:hAnsi="Arial" w:cs="Arial"/>
          <w:color w:val="000000"/>
          <w:sz w:val="20"/>
        </w:rPr>
        <w:t xml:space="preserve">, 137 F.Supp.3d 817, 840 (D.S.C. 2015) (citing </w:t>
      </w:r>
      <w:bookmarkStart w:id="1603" w:name="Bookmark_I5WBCV112D6NC50020000400"/>
      <w:bookmarkEnd w:id="1603"/>
      <w:r>
        <w:rPr>
          <w:rFonts w:ascii="Arial" w:eastAsia="Arial" w:hAnsi="Arial" w:cs="Arial"/>
          <w:i/>
          <w:color w:val="000000"/>
          <w:sz w:val="20"/>
        </w:rPr>
        <w:t>McElwee v. Cnty of Orange</w:t>
      </w:r>
      <w:r>
        <w:rPr>
          <w:rFonts w:ascii="Arial" w:eastAsia="Arial" w:hAnsi="Arial" w:cs="Arial"/>
          <w:color w:val="000000"/>
          <w:sz w:val="20"/>
        </w:rPr>
        <w:t>, 700 F.3d 635, 641 (2d Cir. 2012)). Rather, the ADA allows places of public accommodation like Shields Tavern the freedom to decide how best to provide "meaningful access" to patrons with disabilities. The undisputed facts in the record demonstrate convincingly that the Tavern's offer to J.D. meets this standard; J.D.'s requested modification was not necessary.</w:t>
      </w:r>
    </w:p>
    <w:p w:rsidR="00E456CD" w:rsidRDefault="00000000">
      <w:pPr>
        <w:pStyle w:val="Normal6"/>
        <w:widowControl w:val="0"/>
        <w:spacing w:before="120" w:line="260" w:lineRule="atLeast"/>
      </w:pPr>
      <w:r>
        <w:rPr>
          <w:rFonts w:ascii="Arial" w:eastAsia="Arial" w:hAnsi="Arial" w:cs="Arial"/>
          <w:color w:val="000000"/>
          <w:sz w:val="20"/>
        </w:rPr>
        <w:t>III.</w:t>
      </w:r>
    </w:p>
    <w:p w:rsidR="00E456CD" w:rsidRDefault="00000000">
      <w:pPr>
        <w:pStyle w:val="Normal6"/>
        <w:widowControl w:val="0"/>
        <w:spacing w:before="200" w:line="260" w:lineRule="atLeast"/>
        <w:jc w:val="both"/>
      </w:pPr>
      <w:bookmarkStart w:id="1604" w:name="Bookmark_para_71_0"/>
      <w:bookmarkStart w:id="1605" w:name="Bookmark_I5VD0F0WDJ2000064600003H"/>
      <w:bookmarkStart w:id="1606" w:name="Bookmark_I5WBCV112D6NC50050000400"/>
      <w:bookmarkStart w:id="1607" w:name="Bookmark_I5VD0F0WH5B000064600003J"/>
      <w:bookmarkStart w:id="1608" w:name="Bookmark_I5WBCV112SF8GY0020000400"/>
      <w:bookmarkEnd w:id="1604"/>
      <w:bookmarkEnd w:id="1605"/>
      <w:bookmarkEnd w:id="1606"/>
      <w:bookmarkEnd w:id="1607"/>
      <w:bookmarkEnd w:id="1608"/>
      <w:r>
        <w:rPr>
          <w:rFonts w:ascii="Arial" w:eastAsia="Arial" w:hAnsi="Arial" w:cs="Arial"/>
          <w:color w:val="000000"/>
          <w:sz w:val="20"/>
        </w:rPr>
        <w:t xml:space="preserve">In addition to being unnecessary, J.D.'s requested modification was not required by the ADA because it was unreasonable. </w:t>
      </w:r>
      <w:r>
        <w:rPr>
          <w:rFonts w:ascii="Arial" w:eastAsia="Arial" w:hAnsi="Arial" w:cs="Arial"/>
          <w:i/>
          <w:color w:val="000000"/>
          <w:sz w:val="20"/>
        </w:rPr>
        <w:t xml:space="preserve">See </w:t>
      </w:r>
      <w:bookmarkStart w:id="1609" w:name="Bookmark_I5WBCV112D6NC50040000400"/>
      <w:bookmarkEnd w:id="1609"/>
      <w:r>
        <w:rPr>
          <w:rFonts w:ascii="Arial" w:eastAsia="Arial" w:hAnsi="Arial" w:cs="Arial"/>
          <w:i/>
          <w:color w:val="000000"/>
          <w:sz w:val="20"/>
        </w:rPr>
        <w:t>PGA Tour</w:t>
      </w:r>
      <w:r>
        <w:rPr>
          <w:rFonts w:ascii="Arial" w:eastAsia="Arial" w:hAnsi="Arial" w:cs="Arial"/>
          <w:color w:val="000000"/>
          <w:sz w:val="20"/>
        </w:rPr>
        <w:t xml:space="preserve">, 532 U.S. at 683, n.38. </w:t>
      </w:r>
      <w:bookmarkStart w:id="1610" w:name="Bookmark_I5VD0F0WKNW000064600003K"/>
      <w:bookmarkStart w:id="1611" w:name="Bookmark_I5WBCV112SF8GY0040000400"/>
      <w:bookmarkEnd w:id="1610"/>
      <w:bookmarkEnd w:id="1611"/>
      <w:r>
        <w:rPr>
          <w:rFonts w:ascii="Arial" w:eastAsia="Arial" w:hAnsi="Arial" w:cs="Arial"/>
          <w:color w:val="000000"/>
          <w:sz w:val="20"/>
        </w:rPr>
        <w:t xml:space="preserve">As the majority concedes, "[f]acilities are not required to make any and all possible accommodations that would provide full and equal access to disabled patrons[;]" they "need only make accommodations that are reasonable." Maj. Op. at 18 (quoting </w:t>
      </w:r>
      <w:bookmarkStart w:id="1612" w:name="Bookmark_I5WBCV112SF8GY0010000400"/>
      <w:bookmarkEnd w:id="1612"/>
      <w:r>
        <w:rPr>
          <w:rFonts w:ascii="Arial" w:eastAsia="Arial" w:hAnsi="Arial" w:cs="Arial"/>
          <w:i/>
          <w:color w:val="000000"/>
          <w:sz w:val="20"/>
        </w:rPr>
        <w:t>Baughman v. Walt Disney World Co.</w:t>
      </w:r>
      <w:r>
        <w:rPr>
          <w:rFonts w:ascii="Arial" w:eastAsia="Arial" w:hAnsi="Arial" w:cs="Arial"/>
          <w:color w:val="000000"/>
          <w:sz w:val="20"/>
        </w:rPr>
        <w:t xml:space="preserve">, 685 F.3d 1131, 1135 (9th Cir. 2012)). </w:t>
      </w:r>
      <w:bookmarkStart w:id="1613" w:name="Bookmark_I5WBCV112SF8GY0040000400_2"/>
      <w:bookmarkEnd w:id="1613"/>
      <w:r>
        <w:rPr>
          <w:rFonts w:ascii="Arial" w:eastAsia="Arial" w:hAnsi="Arial" w:cs="Arial"/>
          <w:color w:val="000000"/>
          <w:sz w:val="20"/>
        </w:rPr>
        <w:t xml:space="preserve">Reasonableness, in turn, is evaluated with respect to the "disruption of [the restaurant's] business" and the threat to "safety" occasioned by the modification. </w:t>
      </w:r>
      <w:bookmarkStart w:id="1614" w:name="Bookmark_I5WBCV112SF8GY0030000400"/>
      <w:bookmarkEnd w:id="1614"/>
      <w:r>
        <w:rPr>
          <w:rFonts w:ascii="Arial" w:eastAsia="Arial" w:hAnsi="Arial" w:cs="Arial"/>
          <w:i/>
          <w:color w:val="000000"/>
          <w:sz w:val="20"/>
        </w:rPr>
        <w:t>Baughman</w:t>
      </w:r>
      <w:r>
        <w:rPr>
          <w:rFonts w:ascii="Arial" w:eastAsia="Arial" w:hAnsi="Arial" w:cs="Arial"/>
          <w:color w:val="000000"/>
          <w:sz w:val="20"/>
        </w:rPr>
        <w:t>, 685 F.3d at 1135.</w:t>
      </w:r>
    </w:p>
    <w:p w:rsidR="00E456CD" w:rsidRDefault="00000000">
      <w:pPr>
        <w:pStyle w:val="Normal6"/>
        <w:widowControl w:val="0"/>
        <w:spacing w:before="200" w:line="260" w:lineRule="atLeast"/>
        <w:jc w:val="both"/>
      </w:pPr>
      <w:bookmarkStart w:id="1615" w:name="Bookmark_para_72_0"/>
      <w:bookmarkEnd w:id="1615"/>
      <w:r>
        <w:rPr>
          <w:rFonts w:ascii="Arial" w:eastAsia="Arial" w:hAnsi="Arial" w:cs="Arial"/>
          <w:color w:val="000000"/>
          <w:sz w:val="20"/>
        </w:rPr>
        <w:t>A policy that allows patrons to consume home-prepared meals inside the Tavern with no advance notice would effect a significant disruption in the Tavern's business. Shields Tavern, unlike most of Colonial Williamsburg, is primarily "in the business of selling food." Br. for Appellee at 30. [**34]  It is further in the business of providing "the atmosphere of an eighteen-century colonial tavern[,]" with an eye toward educating patrons about our shared past. J.A. 342. We need not decide between these two characterizations of the Tavern's business, because they are easily reconcilable: The Tavern's menu—like its interior design, the costume of its servers, and the presence of reenactors—works to create the overall impression of being transported back in time. J.A. 59-60.</w:t>
      </w:r>
    </w:p>
    <w:p w:rsidR="00E456CD" w:rsidRDefault="00000000">
      <w:pPr>
        <w:pStyle w:val="Normal6"/>
        <w:widowControl w:val="0"/>
        <w:spacing w:before="200" w:line="260" w:lineRule="atLeast"/>
        <w:jc w:val="both"/>
      </w:pPr>
      <w:bookmarkStart w:id="1616" w:name="Bookmark_para_73_0"/>
      <w:bookmarkEnd w:id="1616"/>
      <w:r>
        <w:rPr>
          <w:rFonts w:ascii="Arial" w:eastAsia="Arial" w:hAnsi="Arial" w:cs="Arial"/>
          <w:color w:val="000000"/>
          <w:sz w:val="20"/>
        </w:rPr>
        <w:t>Allowing patrons to ignore the restaurant's menu would disrupt this business. It would let people bring in their own meals, occupy the Tavern's tables, engage the time and attention of the Tavern's servers, and otherwise divert the Tavern's resources from paying customers, all without ever purchasing food from the Tavern itself. The disruption is plain. Such a policy would deny the restaurant much-needed revenue—the restaurant business is notoriously a low-margin one. It would also deny the servers the gratuities they rely on to make ends meet, as tips are usually calculated with respect to the cost of the food ordered from the restaurant. These  [*680]  disruptions are in no way mandated by the ADA.</w:t>
      </w:r>
    </w:p>
    <w:p w:rsidR="00E456CD" w:rsidRDefault="00000000">
      <w:pPr>
        <w:pStyle w:val="Normal6"/>
        <w:widowControl w:val="0"/>
        <w:spacing w:before="200" w:line="260" w:lineRule="atLeast"/>
        <w:jc w:val="both"/>
      </w:pPr>
      <w:bookmarkStart w:id="1617" w:name="Bookmark_para_74_0"/>
      <w:bookmarkEnd w:id="1617"/>
      <w:r>
        <w:rPr>
          <w:rFonts w:ascii="Arial" w:eastAsia="Arial" w:hAnsi="Arial" w:cs="Arial"/>
          <w:color w:val="000000"/>
          <w:sz w:val="20"/>
        </w:rPr>
        <w:t>The proposed modification [**35]  would also disrupt the carefully cultivated eighteenth-century atmosphere of the Tavern. The dishes served at the Tavern, while "modern[,]" Br. for Appellee at 30, are consistent with the "atmosphere" identified by the magistrate judge. J.A. 342. The aroma and appearance of turkey or chicken would not be too alien to Williamsburg's early inhabitants. But allowing patrons to consume home-prepared meals would open the gates to all manner of cuisines, without any respect for the Tavern's historical theme. People could bring in food that is utterly inconsistent with the atmosphere provided by the Tavern. The smell of such food, or even its appearance, would spoil and undercut the experience for paying customers.</w:t>
      </w:r>
    </w:p>
    <w:p w:rsidR="00E456CD" w:rsidRDefault="00000000">
      <w:pPr>
        <w:pStyle w:val="Normal6"/>
        <w:widowControl w:val="0"/>
        <w:spacing w:before="200" w:line="260" w:lineRule="atLeast"/>
        <w:jc w:val="both"/>
      </w:pPr>
      <w:bookmarkStart w:id="1618" w:name="Bookmark_para_75_0"/>
      <w:bookmarkEnd w:id="1618"/>
      <w:r>
        <w:rPr>
          <w:rFonts w:ascii="Arial" w:eastAsia="Arial" w:hAnsi="Arial" w:cs="Arial"/>
          <w:color w:val="000000"/>
          <w:sz w:val="20"/>
        </w:rPr>
        <w:t xml:space="preserve">But that is not all. In addition to the disruptions to the Tavern's business, the proposed modification is also unreasonable because it poses safety hazards to the Tavern's other customers. The presence of outside food in the restaurant presents a risk of provoking food allergies or sensitivities in other patrons. The Commonwealth of Virginia may have had this concern in mind when it enacted the provision of its health code that prohibits "[f]ood prepared in a private home" from [**36]  being "used or offered" by a restaurant. 12 Va. Admin. Code 5-421-270(B). Whether or not it actually prohibits customers from consuming their own home-prepared meal in a public restaurant, the provision demonstrates that the Commonwealth knows well the risks of food prepared in private, uninspected kitchens. Another section of Virginia's health code would make the Tavern legally responsible should the outside food contaminate the food prepared in the restaurant. </w:t>
      </w:r>
      <w:r>
        <w:rPr>
          <w:rFonts w:ascii="Arial" w:eastAsia="Arial" w:hAnsi="Arial" w:cs="Arial"/>
          <w:i/>
          <w:color w:val="000000"/>
          <w:sz w:val="20"/>
        </w:rPr>
        <w:t>See</w:t>
      </w:r>
      <w:r>
        <w:rPr>
          <w:rFonts w:ascii="Arial" w:eastAsia="Arial" w:hAnsi="Arial" w:cs="Arial"/>
          <w:color w:val="000000"/>
          <w:sz w:val="20"/>
        </w:rPr>
        <w:t xml:space="preserve"> 12 Va. Admin. Code 5-421-690. These provisions do not trump the ADA, but they certainly bear on the reasonableness of the proposed modification.</w:t>
      </w:r>
    </w:p>
    <w:p w:rsidR="00E456CD" w:rsidRDefault="00000000">
      <w:pPr>
        <w:pStyle w:val="Normal6"/>
        <w:widowControl w:val="0"/>
        <w:spacing w:before="200" w:line="260" w:lineRule="atLeast"/>
        <w:jc w:val="both"/>
      </w:pPr>
      <w:bookmarkStart w:id="1619" w:name="Bookmark_para_76_0"/>
      <w:bookmarkEnd w:id="1619"/>
      <w:r>
        <w:rPr>
          <w:rFonts w:ascii="Arial" w:eastAsia="Arial" w:hAnsi="Arial" w:cs="Arial"/>
          <w:color w:val="000000"/>
          <w:sz w:val="20"/>
        </w:rPr>
        <w:t xml:space="preserve">These safety concerns are particularly pressing in light of the erosion of public health systems more generally. Public health and sanitation may not rank among humanity's most glamorous and heralded medical achievements, but they have contributed immeasurably to the quality of life we enjoy. They cannot, however, be taken for granted: Contagions as diverse as Ebola and measles might suggest the need for sanitary vigilance even to the unwary. </w:t>
      </w:r>
      <w:r>
        <w:rPr>
          <w:rFonts w:ascii="Arial" w:eastAsia="Arial" w:hAnsi="Arial" w:cs="Arial"/>
          <w:i/>
          <w:color w:val="000000"/>
          <w:sz w:val="20"/>
        </w:rPr>
        <w:t>See, e.g.</w:t>
      </w:r>
      <w:r>
        <w:rPr>
          <w:rFonts w:ascii="Arial" w:eastAsia="Arial" w:hAnsi="Arial" w:cs="Arial"/>
          <w:color w:val="000000"/>
          <w:sz w:val="20"/>
        </w:rPr>
        <w:t xml:space="preserve"> "Measles," </w:t>
      </w:r>
      <w:r>
        <w:rPr>
          <w:rFonts w:ascii="Arial" w:eastAsia="Arial" w:hAnsi="Arial" w:cs="Arial"/>
          <w:i/>
          <w:color w:val="000000"/>
          <w:sz w:val="20"/>
        </w:rPr>
        <w:t>Epidemiology and Prevention of Vaccine-Preventable Diseases</w:t>
      </w:r>
      <w:r>
        <w:rPr>
          <w:rFonts w:ascii="Arial" w:eastAsia="Arial" w:hAnsi="Arial" w:cs="Arial"/>
          <w:color w:val="000000"/>
          <w:sz w:val="20"/>
        </w:rPr>
        <w:t>, Centers for Disease Control and Prevention (13th ed. 2015). Public health departments and restaurants cannot afford [**37]  the luxury of carelessness where, as here, they deal in such basics as the safety of food and water.</w:t>
      </w:r>
    </w:p>
    <w:p w:rsidR="00E456CD" w:rsidRDefault="00000000">
      <w:pPr>
        <w:pStyle w:val="Normal6"/>
        <w:widowControl w:val="0"/>
        <w:spacing w:before="200" w:line="260" w:lineRule="atLeast"/>
        <w:jc w:val="both"/>
      </w:pPr>
      <w:bookmarkStart w:id="1620" w:name="Bookmark_para_77_0"/>
      <w:bookmarkEnd w:id="1620"/>
      <w:r>
        <w:rPr>
          <w:rFonts w:ascii="Arial" w:eastAsia="Arial" w:hAnsi="Arial" w:cs="Arial"/>
          <w:color w:val="000000"/>
          <w:sz w:val="20"/>
        </w:rPr>
        <w:t>Finally, the proposed modification is unreasonable because it imposes a vague and unmanageable standard on restaurants everywhere. The majority's rule means that a patron's demand that he be allowed to eat outside food will sometimes be reasonable and other times not. This puts managers in the middle of a difficult line-drawing exercise: What criteria are they supposed to use in navigating the tension between the ADA's requirements and public health law? Which privately prepared meals must they allow and which may they refuse? The majority wouldn't even require advance notice from customers in J.D.'s position, meaning that managers will have to evaluate the disruption and the safety hazard of a customer's outside meal on the fly, with the specter of litigation hanging overhead.</w:t>
      </w:r>
    </w:p>
    <w:p w:rsidR="00E456CD" w:rsidRDefault="00000000">
      <w:pPr>
        <w:pStyle w:val="Normal6"/>
        <w:widowControl w:val="0"/>
        <w:spacing w:before="200" w:line="260" w:lineRule="atLeast"/>
        <w:jc w:val="both"/>
      </w:pPr>
      <w:bookmarkStart w:id="1621" w:name="Bookmark_para_78_0"/>
      <w:bookmarkEnd w:id="1621"/>
      <w:r>
        <w:rPr>
          <w:rFonts w:ascii="Arial" w:eastAsia="Arial" w:hAnsi="Arial" w:cs="Arial"/>
          <w:color w:val="000000"/>
          <w:sz w:val="20"/>
        </w:rPr>
        <w:t>The majority holds that forcing restaurants to give up control over the food they serve is a perfectly reasonable thing to do.  [*681]  While the majority claims its analysis is "individualized," Maj. Op. at 13, the real-world consequences of its ruling are sweeping in effect. Even restaurants which, like the Tavern, have [**38]  made indisputably rigorous and wholly commendable efforts to prepare gluten-free meals and thereby accommodate people with J.D.'s disability are strung up. Only in the judicial monastery could this impractical and unworkable requirement hatch. While the holding here is not the end of the matter—Colonial Williamsburg may well prevail at trial—it has the flavor of a de facto per se rule: Restaurants must either allow patrons to consume food prepared outside their premises or must justify their refusal at a costly trial. In practice, I suspect many will forgo the litigation and simply fold the tent. Thus do we bid a rule whose health and safety benefits are self-evident farewell.</w:t>
      </w:r>
    </w:p>
    <w:p w:rsidR="00E456CD" w:rsidRDefault="00E456CD">
      <w:pPr>
        <w:pStyle w:val="Normal6"/>
      </w:pPr>
    </w:p>
    <w:p w:rsidR="00E456CD" w:rsidRDefault="00000000">
      <w:pPr>
        <w:pStyle w:val="Normal6"/>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62796418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267D7"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7"/>
        <w:sectPr w:rsidR="00E456CD">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gutter="0"/>
          <w:cols w:space="720"/>
          <w:titlePg/>
        </w:sectPr>
      </w:pPr>
    </w:p>
    <w:p w:rsidR="00E456CD" w:rsidRDefault="00E456CD">
      <w:pPr>
        <w:pStyle w:val="Normal7"/>
      </w:pPr>
    </w:p>
    <w:p w:rsidR="00E456CD" w:rsidRDefault="00000000">
      <w:pPr>
        <w:pStyle w:val="Heading16"/>
        <w:keepNext w:val="0"/>
        <w:widowControl w:val="0"/>
        <w:spacing w:after="200" w:line="340" w:lineRule="atLeast"/>
        <w:jc w:val="center"/>
      </w:pPr>
      <w:r>
        <w:rPr>
          <w:rFonts w:eastAsia="Arial"/>
          <w:color w:val="000000"/>
          <w:sz w:val="28"/>
        </w:rPr>
        <w:t>Sarfaty v. City of Los Angeles</w:t>
      </w:r>
    </w:p>
    <w:p w:rsidR="00E456CD" w:rsidRDefault="00000000">
      <w:pPr>
        <w:pStyle w:val="Normal7"/>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7"/>
        <w:widowControl w:val="0"/>
        <w:spacing w:before="120" w:line="260" w:lineRule="atLeast"/>
        <w:jc w:val="center"/>
      </w:pPr>
      <w:r>
        <w:rPr>
          <w:rFonts w:ascii="Arial" w:eastAsia="Arial" w:hAnsi="Arial" w:cs="Arial"/>
          <w:color w:val="000000"/>
          <w:sz w:val="20"/>
        </w:rPr>
        <w:t>March 8, 2019, Argued and Submitted, Pasadena, California; April 3, 2019, Filed</w:t>
      </w:r>
    </w:p>
    <w:p w:rsidR="00E456CD" w:rsidRDefault="00000000">
      <w:pPr>
        <w:pStyle w:val="Normal7"/>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17-56468</w:t>
      </w:r>
    </w:p>
    <w:p w:rsidR="00E456CD" w:rsidRDefault="00E456CD">
      <w:pPr>
        <w:pStyle w:val="Normal7"/>
        <w:widowControl w:val="0"/>
        <w:spacing w:line="240" w:lineRule="atLeast"/>
        <w:jc w:val="both"/>
      </w:pPr>
      <w:bookmarkStart w:id="1622" w:name="Bookmark_8"/>
      <w:bookmarkEnd w:id="1622"/>
    </w:p>
    <w:p w:rsidR="00E456CD" w:rsidRDefault="00000000">
      <w:pPr>
        <w:pStyle w:val="Normal7"/>
        <w:widowControl w:val="0"/>
        <w:spacing w:before="200" w:line="240" w:lineRule="atLeast"/>
      </w:pPr>
      <w:bookmarkStart w:id="1623" w:name="Reporter_6"/>
      <w:bookmarkEnd w:id="1623"/>
      <w:r>
        <w:rPr>
          <w:rFonts w:ascii="Arial" w:eastAsia="Arial" w:hAnsi="Arial" w:cs="Arial"/>
          <w:b/>
          <w:color w:val="000000"/>
          <w:sz w:val="18"/>
        </w:rPr>
        <w:t>Reporter</w:t>
      </w:r>
    </w:p>
    <w:p w:rsidR="00E456CD" w:rsidRDefault="00000000">
      <w:pPr>
        <w:pStyle w:val="Normal7"/>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765 Fed. Appx. 280 *; 2019 U.S. App. LEXIS 9824 **; 2019 WL 1484012</w:t>
      </w:r>
    </w:p>
    <w:p w:rsidR="00E456CD" w:rsidRDefault="00000000">
      <w:pPr>
        <w:pStyle w:val="Normal7"/>
        <w:widowControl w:val="0"/>
        <w:spacing w:before="120" w:line="260" w:lineRule="atLeast"/>
      </w:pPr>
      <w:r>
        <w:rPr>
          <w:rFonts w:ascii="Arial" w:eastAsia="Arial" w:hAnsi="Arial" w:cs="Arial"/>
          <w:color w:val="000000"/>
          <w:sz w:val="20"/>
        </w:rPr>
        <w:t>RON SARFATY; GARY SCHERER, Plaintiffs-Appellants, v. CITY OF LOS ANGELES; DOES, 1-10, Defendants-Appellees.</w:t>
      </w:r>
    </w:p>
    <w:p w:rsidR="00E456CD" w:rsidRDefault="00000000">
      <w:pPr>
        <w:pStyle w:val="Normal7"/>
        <w:widowControl w:val="0"/>
        <w:spacing w:before="240" w:line="260" w:lineRule="atLeast"/>
        <w:jc w:val="both"/>
      </w:pPr>
      <w:bookmarkStart w:id="1624" w:name="Notice_1"/>
      <w:bookmarkEnd w:id="1624"/>
      <w:r>
        <w:rPr>
          <w:rFonts w:ascii="Arial" w:eastAsia="Arial" w:hAnsi="Arial" w:cs="Arial"/>
          <w:b/>
          <w:color w:val="000000"/>
          <w:sz w:val="20"/>
        </w:rPr>
        <w:t>Notice:</w:t>
      </w:r>
      <w:r>
        <w:rPr>
          <w:rFonts w:ascii="Arial" w:eastAsia="Arial" w:hAnsi="Arial" w:cs="Arial"/>
          <w:color w:val="000000"/>
          <w:sz w:val="20"/>
        </w:rPr>
        <w:t> </w:t>
      </w:r>
      <w:bookmarkStart w:id="1625" w:name="Bookmark_para_1_6"/>
      <w:bookmarkEnd w:id="1625"/>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7"/>
        <w:widowControl w:val="0"/>
        <w:spacing w:before="240" w:line="260" w:lineRule="atLeast"/>
      </w:pPr>
      <w:bookmarkStart w:id="1626" w:name="Subsequent_History_1"/>
      <w:bookmarkEnd w:id="1626"/>
      <w:r>
        <w:rPr>
          <w:rFonts w:ascii="Arial" w:eastAsia="Arial" w:hAnsi="Arial" w:cs="Arial"/>
          <w:b/>
          <w:color w:val="000000"/>
          <w:sz w:val="20"/>
        </w:rPr>
        <w:t>Subsequent History:</w:t>
      </w:r>
      <w:r>
        <w:rPr>
          <w:rFonts w:ascii="Arial" w:eastAsia="Arial" w:hAnsi="Arial" w:cs="Arial"/>
          <w:color w:val="000000"/>
          <w:sz w:val="20"/>
        </w:rPr>
        <w:t> On remand at, Dismissed by, in part, Motion denied by, in part Sarfaty v. City of Los Angeles, 2019 U.S. Dist. LEXIS 228872 (C.D. Cal., Oct. 16, 2019)</w:t>
      </w:r>
    </w:p>
    <w:p w:rsidR="00E456CD" w:rsidRDefault="00000000">
      <w:pPr>
        <w:pStyle w:val="Normal7"/>
        <w:widowControl w:val="0"/>
        <w:spacing w:before="240" w:line="260" w:lineRule="atLeast"/>
        <w:jc w:val="both"/>
      </w:pPr>
      <w:bookmarkStart w:id="1627" w:name="Prior_History_6"/>
      <w:bookmarkEnd w:id="1627"/>
      <w:r>
        <w:rPr>
          <w:rFonts w:ascii="Arial" w:eastAsia="Arial" w:hAnsi="Arial" w:cs="Arial"/>
          <w:b/>
          <w:color w:val="000000"/>
          <w:sz w:val="20"/>
        </w:rPr>
        <w:t>Prior History:</w:t>
      </w:r>
      <w:r>
        <w:rPr>
          <w:rFonts w:ascii="Arial" w:eastAsia="Arial" w:hAnsi="Arial" w:cs="Arial"/>
          <w:color w:val="000000"/>
          <w:sz w:val="20"/>
        </w:rPr>
        <w:t> </w:t>
      </w:r>
      <w:bookmarkStart w:id="1628" w:name="Bookmark_para_2_6"/>
      <w:bookmarkEnd w:id="1628"/>
      <w:r>
        <w:rPr>
          <w:rFonts w:ascii="Arial" w:eastAsia="Arial" w:hAnsi="Arial" w:cs="Arial"/>
          <w:color w:val="000000"/>
          <w:sz w:val="20"/>
        </w:rPr>
        <w:t> [**1] Appeal from the United States District Court for the Central District of California. D.C. No. 2:17-cv-03594-SVW-KS. Stephen V. Wilson, District Judge, Presiding.</w:t>
      </w:r>
    </w:p>
    <w:p w:rsidR="00E456CD" w:rsidRDefault="00000000">
      <w:pPr>
        <w:pStyle w:val="Normal7"/>
        <w:widowControl w:val="0"/>
        <w:spacing w:before="120" w:line="260" w:lineRule="atLeast"/>
      </w:pPr>
      <w:r>
        <w:rPr>
          <w:rFonts w:ascii="Arial" w:eastAsia="Arial" w:hAnsi="Arial" w:cs="Arial"/>
          <w:color w:val="000000"/>
          <w:sz w:val="20"/>
        </w:rPr>
        <w:t>Sarfaty v. City of L.A., 2017 U.S. Dist. LEXIS 222158, 2017 WL 6551234 (C.D. Cal., Aug. 28, 2017)</w:t>
      </w:r>
    </w:p>
    <w:p w:rsidR="00E456CD" w:rsidRDefault="00000000">
      <w:pPr>
        <w:pStyle w:val="Normal7"/>
        <w:widowControl w:val="0"/>
        <w:spacing w:before="240" w:line="260" w:lineRule="atLeast"/>
        <w:jc w:val="both"/>
      </w:pPr>
      <w:bookmarkStart w:id="1629" w:name="Disposition_0"/>
      <w:bookmarkEnd w:id="1629"/>
      <w:r>
        <w:rPr>
          <w:rFonts w:ascii="Arial" w:eastAsia="Arial" w:hAnsi="Arial" w:cs="Arial"/>
          <w:b/>
          <w:color w:val="000000"/>
          <w:sz w:val="20"/>
        </w:rPr>
        <w:t>Disposition:</w:t>
      </w:r>
      <w:r>
        <w:rPr>
          <w:rFonts w:ascii="Arial" w:eastAsia="Arial" w:hAnsi="Arial" w:cs="Arial"/>
          <w:color w:val="000000"/>
          <w:sz w:val="20"/>
        </w:rPr>
        <w:t> </w:t>
      </w:r>
      <w:bookmarkStart w:id="1630" w:name="Bookmark_clspara_4_0"/>
      <w:bookmarkEnd w:id="1630"/>
      <w:r>
        <w:rPr>
          <w:rFonts w:ascii="Arial" w:eastAsia="Arial" w:hAnsi="Arial" w:cs="Arial"/>
          <w:color w:val="000000"/>
          <w:sz w:val="20"/>
        </w:rPr>
        <w:t>REVERSED and REMANDED.</w:t>
      </w:r>
    </w:p>
    <w:p w:rsidR="00E456CD" w:rsidRDefault="00000000">
      <w:pPr>
        <w:pStyle w:val="Normal7"/>
        <w:widowControl w:val="0"/>
        <w:spacing w:before="240" w:line="260" w:lineRule="atLeast"/>
      </w:pPr>
      <w:bookmarkStart w:id="1631" w:name="Counsel_6"/>
      <w:bookmarkEnd w:id="1631"/>
      <w:r>
        <w:rPr>
          <w:rFonts w:ascii="Arial" w:eastAsia="Arial" w:hAnsi="Arial" w:cs="Arial"/>
          <w:b/>
          <w:color w:val="000000"/>
          <w:sz w:val="20"/>
        </w:rPr>
        <w:t>Counsel:</w:t>
      </w:r>
      <w:r>
        <w:rPr>
          <w:rFonts w:ascii="Arial" w:eastAsia="Arial" w:hAnsi="Arial" w:cs="Arial"/>
          <w:color w:val="000000"/>
          <w:sz w:val="20"/>
        </w:rPr>
        <w:t> For RON SARFATY, GARY SCHERER, Plaintiffs - Appellants: Dennis J. Price, II, Esquire, Mr., Potter Handy LLP, San Diego, CA.</w:t>
      </w:r>
    </w:p>
    <w:p w:rsidR="00E456CD" w:rsidRDefault="00000000">
      <w:pPr>
        <w:pStyle w:val="Normal7"/>
        <w:widowControl w:val="0"/>
        <w:spacing w:before="120" w:line="260" w:lineRule="atLeast"/>
      </w:pPr>
      <w:r>
        <w:rPr>
          <w:rFonts w:ascii="Arial" w:eastAsia="Arial" w:hAnsi="Arial" w:cs="Arial"/>
          <w:color w:val="000000"/>
          <w:sz w:val="20"/>
        </w:rPr>
        <w:t>For CITY OF LOS ANGELES, Defendant - Appellee: Kevin Gilbert, Orbach, Huff, Suarez &amp; Henderson, Oakland, CA; Thomas H. Peters, Gabriel Dermer, Esquire, Los Angeles City Attorney's Office, Los Angeles, CA.</w:t>
      </w:r>
    </w:p>
    <w:p w:rsidR="00E456CD" w:rsidRDefault="00000000">
      <w:pPr>
        <w:pStyle w:val="Normal7"/>
        <w:widowControl w:val="0"/>
        <w:spacing w:before="240" w:line="260" w:lineRule="atLeast"/>
      </w:pPr>
      <w:bookmarkStart w:id="1632" w:name="Judges_6"/>
      <w:bookmarkEnd w:id="1632"/>
      <w:r>
        <w:rPr>
          <w:rFonts w:ascii="Arial" w:eastAsia="Arial" w:hAnsi="Arial" w:cs="Arial"/>
          <w:b/>
          <w:color w:val="000000"/>
          <w:sz w:val="20"/>
        </w:rPr>
        <w:t>Judges:</w:t>
      </w:r>
      <w:r>
        <w:rPr>
          <w:rFonts w:ascii="Arial" w:eastAsia="Arial" w:hAnsi="Arial" w:cs="Arial"/>
          <w:color w:val="000000"/>
          <w:sz w:val="20"/>
        </w:rPr>
        <w:t> Before: WARDLAW and BENNETT, Circuit Judges, and CARDONE,</w:t>
      </w:r>
      <w:r>
        <w:rPr>
          <w:rFonts w:ascii="Arial" w:eastAsia="Arial" w:hAnsi="Arial" w:cs="Arial"/>
          <w:vertAlign w:val="superscript"/>
        </w:rPr>
        <w:footnoteReference w:customMarkFollows="1" w:id="69"/>
        <w:t>**</w:t>
      </w:r>
      <w:r>
        <w:rPr>
          <w:rFonts w:ascii="Arial" w:eastAsia="Arial" w:hAnsi="Arial" w:cs="Arial"/>
          <w:color w:val="000000"/>
          <w:sz w:val="20"/>
        </w:rPr>
        <w:t xml:space="preserve"> District Judge.</w:t>
      </w:r>
    </w:p>
    <w:p w:rsidR="00E456CD" w:rsidRDefault="00000000">
      <w:pPr>
        <w:pStyle w:val="Normal7"/>
        <w:keepNext/>
        <w:widowControl w:val="0"/>
        <w:spacing w:before="240" w:line="340" w:lineRule="atLeast"/>
      </w:pPr>
      <w:bookmarkStart w:id="1634" w:name="Opinion_6"/>
      <w:bookmarkEnd w:id="1634"/>
      <w:r>
        <w:rPr>
          <w:rFonts w:ascii="Arial" w:eastAsia="Arial" w:hAnsi="Arial" w:cs="Arial"/>
          <w:b/>
          <w:color w:val="000000"/>
          <w:sz w:val="28"/>
        </w:rPr>
        <w:t>Opinion</w:t>
      </w:r>
    </w:p>
    <w:p w:rsidR="00E456CD" w:rsidRDefault="00E22289">
      <w:pPr>
        <w:pStyle w:val="Normal7"/>
        <w:spacing w:line="60" w:lineRule="exact"/>
      </w:pPr>
      <w:r>
        <w:rPr>
          <w:noProof/>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943659378"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12E71A" id="Line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7"/>
      </w:pPr>
    </w:p>
    <w:p w:rsidR="00E456CD" w:rsidRDefault="00000000">
      <w:pPr>
        <w:pStyle w:val="Normal7"/>
        <w:widowControl w:val="0"/>
        <w:spacing w:before="200" w:line="260" w:lineRule="atLeast"/>
        <w:jc w:val="both"/>
      </w:pPr>
      <w:bookmarkStart w:id="1635" w:name="Bookmark_para_3_6"/>
      <w:bookmarkEnd w:id="1635"/>
      <w:r>
        <w:rPr>
          <w:rFonts w:ascii="Arial" w:eastAsia="Arial" w:hAnsi="Arial" w:cs="Arial"/>
          <w:color w:val="000000"/>
          <w:sz w:val="20"/>
        </w:rPr>
        <w:t> [*281]  MEMORANDUM</w:t>
      </w:r>
      <w:r>
        <w:rPr>
          <w:rFonts w:ascii="Arial" w:eastAsia="Arial" w:hAnsi="Arial" w:cs="Arial"/>
          <w:vertAlign w:val="superscript"/>
        </w:rPr>
        <w:footnoteReference w:customMarkFollows="1" w:id="70"/>
        <w:t>*</w:t>
      </w:r>
    </w:p>
    <w:p w:rsidR="00E456CD" w:rsidRDefault="00000000">
      <w:pPr>
        <w:pStyle w:val="Normal7"/>
        <w:widowControl w:val="0"/>
        <w:spacing w:before="200" w:line="260" w:lineRule="atLeast"/>
        <w:jc w:val="both"/>
      </w:pPr>
      <w:bookmarkStart w:id="1637" w:name="Bookmark_para_4_6"/>
      <w:bookmarkStart w:id="1638" w:name="Bookmark_I66JMP7K28T4680010000400"/>
      <w:bookmarkEnd w:id="1637"/>
      <w:bookmarkEnd w:id="1638"/>
      <w:r>
        <w:rPr>
          <w:rFonts w:ascii="Arial" w:eastAsia="Arial" w:hAnsi="Arial" w:cs="Arial"/>
          <w:color w:val="000000"/>
          <w:sz w:val="20"/>
        </w:rPr>
        <w:t>Ron Sarfaty and Gary Scherer ("Plaintiffs") sued the City of Los Angeles (the "City") for alleged violations of the Americans with Disabilities Act ("ADA"), the Rehabilitation Act, and similar provisions of California law. The district court granted the City's motion to dismiss the complaint, and this appeal followed. We have jurisdiction pursuant to 28 U.S.C. § 1291, and we reverse and remand.</w:t>
      </w:r>
    </w:p>
    <w:p w:rsidR="00E456CD" w:rsidRDefault="00000000">
      <w:pPr>
        <w:pStyle w:val="Normal7"/>
        <w:widowControl w:val="0"/>
        <w:spacing w:before="200" w:line="260" w:lineRule="atLeast"/>
        <w:jc w:val="both"/>
      </w:pPr>
      <w:bookmarkStart w:id="1639" w:name="Bookmark_para_5_6"/>
      <w:bookmarkEnd w:id="1639"/>
      <w:r>
        <w:rPr>
          <w:rFonts w:ascii="Arial" w:eastAsia="Arial" w:hAnsi="Arial" w:cs="Arial"/>
          <w:color w:val="000000"/>
          <w:sz w:val="20"/>
        </w:rPr>
        <w:t xml:space="preserve">1. The district court first concluded that the City's class action settlement in </w:t>
      </w:r>
      <w:r>
        <w:rPr>
          <w:rFonts w:ascii="Arial" w:eastAsia="Arial" w:hAnsi="Arial" w:cs="Arial"/>
          <w:i/>
          <w:color w:val="000000"/>
          <w:sz w:val="20"/>
        </w:rPr>
        <w:t>Willits v. City of Los Angeles</w:t>
      </w:r>
      <w:r>
        <w:rPr>
          <w:rFonts w:ascii="Arial" w:eastAsia="Arial" w:hAnsi="Arial" w:cs="Arial"/>
          <w:color w:val="000000"/>
          <w:sz w:val="20"/>
        </w:rPr>
        <w:t xml:space="preserve"> released Plaintiffs' injunctive claims. </w:t>
      </w:r>
      <w:bookmarkStart w:id="1640" w:name="Bookmark_I5VV407P2SF8R10020000400"/>
      <w:bookmarkEnd w:id="1640"/>
      <w:r>
        <w:rPr>
          <w:rFonts w:ascii="Arial" w:eastAsia="Arial" w:hAnsi="Arial" w:cs="Arial"/>
          <w:color w:val="000000"/>
          <w:sz w:val="20"/>
        </w:rPr>
        <w:t xml:space="preserve">In reaching this conclusion, the court did not consider the extrinsic evidence [**2]  that Plaintiffs tendered to support their interpretation of the </w:t>
      </w:r>
      <w:r>
        <w:rPr>
          <w:rFonts w:ascii="Arial" w:eastAsia="Arial" w:hAnsi="Arial" w:cs="Arial"/>
          <w:i/>
          <w:color w:val="000000"/>
          <w:sz w:val="20"/>
        </w:rPr>
        <w:t>Willits</w:t>
      </w:r>
      <w:r>
        <w:rPr>
          <w:rFonts w:ascii="Arial" w:eastAsia="Arial" w:hAnsi="Arial" w:cs="Arial"/>
          <w:color w:val="000000"/>
          <w:sz w:val="20"/>
        </w:rPr>
        <w:t xml:space="preserve"> release language. As a matter of California law, this was error. </w:t>
      </w:r>
      <w:r>
        <w:rPr>
          <w:rFonts w:ascii="Arial" w:eastAsia="Arial" w:hAnsi="Arial" w:cs="Arial"/>
          <w:i/>
          <w:color w:val="000000"/>
          <w:sz w:val="20"/>
        </w:rPr>
        <w:t xml:space="preserve">See </w:t>
      </w:r>
      <w:bookmarkStart w:id="1641" w:name="Bookmark_I5VV407P2SF8R10010000400"/>
      <w:bookmarkEnd w:id="1641"/>
      <w:r>
        <w:rPr>
          <w:rFonts w:ascii="Arial" w:eastAsia="Arial" w:hAnsi="Arial" w:cs="Arial"/>
          <w:i/>
          <w:color w:val="000000"/>
          <w:sz w:val="20"/>
        </w:rPr>
        <w:t>Pac. Gas &amp; Elec. Co. v. G.W. Thomas Drayage &amp; Rigging Co.</w:t>
      </w:r>
      <w:r>
        <w:rPr>
          <w:rFonts w:ascii="Arial" w:eastAsia="Arial" w:hAnsi="Arial" w:cs="Arial"/>
          <w:color w:val="000000"/>
          <w:sz w:val="20"/>
        </w:rPr>
        <w:t xml:space="preserve">, 69 Cal. 2d 33, 69 Cal. Rptr. 561, 442 P.2d 641, 645 (Cal. 1968); </w:t>
      </w:r>
      <w:r>
        <w:rPr>
          <w:rFonts w:ascii="Arial" w:eastAsia="Arial" w:hAnsi="Arial" w:cs="Arial"/>
          <w:i/>
          <w:color w:val="000000"/>
          <w:sz w:val="20"/>
        </w:rPr>
        <w:t xml:space="preserve">see also </w:t>
      </w:r>
      <w:bookmarkStart w:id="1642" w:name="Bookmark_I5VV407P2SF8R10030000400"/>
      <w:bookmarkEnd w:id="1642"/>
      <w:r>
        <w:rPr>
          <w:rFonts w:ascii="Arial" w:eastAsia="Arial" w:hAnsi="Arial" w:cs="Arial"/>
          <w:i/>
          <w:color w:val="000000"/>
          <w:sz w:val="20"/>
        </w:rPr>
        <w:t>Trident Ctr. v. Conn. Gen. Life Ins. Co.</w:t>
      </w:r>
      <w:r>
        <w:rPr>
          <w:rFonts w:ascii="Arial" w:eastAsia="Arial" w:hAnsi="Arial" w:cs="Arial"/>
          <w:color w:val="000000"/>
          <w:sz w:val="20"/>
        </w:rPr>
        <w:t xml:space="preserve">, 847 F.2d 564, 565 (9th Cir. 1988) ("This case therefore presents the question whether </w:t>
      </w:r>
      <w:bookmarkStart w:id="1643" w:name="Bookmark_LNHNREFclscc1_4"/>
      <w:bookmarkEnd w:id="1643"/>
      <w:r>
        <w:rPr>
          <w:rFonts w:ascii="Arial" w:eastAsia="Arial" w:hAnsi="Arial" w:cs="Arial"/>
          <w:color w:val="000000"/>
          <w:sz w:val="20"/>
        </w:rPr>
        <w:t xml:space="preserve">parties in California can ever draft a contract that is proof to parol evidence. </w:t>
      </w:r>
      <w:bookmarkStart w:id="1644" w:name="Bookmark_I5VV407P2SF8R20010000400"/>
      <w:bookmarkEnd w:id="1644"/>
      <w:r>
        <w:rPr>
          <w:rFonts w:ascii="Arial" w:eastAsia="Arial" w:hAnsi="Arial" w:cs="Arial"/>
          <w:color w:val="000000"/>
          <w:sz w:val="20"/>
        </w:rPr>
        <w:t xml:space="preserve">Somewhat surprisingly, the answer is no."). </w:t>
      </w:r>
      <w:bookmarkStart w:id="1645" w:name="Bookmark_I5VV407P2SF8R20030000400"/>
      <w:bookmarkEnd w:id="1645"/>
      <w:r>
        <w:rPr>
          <w:rFonts w:ascii="Arial" w:eastAsia="Arial" w:hAnsi="Arial" w:cs="Arial"/>
          <w:color w:val="000000"/>
          <w:sz w:val="20"/>
        </w:rPr>
        <w:t xml:space="preserve">The court should have "review[ed] the proffered material regarding the parties' intent to see if the language is 'reasonably susceptible' of the interpretation urged by" Plaintiffs. </w:t>
      </w:r>
      <w:bookmarkStart w:id="1646" w:name="Bookmark_I5VV407P2SF8R10050000400"/>
      <w:bookmarkEnd w:id="1646"/>
      <w:r>
        <w:rPr>
          <w:rFonts w:ascii="Arial" w:eastAsia="Arial" w:hAnsi="Arial" w:cs="Arial"/>
          <w:i/>
          <w:color w:val="000000"/>
          <w:sz w:val="20"/>
        </w:rPr>
        <w:t>Appleton v. Waessil</w:t>
      </w:r>
      <w:r>
        <w:rPr>
          <w:rFonts w:ascii="Arial" w:eastAsia="Arial" w:hAnsi="Arial" w:cs="Arial"/>
          <w:color w:val="000000"/>
          <w:sz w:val="20"/>
        </w:rPr>
        <w:t xml:space="preserve">, 27 Cal. App. 4th 551, 32 Cal. Rptr. 2d 676, 677 (Ct. App. 1994). </w:t>
      </w:r>
      <w:bookmarkStart w:id="1647" w:name="Bookmark_I5VV407P2SF8R20030000400_2"/>
      <w:bookmarkEnd w:id="1647"/>
      <w:r>
        <w:rPr>
          <w:rFonts w:ascii="Arial" w:eastAsia="Arial" w:hAnsi="Arial" w:cs="Arial"/>
          <w:color w:val="000000"/>
          <w:sz w:val="20"/>
        </w:rPr>
        <w:t xml:space="preserve">If so, "the extrinsic evidence is then admitted to aid in the second step, which involves actually interpreting the contract." </w:t>
      </w:r>
      <w:bookmarkStart w:id="1648" w:name="Bookmark_I5VV407P2SF8R20020000400"/>
      <w:bookmarkEnd w:id="1648"/>
      <w:r>
        <w:rPr>
          <w:rFonts w:ascii="Arial" w:eastAsia="Arial" w:hAnsi="Arial" w:cs="Arial"/>
          <w:i/>
          <w:color w:val="000000"/>
          <w:sz w:val="20"/>
        </w:rPr>
        <w:t>Id.</w:t>
      </w:r>
      <w:r>
        <w:rPr>
          <w:rFonts w:ascii="Arial" w:eastAsia="Arial" w:hAnsi="Arial" w:cs="Arial"/>
          <w:color w:val="000000"/>
          <w:sz w:val="20"/>
        </w:rPr>
        <w:t xml:space="preserve"> at 678.</w:t>
      </w:r>
    </w:p>
    <w:p w:rsidR="00E456CD" w:rsidRDefault="00000000">
      <w:pPr>
        <w:pStyle w:val="Normal7"/>
        <w:widowControl w:val="0"/>
        <w:spacing w:before="200" w:line="260" w:lineRule="atLeast"/>
        <w:jc w:val="both"/>
      </w:pPr>
      <w:bookmarkStart w:id="1649" w:name="Bookmark_para_6_6"/>
      <w:bookmarkStart w:id="1650" w:name="Bookmark_I5VV407P2SF8R20050000400"/>
      <w:bookmarkStart w:id="1651" w:name="Bookmark_I5VV407P2D6NK90020000400"/>
      <w:bookmarkEnd w:id="1649"/>
      <w:bookmarkEnd w:id="1650"/>
      <w:bookmarkEnd w:id="1651"/>
      <w:r>
        <w:rPr>
          <w:rFonts w:ascii="Arial" w:eastAsia="Arial" w:hAnsi="Arial" w:cs="Arial"/>
          <w:color w:val="000000"/>
          <w:sz w:val="20"/>
        </w:rPr>
        <w:t xml:space="preserve">If, on remand, the district court concludes that Plaintiffs' claims here are encompassed by the </w:t>
      </w:r>
      <w:r>
        <w:rPr>
          <w:rFonts w:ascii="Arial" w:eastAsia="Arial" w:hAnsi="Arial" w:cs="Arial"/>
          <w:i/>
          <w:color w:val="000000"/>
          <w:sz w:val="20"/>
        </w:rPr>
        <w:t>Willits</w:t>
      </w:r>
      <w:r>
        <w:rPr>
          <w:rFonts w:ascii="Arial" w:eastAsia="Arial" w:hAnsi="Arial" w:cs="Arial"/>
          <w:color w:val="000000"/>
          <w:sz w:val="20"/>
        </w:rPr>
        <w:t xml:space="preserve"> release, it must then compare Plaintiffs' claims to the claims asserted by the class in </w:t>
      </w:r>
      <w:r>
        <w:rPr>
          <w:rFonts w:ascii="Arial" w:eastAsia="Arial" w:hAnsi="Arial" w:cs="Arial"/>
          <w:i/>
          <w:color w:val="000000"/>
          <w:sz w:val="20"/>
        </w:rPr>
        <w:t>Willits</w:t>
      </w:r>
      <w:r>
        <w:rPr>
          <w:rFonts w:ascii="Arial" w:eastAsia="Arial" w:hAnsi="Arial" w:cs="Arial"/>
          <w:color w:val="000000"/>
          <w:sz w:val="20"/>
        </w:rPr>
        <w:t xml:space="preserve"> to determine whether the two sets of claims share an "identical factual predicate." </w:t>
      </w:r>
      <w:r>
        <w:rPr>
          <w:rFonts w:ascii="Arial" w:eastAsia="Arial" w:hAnsi="Arial" w:cs="Arial"/>
          <w:i/>
          <w:color w:val="000000"/>
          <w:sz w:val="20"/>
        </w:rPr>
        <w:t xml:space="preserve">See </w:t>
      </w:r>
      <w:bookmarkStart w:id="1652" w:name="Bookmark_I5VV407P2SF8R20040000400"/>
      <w:bookmarkEnd w:id="1652"/>
      <w:r>
        <w:rPr>
          <w:rFonts w:ascii="Arial" w:eastAsia="Arial" w:hAnsi="Arial" w:cs="Arial"/>
          <w:i/>
          <w:color w:val="000000"/>
          <w:sz w:val="20"/>
        </w:rPr>
        <w:t>Reyn's Pasta Bella, LLC v. Visa USA, Inc.</w:t>
      </w:r>
      <w:r>
        <w:rPr>
          <w:rFonts w:ascii="Arial" w:eastAsia="Arial" w:hAnsi="Arial" w:cs="Arial"/>
          <w:color w:val="000000"/>
          <w:sz w:val="20"/>
        </w:rPr>
        <w:t xml:space="preserve">, 442 F.3d 741, 748 (9th Cir. 2006). The </w:t>
      </w:r>
      <w:r>
        <w:rPr>
          <w:rFonts w:ascii="Arial" w:eastAsia="Arial" w:hAnsi="Arial" w:cs="Arial"/>
          <w:i/>
          <w:color w:val="000000"/>
          <w:sz w:val="20"/>
        </w:rPr>
        <w:t>Willits</w:t>
      </w:r>
      <w:r>
        <w:rPr>
          <w:rFonts w:ascii="Arial" w:eastAsia="Arial" w:hAnsi="Arial" w:cs="Arial"/>
          <w:color w:val="000000"/>
          <w:sz w:val="20"/>
        </w:rPr>
        <w:t xml:space="preserve"> release is binding as to Plaintiffs here only if their claims "depend[] upon the same set of facts." </w:t>
      </w:r>
      <w:bookmarkStart w:id="1653" w:name="Bookmark_I5VV407P2D6NK90010000400"/>
      <w:bookmarkEnd w:id="1653"/>
      <w:r>
        <w:rPr>
          <w:rFonts w:ascii="Arial" w:eastAsia="Arial" w:hAnsi="Arial" w:cs="Arial"/>
          <w:i/>
          <w:color w:val="000000"/>
          <w:sz w:val="20"/>
        </w:rPr>
        <w:t>Williams v. Boeing Co.</w:t>
      </w:r>
      <w:r>
        <w:rPr>
          <w:rFonts w:ascii="Arial" w:eastAsia="Arial" w:hAnsi="Arial" w:cs="Arial"/>
          <w:color w:val="000000"/>
          <w:sz w:val="20"/>
        </w:rPr>
        <w:t>, 517 F.3d 1120, 1134 (9th Cir. 2008) (citation omitted).</w:t>
      </w:r>
    </w:p>
    <w:p w:rsidR="00E456CD" w:rsidRDefault="00000000">
      <w:pPr>
        <w:pStyle w:val="Normal7"/>
        <w:widowControl w:val="0"/>
        <w:spacing w:before="200" w:line="260" w:lineRule="atLeast"/>
        <w:jc w:val="both"/>
      </w:pPr>
      <w:bookmarkStart w:id="1654" w:name="Bookmark_para_7_6"/>
      <w:bookmarkEnd w:id="1654"/>
      <w:r>
        <w:rPr>
          <w:rFonts w:ascii="Arial" w:eastAsia="Arial" w:hAnsi="Arial" w:cs="Arial"/>
          <w:color w:val="000000"/>
          <w:sz w:val="20"/>
        </w:rPr>
        <w:t xml:space="preserve">Because the district court did not consider Plaintiffs' extrinsic evidence as to the scope of the </w:t>
      </w:r>
      <w:r>
        <w:rPr>
          <w:rFonts w:ascii="Arial" w:eastAsia="Arial" w:hAnsi="Arial" w:cs="Arial"/>
          <w:i/>
          <w:color w:val="000000"/>
          <w:sz w:val="20"/>
        </w:rPr>
        <w:t>Willits</w:t>
      </w:r>
      <w:r>
        <w:rPr>
          <w:rFonts w:ascii="Arial" w:eastAsia="Arial" w:hAnsi="Arial" w:cs="Arial"/>
          <w:color w:val="000000"/>
          <w:sz w:val="20"/>
        </w:rPr>
        <w:t xml:space="preserve"> release, and because the court [**3]  failed to conduct the "identical factual predicate" test that our precedent requires, we reverse the grant of the City's motion to dismiss Plaintiffs' injunctive claims.</w:t>
      </w:r>
      <w:r>
        <w:rPr>
          <w:rFonts w:ascii="Arial" w:eastAsia="Arial" w:hAnsi="Arial" w:cs="Arial"/>
          <w:vertAlign w:val="superscript"/>
        </w:rPr>
        <w:footnoteReference w:customMarkFollows="1" w:id="71"/>
        <w:t>1</w:t>
      </w:r>
    </w:p>
    <w:p w:rsidR="00E456CD" w:rsidRDefault="00000000">
      <w:pPr>
        <w:pStyle w:val="Normal7"/>
        <w:widowControl w:val="0"/>
        <w:spacing w:before="200" w:line="260" w:lineRule="atLeast"/>
        <w:jc w:val="both"/>
      </w:pPr>
      <w:bookmarkStart w:id="1656" w:name="Bookmark_para_8_6"/>
      <w:bookmarkEnd w:id="1656"/>
      <w:r>
        <w:rPr>
          <w:rFonts w:ascii="Arial" w:eastAsia="Arial" w:hAnsi="Arial" w:cs="Arial"/>
          <w:color w:val="000000"/>
          <w:sz w:val="20"/>
        </w:rPr>
        <w:t>2. Plaintiffs also argue that the district court improperly dismissed their damages claims.</w:t>
      </w:r>
    </w:p>
    <w:p w:rsidR="00E456CD" w:rsidRDefault="00000000">
      <w:pPr>
        <w:pStyle w:val="Normal7"/>
        <w:widowControl w:val="0"/>
        <w:spacing w:before="200" w:line="260" w:lineRule="atLeast"/>
        <w:jc w:val="both"/>
      </w:pPr>
      <w:bookmarkStart w:id="1657" w:name="Bookmark_para_9_6"/>
      <w:bookmarkStart w:id="1658" w:name="Bookmark_I5VV407P2D6NK90040000400"/>
      <w:bookmarkEnd w:id="1657"/>
      <w:bookmarkEnd w:id="1658"/>
      <w:r>
        <w:rPr>
          <w:rFonts w:ascii="Arial" w:eastAsia="Arial" w:hAnsi="Arial" w:cs="Arial"/>
          <w:color w:val="000000"/>
          <w:sz w:val="20"/>
        </w:rPr>
        <w:t xml:space="preserve">At the outset, we disagree with the City that Plaintiffs waived their damages claims by failing to amend their complaint. </w:t>
      </w:r>
      <w:r>
        <w:rPr>
          <w:rFonts w:ascii="Arial" w:eastAsia="Arial" w:hAnsi="Arial" w:cs="Arial"/>
          <w:i/>
          <w:color w:val="000000"/>
          <w:sz w:val="20"/>
        </w:rPr>
        <w:t xml:space="preserve">See </w:t>
      </w:r>
      <w:bookmarkStart w:id="1659" w:name="Bookmark_I5VV407P2D6NK90030000400"/>
      <w:bookmarkEnd w:id="1659"/>
      <w:r>
        <w:rPr>
          <w:rFonts w:ascii="Arial" w:eastAsia="Arial" w:hAnsi="Arial" w:cs="Arial"/>
          <w:i/>
          <w:color w:val="000000"/>
          <w:sz w:val="20"/>
        </w:rPr>
        <w:t>WMX Techs., Inc. v. Miller</w:t>
      </w:r>
      <w:r>
        <w:rPr>
          <w:rFonts w:ascii="Arial" w:eastAsia="Arial" w:hAnsi="Arial" w:cs="Arial"/>
          <w:color w:val="000000"/>
          <w:sz w:val="20"/>
        </w:rPr>
        <w:t>, 104 F.3d 1133, 1136 (9th Cir. 1997) (en banc).</w:t>
      </w:r>
    </w:p>
    <w:p w:rsidR="00E456CD" w:rsidRDefault="00000000">
      <w:pPr>
        <w:pStyle w:val="Normal7"/>
        <w:widowControl w:val="0"/>
        <w:spacing w:before="200" w:line="260" w:lineRule="atLeast"/>
        <w:jc w:val="both"/>
      </w:pPr>
      <w:bookmarkStart w:id="1660" w:name="Bookmark_para_10_6"/>
      <w:bookmarkStart w:id="1661" w:name="Bookmark_I5VV407P28T4BV0010000400"/>
      <w:bookmarkStart w:id="1662" w:name="Bookmark_I5VV407P28T4BV0030000400"/>
      <w:bookmarkEnd w:id="1660"/>
      <w:bookmarkEnd w:id="1661"/>
      <w:bookmarkEnd w:id="1662"/>
      <w:r>
        <w:rPr>
          <w:rFonts w:ascii="Arial" w:eastAsia="Arial" w:hAnsi="Arial" w:cs="Arial"/>
          <w:color w:val="000000"/>
          <w:sz w:val="20"/>
        </w:rPr>
        <w:t xml:space="preserve">The district court concluded that Plaintiffs' complaint did not adequately allege a damages claim. </w:t>
      </w:r>
      <w:bookmarkStart w:id="1663" w:name="Bookmark_LNHNREFclscc2_4"/>
      <w:bookmarkEnd w:id="1663"/>
      <w:r>
        <w:rPr>
          <w:rFonts w:ascii="Arial" w:eastAsia="Arial" w:hAnsi="Arial" w:cs="Arial"/>
          <w:color w:val="000000"/>
          <w:sz w:val="20"/>
        </w:rPr>
        <w:t xml:space="preserve">"To succeed on a civil rights claim in this context, the plaintiffs must show intentional discrimination." </w:t>
      </w:r>
      <w:bookmarkStart w:id="1664" w:name="Bookmark_I5VV407P2D6NK90050000400"/>
      <w:bookmarkEnd w:id="1664"/>
      <w:r>
        <w:rPr>
          <w:rFonts w:ascii="Arial" w:eastAsia="Arial" w:hAnsi="Arial" w:cs="Arial"/>
          <w:i/>
          <w:color w:val="000000"/>
          <w:sz w:val="20"/>
        </w:rPr>
        <w:t>T.B. ex rel. Brenneise v. San Diego Unified Sch. Dist.</w:t>
      </w:r>
      <w:r>
        <w:rPr>
          <w:rFonts w:ascii="Arial" w:eastAsia="Arial" w:hAnsi="Arial" w:cs="Arial"/>
          <w:color w:val="000000"/>
          <w:sz w:val="20"/>
        </w:rPr>
        <w:t xml:space="preserve">, 806 F.3d 451, 469 (9th Cir. 2015). Deliberate indifference satisfies this standard, </w:t>
      </w:r>
      <w:bookmarkStart w:id="1665" w:name="Bookmark_I5VV407P28T4BV0020000400"/>
      <w:bookmarkEnd w:id="1665"/>
      <w:r>
        <w:rPr>
          <w:rFonts w:ascii="Arial" w:eastAsia="Arial" w:hAnsi="Arial" w:cs="Arial"/>
          <w:i/>
          <w:color w:val="000000"/>
          <w:sz w:val="20"/>
        </w:rPr>
        <w:t>Duvall v. County of Kitsap</w:t>
      </w:r>
      <w:r>
        <w:rPr>
          <w:rFonts w:ascii="Arial" w:eastAsia="Arial" w:hAnsi="Arial" w:cs="Arial"/>
          <w:color w:val="000000"/>
          <w:sz w:val="20"/>
        </w:rPr>
        <w:t xml:space="preserve">, 260 F.3d 1124, 1138 (9th Cir. 2001), and can be established by "show[ing] [that] the defendant had notice of [Plaintiffs'] need for an accommodation and failed to act," </w:t>
      </w:r>
      <w:bookmarkStart w:id="1666" w:name="Bookmark_I5VV407P28T4BV0040000400"/>
      <w:bookmarkEnd w:id="1666"/>
      <w:r>
        <w:rPr>
          <w:rFonts w:ascii="Arial" w:eastAsia="Arial" w:hAnsi="Arial" w:cs="Arial"/>
          <w:i/>
          <w:color w:val="000000"/>
          <w:sz w:val="20"/>
        </w:rPr>
        <w:t>A.G. v.  [*282]  Paradise Valley Unified Sch. Dist. No. 69</w:t>
      </w:r>
      <w:r>
        <w:rPr>
          <w:rFonts w:ascii="Arial" w:eastAsia="Arial" w:hAnsi="Arial" w:cs="Arial"/>
          <w:color w:val="000000"/>
          <w:sz w:val="20"/>
        </w:rPr>
        <w:t>, 815 F.3d 1195, 1207 (9th Cir. 2016) (internal quotation marks and citation omitted). The district court dismissed Plaintiffs' complaint without prejudice, and Plaintiffs stood on their complaint on this issue and chose not to amend.</w:t>
      </w:r>
    </w:p>
    <w:p w:rsidR="00E456CD" w:rsidRDefault="00000000">
      <w:pPr>
        <w:pStyle w:val="Normal7"/>
        <w:widowControl w:val="0"/>
        <w:spacing w:before="200" w:line="260" w:lineRule="atLeast"/>
        <w:jc w:val="both"/>
      </w:pPr>
      <w:bookmarkStart w:id="1667" w:name="Bookmark_para_11_6"/>
      <w:bookmarkStart w:id="1668" w:name="Bookmark_I5VV407P2HM6V30040000400"/>
      <w:bookmarkStart w:id="1669" w:name="Bookmark_I5VV407P2SF8R30010000400"/>
      <w:bookmarkEnd w:id="1667"/>
      <w:bookmarkEnd w:id="1668"/>
      <w:bookmarkEnd w:id="1669"/>
      <w:r>
        <w:rPr>
          <w:rFonts w:ascii="Arial" w:eastAsia="Arial" w:hAnsi="Arial" w:cs="Arial"/>
          <w:color w:val="000000"/>
          <w:sz w:val="20"/>
        </w:rPr>
        <w:t>The district court did not reach the question of notice (by assuming arguendo that Plaintiffs satisfied the notice prong), but found that Plaintiffs "pleaded no facts that would allow a reasonable jury to conclude [**4]  that the City acted with deliberate indifference." Like the district court, we do not reach the issue of notice.</w:t>
      </w:r>
      <w:r>
        <w:rPr>
          <w:rFonts w:ascii="Arial" w:eastAsia="Arial" w:hAnsi="Arial" w:cs="Arial"/>
          <w:vertAlign w:val="superscript"/>
        </w:rPr>
        <w:footnoteReference w:customMarkFollows="1" w:id="72"/>
        <w:t>2</w:t>
      </w:r>
      <w:r>
        <w:rPr>
          <w:rFonts w:ascii="Arial" w:eastAsia="Arial" w:hAnsi="Arial" w:cs="Arial"/>
          <w:color w:val="000000"/>
          <w:sz w:val="20"/>
        </w:rPr>
        <w:t xml:space="preserve"> We agree with the district court as to Plaintiff Scherer's failure to plead sufficient facts as to deliberate indifference,</w:t>
      </w:r>
      <w:r>
        <w:rPr>
          <w:rFonts w:ascii="Arial" w:eastAsia="Arial" w:hAnsi="Arial" w:cs="Arial"/>
          <w:vertAlign w:val="superscript"/>
        </w:rPr>
        <w:footnoteReference w:customMarkFollows="1" w:id="73"/>
        <w:t>3</w:t>
      </w:r>
      <w:r>
        <w:rPr>
          <w:rFonts w:ascii="Arial" w:eastAsia="Arial" w:hAnsi="Arial" w:cs="Arial"/>
          <w:color w:val="000000"/>
          <w:sz w:val="20"/>
        </w:rPr>
        <w:t xml:space="preserve"> but disagree as to Plaintiff Sarfaty. </w:t>
      </w:r>
      <w:bookmarkStart w:id="1674" w:name="Bookmark_I5VV407P2HM6V30020000400"/>
      <w:bookmarkStart w:id="1675" w:name="Bookmark_I5VV407P2SF8R30010000400_2"/>
      <w:bookmarkStart w:id="1676" w:name="Bookmark_I5VV407P2HM6V30040000400_2"/>
      <w:bookmarkEnd w:id="1674"/>
      <w:bookmarkEnd w:id="1675"/>
      <w:bookmarkEnd w:id="1676"/>
      <w:r>
        <w:rPr>
          <w:rFonts w:ascii="Arial" w:eastAsia="Arial" w:hAnsi="Arial" w:cs="Arial"/>
          <w:color w:val="000000"/>
          <w:sz w:val="20"/>
        </w:rPr>
        <w:t xml:space="preserve">The complaint alleges that, despite the fact that the City was on notice of Sarfaty's need for accommodation, its ADA Coordinator affirmatively told Sarfaty that the City would not act on his needs. Thus, as alleged, the City's failure to act was not "negligent, lazy, or careless," it was intentional. </w:t>
      </w:r>
      <w:bookmarkStart w:id="1677" w:name="Bookmark_I5VV407P2HM6V30010000400"/>
      <w:bookmarkEnd w:id="1677"/>
      <w:r>
        <w:rPr>
          <w:rFonts w:ascii="Arial" w:eastAsia="Arial" w:hAnsi="Arial" w:cs="Arial"/>
          <w:i/>
          <w:color w:val="000000"/>
          <w:sz w:val="20"/>
        </w:rPr>
        <w:t>Oden v. N. Marianas Coll.</w:t>
      </w:r>
      <w:r>
        <w:rPr>
          <w:rFonts w:ascii="Arial" w:eastAsia="Arial" w:hAnsi="Arial" w:cs="Arial"/>
          <w:color w:val="000000"/>
          <w:sz w:val="20"/>
        </w:rPr>
        <w:t>, 440 F.3d 1085, 1089 (9th Cir. 2006). Notwithstanding our agreement with the district court that Plaintiff Scherer failed to adequately allege deliberate indifference; in light of our other rulings, we remand with direction to allow leave to amend to both plaintiffs, including as to notice and deliberate indifference.</w:t>
      </w:r>
    </w:p>
    <w:p w:rsidR="00E456CD" w:rsidRDefault="00000000">
      <w:pPr>
        <w:pStyle w:val="Normal7"/>
        <w:widowControl w:val="0"/>
        <w:spacing w:before="200" w:line="260" w:lineRule="atLeast"/>
        <w:jc w:val="both"/>
      </w:pPr>
      <w:bookmarkStart w:id="1678" w:name="Bookmark_para_12_5"/>
      <w:bookmarkEnd w:id="1678"/>
      <w:r>
        <w:rPr>
          <w:rFonts w:ascii="Arial" w:eastAsia="Arial" w:hAnsi="Arial" w:cs="Arial"/>
          <w:b/>
          <w:color w:val="000000"/>
          <w:sz w:val="20"/>
        </w:rPr>
        <w:t>REVERSED and REMANDED</w:t>
      </w:r>
      <w:r>
        <w:rPr>
          <w:rFonts w:ascii="Arial" w:eastAsia="Arial" w:hAnsi="Arial" w:cs="Arial"/>
          <w:color w:val="000000"/>
          <w:sz w:val="20"/>
        </w:rPr>
        <w:t>.</w:t>
      </w:r>
    </w:p>
    <w:p w:rsidR="00E456CD" w:rsidRDefault="00E456CD">
      <w:pPr>
        <w:pStyle w:val="Normal7"/>
      </w:pPr>
    </w:p>
    <w:p w:rsidR="00E456CD" w:rsidRDefault="00000000">
      <w:pPr>
        <w:pStyle w:val="Normal7"/>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05853640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705AA" id="Line 1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8"/>
        <w:sectPr w:rsidR="00E456CD">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gutter="0"/>
          <w:cols w:space="720"/>
          <w:titlePg/>
        </w:sectPr>
      </w:pPr>
    </w:p>
    <w:p w:rsidR="00E456CD" w:rsidRDefault="00E456CD">
      <w:pPr>
        <w:pStyle w:val="Normal8"/>
      </w:pPr>
    </w:p>
    <w:p w:rsidR="00E456CD" w:rsidRDefault="00000000">
      <w:pPr>
        <w:pStyle w:val="Heading17"/>
        <w:keepNext w:val="0"/>
        <w:widowControl w:val="0"/>
        <w:spacing w:after="200" w:line="340" w:lineRule="atLeast"/>
        <w:jc w:val="center"/>
      </w:pPr>
      <w:r>
        <w:rPr>
          <w:rFonts w:eastAsia="Arial"/>
          <w:color w:val="000000"/>
          <w:sz w:val="28"/>
        </w:rPr>
        <w:t>Marble v. Tennessee</w:t>
      </w:r>
    </w:p>
    <w:p w:rsidR="00E456CD" w:rsidRDefault="00000000">
      <w:pPr>
        <w:pStyle w:val="Normal8"/>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8"/>
        <w:widowControl w:val="0"/>
        <w:spacing w:before="120" w:line="260" w:lineRule="atLeast"/>
        <w:jc w:val="center"/>
      </w:pPr>
      <w:r>
        <w:rPr>
          <w:rFonts w:ascii="Arial" w:eastAsia="Arial" w:hAnsi="Arial" w:cs="Arial"/>
          <w:color w:val="000000"/>
          <w:sz w:val="20"/>
        </w:rPr>
        <w:t>March 29, 2019, Filed</w:t>
      </w:r>
    </w:p>
    <w:p w:rsidR="00E456CD" w:rsidRDefault="00000000">
      <w:pPr>
        <w:pStyle w:val="Normal8"/>
        <w:widowControl w:val="0"/>
        <w:spacing w:before="120" w:line="260" w:lineRule="atLeast"/>
        <w:jc w:val="center"/>
      </w:pPr>
      <w:r>
        <w:rPr>
          <w:rFonts w:ascii="Arial" w:eastAsia="Arial" w:hAnsi="Arial" w:cs="Arial"/>
          <w:color w:val="000000"/>
          <w:sz w:val="20"/>
        </w:rPr>
        <w:t>File Name: 19a0157n.06</w:t>
      </w:r>
    </w:p>
    <w:p w:rsidR="00E456CD" w:rsidRDefault="00000000">
      <w:pPr>
        <w:pStyle w:val="Normal8"/>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Case No. 18-5697</w:t>
      </w:r>
    </w:p>
    <w:p w:rsidR="00E456CD" w:rsidRDefault="00E456CD">
      <w:pPr>
        <w:pStyle w:val="Normal8"/>
        <w:widowControl w:val="0"/>
        <w:spacing w:line="240" w:lineRule="atLeast"/>
        <w:jc w:val="both"/>
      </w:pPr>
      <w:bookmarkStart w:id="1679" w:name="Bookmark_9"/>
      <w:bookmarkEnd w:id="1679"/>
    </w:p>
    <w:p w:rsidR="00E456CD" w:rsidRDefault="00000000">
      <w:pPr>
        <w:pStyle w:val="Normal8"/>
        <w:widowControl w:val="0"/>
        <w:spacing w:before="200" w:line="240" w:lineRule="atLeast"/>
      </w:pPr>
      <w:bookmarkStart w:id="1680" w:name="Reporter_7"/>
      <w:bookmarkEnd w:id="1680"/>
      <w:r>
        <w:rPr>
          <w:rFonts w:ascii="Arial" w:eastAsia="Arial" w:hAnsi="Arial" w:cs="Arial"/>
          <w:b/>
          <w:color w:val="000000"/>
          <w:sz w:val="18"/>
        </w:rPr>
        <w:t>Reporter</w:t>
      </w:r>
    </w:p>
    <w:p w:rsidR="00E456CD" w:rsidRDefault="00000000">
      <w:pPr>
        <w:pStyle w:val="Normal8"/>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767 Fed. Appx. 647 *; 2019 U.S. App. LEXIS 9306 **; 2019 FED App. 0157N (6th Cir.)</w:t>
      </w:r>
    </w:p>
    <w:p w:rsidR="00E456CD" w:rsidRDefault="00000000">
      <w:pPr>
        <w:pStyle w:val="Normal8"/>
        <w:widowControl w:val="0"/>
        <w:spacing w:before="120" w:line="260" w:lineRule="atLeast"/>
      </w:pPr>
      <w:r>
        <w:rPr>
          <w:rFonts w:ascii="Arial" w:eastAsia="Arial" w:hAnsi="Arial" w:cs="Arial"/>
          <w:color w:val="000000"/>
          <w:sz w:val="20"/>
        </w:rPr>
        <w:t>MATTHEW MARBLE, Plaintiff-Appellant, v. STATE OF TENNESSEE, et al., Defendants-Appellees.</w:t>
      </w:r>
    </w:p>
    <w:p w:rsidR="00E456CD" w:rsidRDefault="00000000">
      <w:pPr>
        <w:pStyle w:val="Normal8"/>
        <w:widowControl w:val="0"/>
        <w:spacing w:before="240" w:line="260" w:lineRule="atLeast"/>
        <w:jc w:val="both"/>
      </w:pPr>
      <w:bookmarkStart w:id="1681" w:name="Notice_2"/>
      <w:bookmarkEnd w:id="1681"/>
      <w:r>
        <w:rPr>
          <w:rFonts w:ascii="Arial" w:eastAsia="Arial" w:hAnsi="Arial" w:cs="Arial"/>
          <w:b/>
          <w:color w:val="000000"/>
          <w:sz w:val="20"/>
        </w:rPr>
        <w:t>Notice:</w:t>
      </w:r>
      <w:r>
        <w:rPr>
          <w:rFonts w:ascii="Arial" w:eastAsia="Arial" w:hAnsi="Arial" w:cs="Arial"/>
          <w:color w:val="000000"/>
          <w:sz w:val="20"/>
        </w:rPr>
        <w:t> </w:t>
      </w:r>
      <w:bookmarkStart w:id="1682" w:name="Bookmark_para_1_7"/>
      <w:bookmarkEnd w:id="1682"/>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8"/>
        <w:widowControl w:val="0"/>
        <w:spacing w:before="240" w:line="260" w:lineRule="atLeast"/>
        <w:jc w:val="both"/>
      </w:pPr>
      <w:bookmarkStart w:id="1683" w:name="Prior_History_7"/>
      <w:bookmarkEnd w:id="1683"/>
      <w:r>
        <w:rPr>
          <w:rFonts w:ascii="Arial" w:eastAsia="Arial" w:hAnsi="Arial" w:cs="Arial"/>
          <w:b/>
          <w:color w:val="000000"/>
          <w:sz w:val="20"/>
        </w:rPr>
        <w:t>Prior History:</w:t>
      </w:r>
      <w:r>
        <w:rPr>
          <w:rFonts w:ascii="Arial" w:eastAsia="Arial" w:hAnsi="Arial" w:cs="Arial"/>
          <w:color w:val="000000"/>
          <w:sz w:val="20"/>
        </w:rPr>
        <w:t> </w:t>
      </w:r>
      <w:bookmarkStart w:id="1684" w:name="Bookmark_para_2_7"/>
      <w:bookmarkEnd w:id="1684"/>
      <w:r>
        <w:rPr>
          <w:rFonts w:ascii="Arial" w:eastAsia="Arial" w:hAnsi="Arial" w:cs="Arial"/>
          <w:color w:val="000000"/>
          <w:sz w:val="20"/>
        </w:rPr>
        <w:t> [**1] ON APPEAL FROM THE UNITED STATES DISTRICT COURT FOR THE MIDDLE DISTRICT OF TENNESSEE.</w:t>
      </w:r>
    </w:p>
    <w:p w:rsidR="00E456CD" w:rsidRDefault="00000000">
      <w:pPr>
        <w:pStyle w:val="Normal8"/>
        <w:widowControl w:val="0"/>
        <w:spacing w:before="120" w:line="260" w:lineRule="atLeast"/>
      </w:pPr>
      <w:r>
        <w:rPr>
          <w:rFonts w:ascii="Arial" w:eastAsia="Arial" w:hAnsi="Arial" w:cs="Arial"/>
          <w:color w:val="000000"/>
          <w:sz w:val="20"/>
        </w:rPr>
        <w:t>Marble v. Tennessee, 2018 U.S. Dist. LEXIS 96084 (M.D. Tenn., June 7, 2018)</w:t>
      </w:r>
    </w:p>
    <w:p w:rsidR="00E456CD" w:rsidRDefault="00000000">
      <w:pPr>
        <w:pStyle w:val="Normal8"/>
        <w:widowControl w:val="0"/>
        <w:spacing w:before="240" w:line="260" w:lineRule="atLeast"/>
      </w:pPr>
      <w:bookmarkStart w:id="1685" w:name="Counsel_7"/>
      <w:bookmarkEnd w:id="1685"/>
      <w:r>
        <w:rPr>
          <w:rFonts w:ascii="Arial" w:eastAsia="Arial" w:hAnsi="Arial" w:cs="Arial"/>
          <w:b/>
          <w:color w:val="000000"/>
          <w:sz w:val="20"/>
        </w:rPr>
        <w:t>Counsel:</w:t>
      </w:r>
      <w:r>
        <w:rPr>
          <w:rFonts w:ascii="Arial" w:eastAsia="Arial" w:hAnsi="Arial" w:cs="Arial"/>
          <w:color w:val="000000"/>
          <w:sz w:val="20"/>
        </w:rPr>
        <w:t> For MATTHEW MARBLE, Plaintiff - Appellant: Connie Lynn Reguli, LawCare Family Law Center, Brentwood, TN.</w:t>
      </w:r>
    </w:p>
    <w:p w:rsidR="00E456CD" w:rsidRDefault="00000000">
      <w:pPr>
        <w:pStyle w:val="Normal8"/>
        <w:widowControl w:val="0"/>
        <w:spacing w:before="120" w:line="260" w:lineRule="atLeast"/>
      </w:pPr>
      <w:r>
        <w:rPr>
          <w:rFonts w:ascii="Arial" w:eastAsia="Arial" w:hAnsi="Arial" w:cs="Arial"/>
          <w:color w:val="000000"/>
          <w:sz w:val="20"/>
        </w:rPr>
        <w:t>For STATE OF TENNESSEE, TENNESSEE DEPARTMENT OF CHILDREN'S SERVICES, Defendant - Appellees: Alexander Stuart Rieger, Office of the Attorney General, Nashville, TN.</w:t>
      </w:r>
    </w:p>
    <w:p w:rsidR="00E456CD" w:rsidRDefault="00000000">
      <w:pPr>
        <w:pStyle w:val="Normal8"/>
        <w:widowControl w:val="0"/>
        <w:spacing w:before="240" w:line="260" w:lineRule="atLeast"/>
      </w:pPr>
      <w:bookmarkStart w:id="1686" w:name="Judges_7"/>
      <w:bookmarkEnd w:id="1686"/>
      <w:r>
        <w:rPr>
          <w:rFonts w:ascii="Arial" w:eastAsia="Arial" w:hAnsi="Arial" w:cs="Arial"/>
          <w:b/>
          <w:color w:val="000000"/>
          <w:sz w:val="20"/>
        </w:rPr>
        <w:t>Judges:</w:t>
      </w:r>
      <w:r>
        <w:rPr>
          <w:rFonts w:ascii="Arial" w:eastAsia="Arial" w:hAnsi="Arial" w:cs="Arial"/>
          <w:color w:val="000000"/>
          <w:sz w:val="20"/>
        </w:rPr>
        <w:t> BEFORE: BATCHELDER, McKEAGUE, and NALBANDIAN, Circuit Judges.</w:t>
      </w:r>
    </w:p>
    <w:p w:rsidR="00E456CD" w:rsidRDefault="00000000">
      <w:pPr>
        <w:pStyle w:val="Normal8"/>
        <w:widowControl w:val="0"/>
        <w:spacing w:before="240" w:line="260" w:lineRule="atLeast"/>
      </w:pPr>
      <w:bookmarkStart w:id="1687" w:name="Opinion_by_4"/>
      <w:bookmarkEnd w:id="1687"/>
      <w:r>
        <w:rPr>
          <w:rFonts w:ascii="Arial" w:eastAsia="Arial" w:hAnsi="Arial" w:cs="Arial"/>
          <w:b/>
          <w:color w:val="000000"/>
          <w:sz w:val="20"/>
        </w:rPr>
        <w:t>Opinion by:</w:t>
      </w:r>
      <w:r>
        <w:rPr>
          <w:rFonts w:ascii="Arial" w:eastAsia="Arial" w:hAnsi="Arial" w:cs="Arial"/>
          <w:color w:val="000000"/>
          <w:sz w:val="20"/>
        </w:rPr>
        <w:t> McKEAGUE</w:t>
      </w:r>
    </w:p>
    <w:p w:rsidR="00E456CD" w:rsidRDefault="00000000">
      <w:pPr>
        <w:pStyle w:val="Normal8"/>
        <w:keepNext/>
        <w:widowControl w:val="0"/>
        <w:spacing w:before="240" w:line="340" w:lineRule="atLeast"/>
      </w:pPr>
      <w:bookmarkStart w:id="1688" w:name="Opinion_7"/>
      <w:bookmarkEnd w:id="1688"/>
      <w:r>
        <w:rPr>
          <w:rFonts w:ascii="Arial" w:eastAsia="Arial" w:hAnsi="Arial" w:cs="Arial"/>
          <w:b/>
          <w:color w:val="000000"/>
          <w:sz w:val="28"/>
        </w:rPr>
        <w:t>Opinion</w:t>
      </w:r>
    </w:p>
    <w:p w:rsidR="00E456CD" w:rsidRDefault="00E22289">
      <w:pPr>
        <w:pStyle w:val="Normal8"/>
        <w:spacing w:line="60" w:lineRule="exact"/>
      </w:pPr>
      <w:r>
        <w:rPr>
          <w:noProof/>
        </w:rP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790989720"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BF81A"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8"/>
      </w:pPr>
    </w:p>
    <w:p w:rsidR="00E456CD" w:rsidRDefault="00000000">
      <w:pPr>
        <w:pStyle w:val="Normal8"/>
        <w:widowControl w:val="0"/>
        <w:spacing w:before="200" w:line="260" w:lineRule="atLeast"/>
        <w:jc w:val="both"/>
      </w:pPr>
      <w:bookmarkStart w:id="1689" w:name="Bookmark_para_3_7"/>
      <w:bookmarkEnd w:id="1689"/>
      <w:r>
        <w:rPr>
          <w:rFonts w:ascii="Arial" w:eastAsia="Arial" w:hAnsi="Arial" w:cs="Arial"/>
          <w:color w:val="000000"/>
          <w:sz w:val="20"/>
        </w:rPr>
        <w:t xml:space="preserve"> [*649]  </w:t>
      </w:r>
      <w:r>
        <w:rPr>
          <w:rFonts w:ascii="Arial" w:eastAsia="Arial" w:hAnsi="Arial" w:cs="Arial"/>
          <w:b/>
          <w:color w:val="000000"/>
          <w:sz w:val="20"/>
        </w:rPr>
        <w:t>McKEAGUE, Circuit Judge</w:t>
      </w:r>
      <w:r>
        <w:rPr>
          <w:rFonts w:ascii="Arial" w:eastAsia="Arial" w:hAnsi="Arial" w:cs="Arial"/>
          <w:color w:val="000000"/>
          <w:sz w:val="20"/>
        </w:rPr>
        <w:t>. Under Title II of the Americans with Disabilities Act (ADA) and its implementing regulations, public entities are required to make reasonable modifications in their provision of services to avoid discriminating against disabled individuals. To protect disabled individuals from deprivations based on stereotypes, an individualized inquiry is generally required to determine whether an accommodation is necessary and reasonable under the circumstances. Mathew Marble claims that the Tennessee Department of Children's Services (DCS) failed to conduct such an inquiry when he allegedly requested that his child, H.S., be placed with his relatives. The district court granted summary judgment for DCS, finding that Marble's request to place H.S. with [**2]  his relatives was not a request for accommodation. Marble appealed, and we AFFIRM.</w:t>
      </w:r>
    </w:p>
    <w:p w:rsidR="00E456CD" w:rsidRDefault="00000000">
      <w:pPr>
        <w:pStyle w:val="Normal8"/>
        <w:widowControl w:val="0"/>
        <w:spacing w:before="240" w:line="260" w:lineRule="atLeast"/>
      </w:pPr>
      <w:r>
        <w:br/>
      </w:r>
      <w:r>
        <w:rPr>
          <w:rFonts w:ascii="Arial" w:eastAsia="Arial" w:hAnsi="Arial" w:cs="Arial"/>
          <w:b/>
          <w:color w:val="000000"/>
          <w:sz w:val="20"/>
        </w:rPr>
        <w:t>I</w:t>
      </w:r>
    </w:p>
    <w:p w:rsidR="00E456CD" w:rsidRDefault="00000000">
      <w:pPr>
        <w:pStyle w:val="Normal8"/>
        <w:widowControl w:val="0"/>
        <w:spacing w:before="200" w:line="260" w:lineRule="atLeast"/>
        <w:jc w:val="both"/>
      </w:pPr>
      <w:bookmarkStart w:id="1690" w:name="Bookmark_para_4_7"/>
      <w:bookmarkEnd w:id="1690"/>
      <w:r>
        <w:rPr>
          <w:rFonts w:ascii="Arial" w:eastAsia="Arial" w:hAnsi="Arial" w:cs="Arial"/>
          <w:color w:val="000000"/>
          <w:sz w:val="20"/>
        </w:rPr>
        <w:t>Matthew Marble is a Michigan resident who suffers from several disabilities, including Osgood-Schlatter disease; a seizure disorder that causes memory issues; blindness in his left eye; and a history of depression and trauma. Marble's child, H.S., was born in Tennessee in 2012. Marble was present at the birth and signed an acknowledgement of paternity, but he returned to his home in Michigan shortly thereafter. About a year later, based on a referral indicating drug exposure and lack of supervision, DCS removed H.S. from her mother's care and placed her with foster parents in Tennessee.</w:t>
      </w:r>
    </w:p>
    <w:p w:rsidR="00E456CD" w:rsidRDefault="00000000">
      <w:pPr>
        <w:pStyle w:val="Normal8"/>
        <w:widowControl w:val="0"/>
        <w:spacing w:before="200" w:line="260" w:lineRule="atLeast"/>
        <w:jc w:val="both"/>
      </w:pPr>
      <w:bookmarkStart w:id="1691" w:name="Bookmark_para_5_7"/>
      <w:bookmarkEnd w:id="1691"/>
      <w:r>
        <w:rPr>
          <w:rFonts w:ascii="Arial" w:eastAsia="Arial" w:hAnsi="Arial" w:cs="Arial"/>
          <w:color w:val="000000"/>
          <w:sz w:val="20"/>
        </w:rPr>
        <w:t>On September 5, 2013, Marble met with DCS to establish a "permanency plan" for H.S., under which the goal was to return H.S. to the custody of a parent or relative. In order to get custody under the plan, Marble was required to pay support for H.S.'s care, refrain from illegal drugs and alcohol, maintain stable housing for 6 months, establish a legal means of income through employment or benefits, and visit H.S. regularly, among other requirements.</w:t>
      </w:r>
    </w:p>
    <w:p w:rsidR="00E456CD" w:rsidRDefault="00000000">
      <w:pPr>
        <w:pStyle w:val="Normal8"/>
        <w:widowControl w:val="0"/>
        <w:spacing w:before="200" w:line="260" w:lineRule="atLeast"/>
        <w:jc w:val="both"/>
      </w:pPr>
      <w:bookmarkStart w:id="1692" w:name="Bookmark_para_6_7"/>
      <w:bookmarkEnd w:id="1692"/>
      <w:r>
        <w:rPr>
          <w:rFonts w:ascii="Arial" w:eastAsia="Arial" w:hAnsi="Arial" w:cs="Arial"/>
          <w:color w:val="000000"/>
          <w:sz w:val="20"/>
        </w:rPr>
        <w:t>In the fall of 2013, Marble approached Bobbie and Will DuBoise, his aunt [**3]  and uncle, who also live in Michigan, about the possibility of having H.S. placed with them. The DuBoises agreed and contacted DCS in order to offer their home. The DuBoises then began the process of foster care licensure, as well as locating Michigan doctors to care for H.S. and regularly visiting H.S. in Tennessee to establish a relationship with her. DCS submitted requests to the state of Michigan under the Interstate Compact on the Placement of Children (ICPC) to have Marble and the DuBoises certified to take custody. In July 2014, Michigan authorities denied the request regarding Marble but approved the request regarding the DuBoises.</w:t>
      </w:r>
    </w:p>
    <w:p w:rsidR="00E456CD" w:rsidRDefault="00000000">
      <w:pPr>
        <w:pStyle w:val="Normal8"/>
        <w:widowControl w:val="0"/>
        <w:spacing w:before="200" w:line="260" w:lineRule="atLeast"/>
        <w:jc w:val="both"/>
      </w:pPr>
      <w:bookmarkStart w:id="1693" w:name="Bookmark_para_7_7"/>
      <w:bookmarkEnd w:id="1693"/>
      <w:r>
        <w:rPr>
          <w:rFonts w:ascii="Arial" w:eastAsia="Arial" w:hAnsi="Arial" w:cs="Arial"/>
          <w:color w:val="000000"/>
          <w:sz w:val="20"/>
        </w:rPr>
        <w:t xml:space="preserve"> [*650]  Once the DuBoises' ICPC request was approved, DCS asked the Tennessee juvenile court to place H.S. with them on a trial basis, but H.S.'s guardian ad litem objected, citing H.S.'s medical condition and H.S.'s mother's ongoing visitation rights in Tennessee. After an evidentiary hearing, the juvenile court found that it was in H.S.'s best interests to remain with her foster parents in Tennessee. </w:t>
      </w:r>
      <w:bookmarkStart w:id="1694" w:name="Bookmark_I5VT264B28T3VY0020000400"/>
      <w:bookmarkEnd w:id="1694"/>
      <w:r>
        <w:rPr>
          <w:rFonts w:ascii="Arial" w:eastAsia="Arial" w:hAnsi="Arial" w:cs="Arial"/>
          <w:color w:val="000000"/>
          <w:sz w:val="20"/>
        </w:rPr>
        <w:t xml:space="preserve">Tennessee courts adjudicated H.S. "dependent and neglected" with respect to Marble and, in a separate proceeding, terminated Marble's parental rights. Both [**4]  decisions were affirmed by the Tennessee Court of Appeals. </w:t>
      </w:r>
      <w:r>
        <w:rPr>
          <w:rFonts w:ascii="Arial" w:eastAsia="Arial" w:hAnsi="Arial" w:cs="Arial"/>
          <w:i/>
          <w:color w:val="000000"/>
          <w:sz w:val="20"/>
        </w:rPr>
        <w:t xml:space="preserve">See </w:t>
      </w:r>
      <w:bookmarkStart w:id="1695" w:name="Bookmark_I5VT264B28T3VY0010000400"/>
      <w:bookmarkEnd w:id="1695"/>
      <w:r>
        <w:rPr>
          <w:rFonts w:ascii="Arial" w:eastAsia="Arial" w:hAnsi="Arial" w:cs="Arial"/>
          <w:i/>
          <w:color w:val="000000"/>
          <w:sz w:val="20"/>
        </w:rPr>
        <w:t>In re H.S. I</w:t>
      </w:r>
      <w:r>
        <w:rPr>
          <w:rFonts w:ascii="Arial" w:eastAsia="Arial" w:hAnsi="Arial" w:cs="Arial"/>
          <w:color w:val="000000"/>
          <w:sz w:val="20"/>
        </w:rPr>
        <w:t xml:space="preserve">, No. M2015-00842-COA-R3-PT, 2016 Tenn. App. LEXIS 380, 2016 WL 3209444, at *11 (Tenn. Ct. App. May 31, 2016); </w:t>
      </w:r>
      <w:bookmarkStart w:id="1696" w:name="Bookmark_I5VT264B28T3VY0030000400"/>
      <w:bookmarkEnd w:id="1696"/>
      <w:r>
        <w:rPr>
          <w:rFonts w:ascii="Arial" w:eastAsia="Arial" w:hAnsi="Arial" w:cs="Arial"/>
          <w:i/>
          <w:color w:val="000000"/>
          <w:sz w:val="20"/>
        </w:rPr>
        <w:t>In re H.S. II</w:t>
      </w:r>
      <w:r>
        <w:rPr>
          <w:rFonts w:ascii="Arial" w:eastAsia="Arial" w:hAnsi="Arial" w:cs="Arial"/>
          <w:color w:val="000000"/>
          <w:sz w:val="20"/>
        </w:rPr>
        <w:t>, No. M2016-00387-COA-R3-JV, 2016 Tenn. App. LEXIS 930, 2016 WL 7048840, at *8 (Tenn. Ct. App. Dec. 5, 2016).</w:t>
      </w:r>
    </w:p>
    <w:p w:rsidR="00E456CD" w:rsidRDefault="00000000">
      <w:pPr>
        <w:pStyle w:val="Normal8"/>
        <w:widowControl w:val="0"/>
        <w:spacing w:before="200" w:line="260" w:lineRule="atLeast"/>
        <w:jc w:val="both"/>
      </w:pPr>
      <w:bookmarkStart w:id="1697" w:name="Bookmark_para_8_7"/>
      <w:bookmarkStart w:id="1698" w:name="Bookmark_I5VT264B2D6N3F0010000400"/>
      <w:bookmarkStart w:id="1699" w:name="Bookmark_I5VT264B2D6N3F0050000400"/>
      <w:bookmarkEnd w:id="1697"/>
      <w:bookmarkEnd w:id="1698"/>
      <w:bookmarkEnd w:id="1699"/>
      <w:r>
        <w:rPr>
          <w:rFonts w:ascii="Arial" w:eastAsia="Arial" w:hAnsi="Arial" w:cs="Arial"/>
          <w:color w:val="000000"/>
          <w:sz w:val="20"/>
        </w:rPr>
        <w:t>On May 4, 2014, Marble sued DCS in federal court, alleging discrimination on the basis of disability in violation of Title II of the ADA and Section 504 the Rehabilitation Act of 1973.</w:t>
      </w:r>
      <w:r>
        <w:rPr>
          <w:rFonts w:ascii="Arial" w:eastAsia="Arial" w:hAnsi="Arial" w:cs="Arial"/>
          <w:vertAlign w:val="superscript"/>
        </w:rPr>
        <w:footnoteReference w:customMarkFollows="1" w:id="74"/>
        <w:t>1</w:t>
      </w:r>
      <w:r>
        <w:rPr>
          <w:rFonts w:ascii="Arial" w:eastAsia="Arial" w:hAnsi="Arial" w:cs="Arial"/>
          <w:color w:val="000000"/>
          <w:sz w:val="20"/>
        </w:rPr>
        <w:t xml:space="preserve"> Marble claimed that DCS refused to accommodate him by transferring custody of H.S. to Marble's relatives and that DCS's failure to conduct an individualized assessment of the effect of Marble's disabilities on his ability to parent H.S. was an independent violation of the ADA.</w:t>
      </w:r>
    </w:p>
    <w:p w:rsidR="00E456CD" w:rsidRDefault="00000000">
      <w:pPr>
        <w:pStyle w:val="Normal8"/>
        <w:widowControl w:val="0"/>
        <w:spacing w:before="200" w:line="260" w:lineRule="atLeast"/>
        <w:jc w:val="both"/>
      </w:pPr>
      <w:bookmarkStart w:id="1705" w:name="Bookmark_para_9_7"/>
      <w:bookmarkEnd w:id="1705"/>
      <w:r>
        <w:rPr>
          <w:rFonts w:ascii="Arial" w:eastAsia="Arial" w:hAnsi="Arial" w:cs="Arial"/>
          <w:color w:val="000000"/>
          <w:sz w:val="20"/>
        </w:rPr>
        <w:t>DCS filed a motion for summary judgment, which the district court granted. The court found that DCS did not violate a duty to conduct an individualized inquiry into Marble's disabilities because there was a "complete absence of proof" that Marble ever requested accommodation or otherwise indicated the need for accommodation to meet the requirements of the permanency plan. On appeal, Marble contests the district court's conclusion, claiming that he requested that DCS accommodate his disabilities by placing H.S. with his relatives.</w:t>
      </w:r>
    </w:p>
    <w:p w:rsidR="00E456CD" w:rsidRDefault="00000000">
      <w:pPr>
        <w:pStyle w:val="Normal8"/>
        <w:widowControl w:val="0"/>
        <w:spacing w:before="240" w:line="260" w:lineRule="atLeast"/>
      </w:pPr>
      <w:r>
        <w:br/>
      </w:r>
      <w:r>
        <w:rPr>
          <w:rFonts w:ascii="Arial" w:eastAsia="Arial" w:hAnsi="Arial" w:cs="Arial"/>
          <w:b/>
          <w:color w:val="000000"/>
          <w:sz w:val="20"/>
        </w:rPr>
        <w:t>II</w:t>
      </w:r>
    </w:p>
    <w:p w:rsidR="00E456CD" w:rsidRDefault="00000000">
      <w:pPr>
        <w:pStyle w:val="Normal8"/>
        <w:widowControl w:val="0"/>
        <w:spacing w:before="200" w:line="260" w:lineRule="atLeast"/>
        <w:jc w:val="both"/>
      </w:pPr>
      <w:bookmarkStart w:id="1706" w:name="Bookmark_para_10_7"/>
      <w:bookmarkStart w:id="1707" w:name="Bookmark_I5VT264B2N1PW60040000400"/>
      <w:bookmarkStart w:id="1708" w:name="Bookmark_LNHNREFclscc1_5"/>
      <w:bookmarkEnd w:id="1706"/>
      <w:bookmarkEnd w:id="1707"/>
      <w:bookmarkEnd w:id="1708"/>
      <w:r>
        <w:rPr>
          <w:rFonts w:ascii="Arial" w:eastAsia="Arial" w:hAnsi="Arial" w:cs="Arial"/>
          <w:color w:val="000000"/>
          <w:sz w:val="20"/>
        </w:rPr>
        <w:t xml:space="preserve">We review the district court's grant of summary judgment de novo. </w:t>
      </w:r>
      <w:bookmarkStart w:id="1709" w:name="Bookmark_I5VT264B2N1PW60030000400"/>
      <w:bookmarkEnd w:id="1709"/>
      <w:r>
        <w:rPr>
          <w:rFonts w:ascii="Arial" w:eastAsia="Arial" w:hAnsi="Arial" w:cs="Arial"/>
          <w:i/>
          <w:color w:val="000000"/>
          <w:sz w:val="20"/>
        </w:rPr>
        <w:t>Brumley v. United Parcel Service, Inc.</w:t>
      </w:r>
      <w:r>
        <w:rPr>
          <w:rFonts w:ascii="Arial" w:eastAsia="Arial" w:hAnsi="Arial" w:cs="Arial"/>
          <w:color w:val="000000"/>
          <w:sz w:val="20"/>
        </w:rPr>
        <w:t xml:space="preserve">, 909 F.3d 834, 839 (6th Cir. 2018) (citation omitted). </w:t>
      </w:r>
      <w:bookmarkStart w:id="1710" w:name="Bookmark_LNHNREFclscc2_5"/>
      <w:bookmarkEnd w:id="1710"/>
      <w:r>
        <w:rPr>
          <w:rFonts w:ascii="Arial" w:eastAsia="Arial" w:hAnsi="Arial" w:cs="Arial"/>
          <w:color w:val="000000"/>
          <w:sz w:val="20"/>
        </w:rPr>
        <w:t xml:space="preserve">Viewing [**5]  the facts in the light most favorable to Marble, the non-movant, we must determine whether Marble raised a genuine issue of material fact as to whether DCS had a duty to accommodate him and failed to do so. </w:t>
      </w:r>
      <w:r>
        <w:rPr>
          <w:rFonts w:ascii="Arial" w:eastAsia="Arial" w:hAnsi="Arial" w:cs="Arial"/>
          <w:i/>
          <w:color w:val="000000"/>
          <w:sz w:val="20"/>
        </w:rPr>
        <w:t>Id.</w:t>
      </w:r>
      <w:r>
        <w:rPr>
          <w:rFonts w:ascii="Arial" w:eastAsia="Arial" w:hAnsi="Arial" w:cs="Arial"/>
          <w:color w:val="000000"/>
          <w:sz w:val="20"/>
        </w:rPr>
        <w:t>; Fed. R. Civ. P. 56(a). Finding none, we affirm the judgment of the district court.</w:t>
      </w:r>
    </w:p>
    <w:p w:rsidR="00E456CD" w:rsidRDefault="00000000">
      <w:pPr>
        <w:pStyle w:val="Normal8"/>
        <w:widowControl w:val="0"/>
        <w:spacing w:before="240" w:line="260" w:lineRule="atLeast"/>
      </w:pPr>
      <w:r>
        <w:br/>
      </w:r>
      <w:r>
        <w:rPr>
          <w:rFonts w:ascii="Arial" w:eastAsia="Arial" w:hAnsi="Arial" w:cs="Arial"/>
          <w:b/>
          <w:color w:val="000000"/>
          <w:sz w:val="20"/>
        </w:rPr>
        <w:t>III</w:t>
      </w:r>
    </w:p>
    <w:p w:rsidR="00E456CD" w:rsidRDefault="00000000">
      <w:pPr>
        <w:pStyle w:val="Normal8"/>
        <w:widowControl w:val="0"/>
        <w:spacing w:before="200" w:line="260" w:lineRule="atLeast"/>
        <w:jc w:val="both"/>
      </w:pPr>
      <w:bookmarkStart w:id="1711" w:name="Bookmark_para_11_7"/>
      <w:bookmarkStart w:id="1712" w:name="Bookmark_I5VT264B2HM6B40010000400"/>
      <w:bookmarkStart w:id="1713" w:name="Bookmark_LNHNREFclscc3_4"/>
      <w:bookmarkEnd w:id="1711"/>
      <w:bookmarkEnd w:id="1712"/>
      <w:bookmarkEnd w:id="1713"/>
      <w:r>
        <w:rPr>
          <w:rFonts w:ascii="Arial" w:eastAsia="Arial" w:hAnsi="Arial" w:cs="Arial"/>
          <w:color w:val="000000"/>
          <w:sz w:val="20"/>
        </w:rPr>
        <w:t xml:space="preserve">Enacted in 1990, the ADA provides a "broad mandate" to remedy discrimination against disabled individuals. </w:t>
      </w:r>
      <w:bookmarkStart w:id="1714" w:name="Bookmark_I5VT264B2N1PW60050000400"/>
      <w:bookmarkEnd w:id="1714"/>
      <w:r>
        <w:rPr>
          <w:rFonts w:ascii="Arial" w:eastAsia="Arial" w:hAnsi="Arial" w:cs="Arial"/>
          <w:i/>
          <w:color w:val="000000"/>
          <w:sz w:val="20"/>
        </w:rPr>
        <w:t>PGA Tour, Inc. v. Martin</w:t>
      </w:r>
      <w:r>
        <w:rPr>
          <w:rFonts w:ascii="Arial" w:eastAsia="Arial" w:hAnsi="Arial" w:cs="Arial"/>
          <w:color w:val="000000"/>
          <w:sz w:val="20"/>
        </w:rPr>
        <w:t xml:space="preserve">, 532 U.S. 661, 675, 121 S. Ct. 1879, 149 L. Ed. 2d 904 (2001). Under the ADA's tripartite structure, Title I covers employment, Title II protects access to public services, and Title III protects access to public accommodations. </w:t>
      </w:r>
      <w:r>
        <w:rPr>
          <w:rFonts w:ascii="Arial" w:eastAsia="Arial" w:hAnsi="Arial" w:cs="Arial"/>
          <w:i/>
          <w:color w:val="000000"/>
          <w:sz w:val="20"/>
        </w:rPr>
        <w:t>See</w:t>
      </w:r>
      <w:r>
        <w:rPr>
          <w:rFonts w:ascii="Arial" w:eastAsia="Arial" w:hAnsi="Arial" w:cs="Arial"/>
          <w:color w:val="000000"/>
          <w:sz w:val="20"/>
        </w:rPr>
        <w:t xml:space="preserve"> 42 U.S.C. §§ 12112, 12132, 12182.</w:t>
      </w:r>
    </w:p>
    <w:p w:rsidR="00E456CD" w:rsidRDefault="00000000">
      <w:pPr>
        <w:pStyle w:val="Normal8"/>
        <w:widowControl w:val="0"/>
        <w:spacing w:before="200" w:line="260" w:lineRule="atLeast"/>
        <w:jc w:val="both"/>
      </w:pPr>
      <w:bookmarkStart w:id="1715" w:name="Bookmark_para_12_6"/>
      <w:bookmarkStart w:id="1716" w:name="Bookmark_LNHNREFclscc4_4"/>
      <w:bookmarkEnd w:id="1715"/>
      <w:bookmarkEnd w:id="1716"/>
      <w:r>
        <w:rPr>
          <w:rFonts w:ascii="Arial" w:eastAsia="Arial" w:hAnsi="Arial" w:cs="Arial"/>
          <w:color w:val="000000"/>
          <w:sz w:val="20"/>
        </w:rPr>
        <w:t xml:space="preserve">Title II states that "no qualified individual with a disability shall, by reason of such disability, be excluded from participation in or be denied the benefits of the services, programs, or activities of a public  [*651]  entity, or be subjected to discrimination by any such entity." </w:t>
      </w:r>
      <w:r>
        <w:rPr>
          <w:rFonts w:ascii="Arial" w:eastAsia="Arial" w:hAnsi="Arial" w:cs="Arial"/>
          <w:i/>
          <w:color w:val="000000"/>
          <w:sz w:val="20"/>
        </w:rPr>
        <w:t>Id.</w:t>
      </w:r>
      <w:r>
        <w:rPr>
          <w:rFonts w:ascii="Arial" w:eastAsia="Arial" w:hAnsi="Arial" w:cs="Arial"/>
          <w:color w:val="000000"/>
          <w:sz w:val="20"/>
        </w:rPr>
        <w:t xml:space="preserve"> § 12132. </w:t>
      </w:r>
      <w:bookmarkStart w:id="1717" w:name="Bookmark_I5VT264B2HM6B40030000400"/>
      <w:bookmarkEnd w:id="1717"/>
      <w:r>
        <w:rPr>
          <w:rFonts w:ascii="Arial" w:eastAsia="Arial" w:hAnsi="Arial" w:cs="Arial"/>
          <w:color w:val="000000"/>
          <w:sz w:val="20"/>
        </w:rPr>
        <w:t xml:space="preserve">The statute defines "public entity" as any state or local government, including departments and agencies. </w:t>
      </w:r>
      <w:r>
        <w:rPr>
          <w:rFonts w:ascii="Arial" w:eastAsia="Arial" w:hAnsi="Arial" w:cs="Arial"/>
          <w:i/>
          <w:color w:val="000000"/>
          <w:sz w:val="20"/>
        </w:rPr>
        <w:t>Id.</w:t>
      </w:r>
      <w:r>
        <w:rPr>
          <w:rFonts w:ascii="Arial" w:eastAsia="Arial" w:hAnsi="Arial" w:cs="Arial"/>
          <w:color w:val="000000"/>
          <w:sz w:val="20"/>
        </w:rPr>
        <w:t xml:space="preserve"> § 12131(1)(A)-(B). </w:t>
      </w:r>
      <w:bookmarkStart w:id="1718" w:name="Bookmark_I5VT264B2HM6B40050000400"/>
      <w:bookmarkEnd w:id="1718"/>
      <w:r>
        <w:rPr>
          <w:rFonts w:ascii="Arial" w:eastAsia="Arial" w:hAnsi="Arial" w:cs="Arial"/>
          <w:color w:val="000000"/>
          <w:sz w:val="20"/>
        </w:rPr>
        <w:t xml:space="preserve">The term "services, programs, or activities" has been construed broadly, capturing "virtually everything that a public entity does." </w:t>
      </w:r>
      <w:bookmarkStart w:id="1719" w:name="Bookmark_I5VT264B2HM6B40020000400"/>
      <w:bookmarkEnd w:id="1719"/>
      <w:r>
        <w:rPr>
          <w:rFonts w:ascii="Arial" w:eastAsia="Arial" w:hAnsi="Arial" w:cs="Arial"/>
          <w:i/>
          <w:color w:val="000000"/>
          <w:sz w:val="20"/>
        </w:rPr>
        <w:t>Babcock v. Michigan</w:t>
      </w:r>
      <w:r>
        <w:rPr>
          <w:rFonts w:ascii="Arial" w:eastAsia="Arial" w:hAnsi="Arial" w:cs="Arial"/>
          <w:color w:val="000000"/>
          <w:sz w:val="20"/>
        </w:rPr>
        <w:t xml:space="preserve">, 812 F.3d 531, 540 (6th Cir. 2016) (quotation omitted). </w:t>
      </w:r>
      <w:bookmarkStart w:id="1720" w:name="Bookmark_I5VT264B2HM6B40050000400_2"/>
      <w:bookmarkEnd w:id="1720"/>
      <w:r>
        <w:rPr>
          <w:rFonts w:ascii="Arial" w:eastAsia="Arial" w:hAnsi="Arial" w:cs="Arial"/>
          <w:color w:val="000000"/>
          <w:sz w:val="20"/>
        </w:rPr>
        <w:t xml:space="preserve">Although the text of Title II does not define "discrimination," we have generally recognized [**6]  two methods for proving discrimination: intentional discrimination and failure to make reasonable accommodation. </w:t>
      </w:r>
      <w:bookmarkStart w:id="1721" w:name="Bookmark_I5VT264B2HM6B40040000400"/>
      <w:bookmarkEnd w:id="1721"/>
      <w:r>
        <w:rPr>
          <w:rFonts w:ascii="Arial" w:eastAsia="Arial" w:hAnsi="Arial" w:cs="Arial"/>
          <w:i/>
          <w:color w:val="000000"/>
          <w:sz w:val="20"/>
        </w:rPr>
        <w:t>McPherson v. MHSAA</w:t>
      </w:r>
      <w:r>
        <w:rPr>
          <w:rFonts w:ascii="Arial" w:eastAsia="Arial" w:hAnsi="Arial" w:cs="Arial"/>
          <w:color w:val="000000"/>
          <w:sz w:val="20"/>
        </w:rPr>
        <w:t xml:space="preserve">, 119 F.3d 453, 460 (6th Cir. 1997). </w:t>
      </w:r>
      <w:bookmarkStart w:id="1722" w:name="Bookmark_I5VT264B28T3W00020000400"/>
      <w:bookmarkEnd w:id="1722"/>
      <w:r>
        <w:rPr>
          <w:rFonts w:ascii="Arial" w:eastAsia="Arial" w:hAnsi="Arial" w:cs="Arial"/>
          <w:color w:val="000000"/>
          <w:sz w:val="20"/>
        </w:rPr>
        <w:t>The latter method stems from a regulation implementing Title II:</w:t>
      </w:r>
    </w:p>
    <w:p w:rsidR="00E456CD" w:rsidRDefault="00000000">
      <w:pPr>
        <w:pStyle w:val="Normal8"/>
        <w:widowControl w:val="0"/>
        <w:spacing w:line="260" w:lineRule="atLeast"/>
        <w:ind w:left="400"/>
        <w:jc w:val="both"/>
      </w:pPr>
      <w:bookmarkStart w:id="1723" w:name="Bookmark_para_13_5"/>
      <w:bookmarkStart w:id="1724" w:name="Bookmark_I5VT264B28T3W00020000400_2"/>
      <w:bookmarkEnd w:id="1723"/>
      <w:bookmarkEnd w:id="1724"/>
      <w:r>
        <w:rPr>
          <w:rFonts w:ascii="Arial" w:eastAsia="Arial" w:hAnsi="Arial" w:cs="Arial"/>
          <w:color w:val="000000"/>
          <w:sz w:val="20"/>
        </w:rPr>
        <w:t>A public entity shall make reasonable modifications in policies, practices, or procedures when the modifications are necessary to avoid discrimination on the basis of disability, unless the public entity can demonstrate that making the modifications would fundamentally alter the nature of the service, program, or activity.</w:t>
      </w:r>
    </w:p>
    <w:p w:rsidR="00E456CD" w:rsidRDefault="00000000">
      <w:pPr>
        <w:pStyle w:val="Normal8"/>
        <w:widowControl w:val="0"/>
        <w:spacing w:before="200" w:line="260" w:lineRule="atLeast"/>
        <w:jc w:val="both"/>
      </w:pPr>
      <w:bookmarkStart w:id="1725" w:name="Bookmark_I5VT264B28T3W00020000400_3"/>
      <w:bookmarkEnd w:id="1725"/>
      <w:r>
        <w:rPr>
          <w:rFonts w:ascii="Arial" w:eastAsia="Arial" w:hAnsi="Arial" w:cs="Arial"/>
          <w:color w:val="000000"/>
          <w:sz w:val="20"/>
        </w:rPr>
        <w:t xml:space="preserve">28 C.F.R. § 35.130(b)(7)(i); </w:t>
      </w:r>
      <w:r>
        <w:rPr>
          <w:rFonts w:ascii="Arial" w:eastAsia="Arial" w:hAnsi="Arial" w:cs="Arial"/>
          <w:i/>
          <w:color w:val="000000"/>
          <w:sz w:val="20"/>
        </w:rPr>
        <w:t xml:space="preserve">see also </w:t>
      </w:r>
      <w:bookmarkStart w:id="1726" w:name="Bookmark_I5VT264B28T3W00010000400"/>
      <w:bookmarkEnd w:id="1726"/>
      <w:r>
        <w:rPr>
          <w:rFonts w:ascii="Arial" w:eastAsia="Arial" w:hAnsi="Arial" w:cs="Arial"/>
          <w:i/>
          <w:color w:val="000000"/>
          <w:sz w:val="20"/>
        </w:rPr>
        <w:t>Fry v. Napoleon Cmty. Sch.</w:t>
      </w:r>
      <w:r>
        <w:rPr>
          <w:rFonts w:ascii="Arial" w:eastAsia="Arial" w:hAnsi="Arial" w:cs="Arial"/>
          <w:color w:val="000000"/>
          <w:sz w:val="20"/>
        </w:rPr>
        <w:t xml:space="preserve">, 137 S. Ct. 743, 749-50, 197 L. Ed. 2d 46 (2017). This regulation approximates the statutory definitions of "discrimination" in Titles I and III. </w:t>
      </w:r>
      <w:r>
        <w:rPr>
          <w:rFonts w:ascii="Arial" w:eastAsia="Arial" w:hAnsi="Arial" w:cs="Arial"/>
          <w:i/>
          <w:color w:val="000000"/>
          <w:sz w:val="20"/>
        </w:rPr>
        <w:t>See</w:t>
      </w:r>
      <w:r>
        <w:rPr>
          <w:rFonts w:ascii="Arial" w:eastAsia="Arial" w:hAnsi="Arial" w:cs="Arial"/>
          <w:color w:val="000000"/>
          <w:sz w:val="20"/>
        </w:rPr>
        <w:t xml:space="preserve"> 42 U.S.C. §§ 12112(b)(5)(A), 12182(b)(2)(A)(ii).</w:t>
      </w:r>
    </w:p>
    <w:p w:rsidR="00E456CD" w:rsidRDefault="00000000">
      <w:pPr>
        <w:pStyle w:val="Normal8"/>
        <w:widowControl w:val="0"/>
        <w:spacing w:before="200" w:line="260" w:lineRule="atLeast"/>
        <w:jc w:val="both"/>
      </w:pPr>
      <w:bookmarkStart w:id="1727" w:name="Bookmark_para_14_5"/>
      <w:bookmarkEnd w:id="1727"/>
      <w:r>
        <w:rPr>
          <w:rFonts w:ascii="Arial" w:eastAsia="Arial" w:hAnsi="Arial" w:cs="Arial"/>
          <w:color w:val="000000"/>
          <w:sz w:val="20"/>
        </w:rPr>
        <w:t>In this appeal, the parties do not dispute that Marble is disabled for purposes of the ADA or that DCS is a public entity that provided services to Marble. The dispute centers on whether DCS discriminated against Marble by failing to conduct an individualized inquiry into Marble's disabilities and reasonable accommodations.</w:t>
      </w:r>
    </w:p>
    <w:p w:rsidR="00E456CD" w:rsidRDefault="00000000">
      <w:pPr>
        <w:pStyle w:val="Normal8"/>
        <w:widowControl w:val="0"/>
        <w:spacing w:before="200" w:line="260" w:lineRule="atLeast"/>
        <w:jc w:val="both"/>
      </w:pPr>
      <w:bookmarkStart w:id="1728" w:name="Bookmark_para_15_5"/>
      <w:bookmarkStart w:id="1729" w:name="Bookmark_I5VT264B28T3W00040000400"/>
      <w:bookmarkStart w:id="1730" w:name="Bookmark_I5VT264B2N1PW70010000400"/>
      <w:bookmarkEnd w:id="1728"/>
      <w:bookmarkEnd w:id="1729"/>
      <w:bookmarkEnd w:id="1730"/>
      <w:r>
        <w:rPr>
          <w:rFonts w:ascii="Arial" w:eastAsia="Arial" w:hAnsi="Arial" w:cs="Arial"/>
          <w:color w:val="000000"/>
          <w:sz w:val="20"/>
        </w:rPr>
        <w:t xml:space="preserve">The principles that govern this appeal are drawn mainly from cases under Title I, along with the Supreme Court's opinion in </w:t>
      </w:r>
      <w:r>
        <w:rPr>
          <w:rFonts w:ascii="Arial" w:eastAsia="Arial" w:hAnsi="Arial" w:cs="Arial"/>
          <w:i/>
          <w:color w:val="000000"/>
          <w:sz w:val="20"/>
        </w:rPr>
        <w:t>PGA Tour</w:t>
      </w:r>
      <w:r>
        <w:rPr>
          <w:rFonts w:ascii="Arial" w:eastAsia="Arial" w:hAnsi="Arial" w:cs="Arial"/>
          <w:color w:val="000000"/>
          <w:sz w:val="20"/>
        </w:rPr>
        <w:t xml:space="preserve"> under Title III. </w:t>
      </w:r>
      <w:r>
        <w:rPr>
          <w:rFonts w:ascii="Arial" w:eastAsia="Arial" w:hAnsi="Arial" w:cs="Arial"/>
          <w:i/>
          <w:color w:val="000000"/>
          <w:sz w:val="20"/>
        </w:rPr>
        <w:t>See</w:t>
      </w:r>
      <w:r>
        <w:rPr>
          <w:rFonts w:ascii="Arial" w:eastAsia="Arial" w:hAnsi="Arial" w:cs="Arial"/>
          <w:color w:val="000000"/>
          <w:sz w:val="20"/>
        </w:rPr>
        <w:t xml:space="preserve"> </w:t>
      </w:r>
      <w:bookmarkStart w:id="1731" w:name="Bookmark_I5VT264B28T3W00030000400"/>
      <w:bookmarkEnd w:id="1731"/>
      <w:r>
        <w:rPr>
          <w:rFonts w:ascii="Arial" w:eastAsia="Arial" w:hAnsi="Arial" w:cs="Arial"/>
          <w:color w:val="000000"/>
          <w:sz w:val="20"/>
        </w:rPr>
        <w:t xml:space="preserve">532 U.S. at 676. </w:t>
      </w:r>
      <w:bookmarkStart w:id="1732" w:name="Bookmark_I5VT264B2N1PW70030000400"/>
      <w:bookmarkEnd w:id="1732"/>
      <w:r>
        <w:rPr>
          <w:rFonts w:ascii="Arial" w:eastAsia="Arial" w:hAnsi="Arial" w:cs="Arial"/>
          <w:color w:val="000000"/>
          <w:sz w:val="20"/>
        </w:rPr>
        <w:t xml:space="preserve">We turn to these cases because we have had fewer opportunities to address reasonable-accommodation claims [**7]  under Title II, as we have before noted: "Not surprisingly, most of the law that has been made in ADA cases has arisen in the context of employment discrimination claims, but we have no doubt that the decisional principles of these cases may be applied to this case." </w:t>
      </w:r>
      <w:bookmarkStart w:id="1733" w:name="Bookmark_I5VT264B28T3W00050000400"/>
      <w:bookmarkEnd w:id="1733"/>
      <w:r>
        <w:rPr>
          <w:rFonts w:ascii="Arial" w:eastAsia="Arial" w:hAnsi="Arial" w:cs="Arial"/>
          <w:i/>
          <w:color w:val="000000"/>
          <w:sz w:val="20"/>
        </w:rPr>
        <w:t>McPherson</w:t>
      </w:r>
      <w:r>
        <w:rPr>
          <w:rFonts w:ascii="Arial" w:eastAsia="Arial" w:hAnsi="Arial" w:cs="Arial"/>
          <w:color w:val="000000"/>
          <w:sz w:val="20"/>
        </w:rPr>
        <w:t xml:space="preserve">, 119 F.3d at 460. Since </w:t>
      </w:r>
      <w:r>
        <w:rPr>
          <w:rFonts w:ascii="Arial" w:eastAsia="Arial" w:hAnsi="Arial" w:cs="Arial"/>
          <w:i/>
          <w:color w:val="000000"/>
          <w:sz w:val="20"/>
        </w:rPr>
        <w:t>McPherson</w:t>
      </w:r>
      <w:r>
        <w:rPr>
          <w:rFonts w:ascii="Arial" w:eastAsia="Arial" w:hAnsi="Arial" w:cs="Arial"/>
          <w:color w:val="000000"/>
          <w:sz w:val="20"/>
        </w:rPr>
        <w:t xml:space="preserve">, we have occasionally relied on Title I cases, though without drawing attention to the practice. </w:t>
      </w:r>
      <w:bookmarkStart w:id="1734" w:name="Bookmark_I5VT264B2N1PW70030000400_2"/>
      <w:bookmarkStart w:id="1735" w:name="Bookmark_I5VT264B2D6N3G0010000400"/>
      <w:bookmarkEnd w:id="1734"/>
      <w:bookmarkEnd w:id="1735"/>
      <w:r>
        <w:rPr>
          <w:rFonts w:ascii="Arial" w:eastAsia="Arial" w:hAnsi="Arial" w:cs="Arial"/>
          <w:i/>
          <w:color w:val="000000"/>
          <w:sz w:val="20"/>
        </w:rPr>
        <w:t xml:space="preserve">See, e.g., </w:t>
      </w:r>
      <w:bookmarkStart w:id="1736" w:name="Bookmark_I5VT264B2N1PW70020000400"/>
      <w:bookmarkEnd w:id="1736"/>
      <w:r>
        <w:rPr>
          <w:rFonts w:ascii="Arial" w:eastAsia="Arial" w:hAnsi="Arial" w:cs="Arial"/>
          <w:i/>
          <w:color w:val="000000"/>
          <w:sz w:val="20"/>
        </w:rPr>
        <w:t>Mbawe v. Ferris State Univ.</w:t>
      </w:r>
      <w:r>
        <w:rPr>
          <w:rFonts w:ascii="Arial" w:eastAsia="Arial" w:hAnsi="Arial" w:cs="Arial"/>
          <w:color w:val="000000"/>
          <w:sz w:val="20"/>
        </w:rPr>
        <w:t xml:space="preserve">, 751 F. App'x 832, 840 (6th Cir. 2018) (citing </w:t>
      </w:r>
      <w:bookmarkStart w:id="1737" w:name="Bookmark_I5VT264B2N1PW70040000400"/>
      <w:bookmarkEnd w:id="1737"/>
      <w:r>
        <w:rPr>
          <w:rFonts w:ascii="Arial" w:eastAsia="Arial" w:hAnsi="Arial" w:cs="Arial"/>
          <w:i/>
          <w:color w:val="000000"/>
          <w:sz w:val="20"/>
        </w:rPr>
        <w:t>EEOC v. Ford Motor Co.</w:t>
      </w:r>
      <w:r>
        <w:rPr>
          <w:rFonts w:ascii="Arial" w:eastAsia="Arial" w:hAnsi="Arial" w:cs="Arial"/>
          <w:color w:val="000000"/>
          <w:sz w:val="20"/>
        </w:rPr>
        <w:t xml:space="preserve">, 782 F.3d 753, 766 (6th Cir. 2015)), </w:t>
      </w:r>
      <w:r>
        <w:rPr>
          <w:rFonts w:ascii="Arial" w:eastAsia="Arial" w:hAnsi="Arial" w:cs="Arial"/>
          <w:i/>
          <w:color w:val="000000"/>
          <w:sz w:val="20"/>
        </w:rPr>
        <w:t>petition for cert. filed</w:t>
      </w:r>
      <w:r>
        <w:rPr>
          <w:rFonts w:ascii="Arial" w:eastAsia="Arial" w:hAnsi="Arial" w:cs="Arial"/>
          <w:color w:val="000000"/>
          <w:sz w:val="20"/>
        </w:rPr>
        <w:t xml:space="preserve">, Docket No. 18-1179 (U.S. March 12, 2019); </w:t>
      </w:r>
      <w:bookmarkStart w:id="1738" w:name="Bookmark_I5VT264B2SF8760010000400"/>
      <w:bookmarkEnd w:id="1738"/>
      <w:r>
        <w:rPr>
          <w:rFonts w:ascii="Arial" w:eastAsia="Arial" w:hAnsi="Arial" w:cs="Arial"/>
          <w:i/>
          <w:color w:val="000000"/>
          <w:sz w:val="20"/>
        </w:rPr>
        <w:t>Buescher v. Baldwin Wallace Univ.</w:t>
      </w:r>
      <w:r>
        <w:rPr>
          <w:rFonts w:ascii="Arial" w:eastAsia="Arial" w:hAnsi="Arial" w:cs="Arial"/>
          <w:color w:val="000000"/>
          <w:sz w:val="20"/>
        </w:rPr>
        <w:t xml:space="preserve">, 86 F. Supp. 3d 789, 806 (N.D. Ohio 2015) (citing </w:t>
      </w:r>
      <w:bookmarkStart w:id="1739" w:name="Bookmark_I5VT264B2SF8760030000400"/>
      <w:bookmarkEnd w:id="1739"/>
      <w:r>
        <w:rPr>
          <w:rFonts w:ascii="Arial" w:eastAsia="Arial" w:hAnsi="Arial" w:cs="Arial"/>
          <w:i/>
          <w:color w:val="000000"/>
          <w:sz w:val="20"/>
        </w:rPr>
        <w:t>Gantt v. Wilson Sporting Goods Co.</w:t>
      </w:r>
      <w:r>
        <w:rPr>
          <w:rFonts w:ascii="Arial" w:eastAsia="Arial" w:hAnsi="Arial" w:cs="Arial"/>
          <w:color w:val="000000"/>
          <w:sz w:val="20"/>
        </w:rPr>
        <w:t xml:space="preserve">, 143 F.3d 1042 (6th Cir. 1998)). </w:t>
      </w:r>
      <w:bookmarkStart w:id="1740" w:name="Bookmark_I5VT264B2D6N3G0010000400_2"/>
      <w:bookmarkEnd w:id="1740"/>
      <w:r>
        <w:rPr>
          <w:rFonts w:ascii="Arial" w:eastAsia="Arial" w:hAnsi="Arial" w:cs="Arial"/>
          <w:color w:val="000000"/>
          <w:sz w:val="20"/>
        </w:rPr>
        <w:t xml:space="preserve">Other circuits have likewise relied on cases from Titles I and III to inform Title II cases. </w:t>
      </w:r>
      <w:r>
        <w:rPr>
          <w:rFonts w:ascii="Arial" w:eastAsia="Arial" w:hAnsi="Arial" w:cs="Arial"/>
          <w:i/>
          <w:color w:val="000000"/>
          <w:sz w:val="20"/>
        </w:rPr>
        <w:t xml:space="preserve">See, e.g., </w:t>
      </w:r>
      <w:bookmarkStart w:id="1741" w:name="Bookmark_I5VT264B2SF8760050000400"/>
      <w:bookmarkEnd w:id="1741"/>
      <w:r>
        <w:rPr>
          <w:rFonts w:ascii="Arial" w:eastAsia="Arial" w:hAnsi="Arial" w:cs="Arial"/>
          <w:i/>
          <w:color w:val="000000"/>
          <w:sz w:val="20"/>
        </w:rPr>
        <w:t>McElwee v. County of Orange</w:t>
      </w:r>
      <w:r>
        <w:rPr>
          <w:rFonts w:ascii="Arial" w:eastAsia="Arial" w:hAnsi="Arial" w:cs="Arial"/>
          <w:color w:val="000000"/>
          <w:sz w:val="20"/>
        </w:rPr>
        <w:t>, 700 F.3d 635, 640 n.2 (2nd Cir. 2012). Because there are differences among the provisions and implementing regulations of Titles I, II, and III, however, we take the time to discuss the extent to which the principles derived from Titles I and III should apply to Marble's case.</w:t>
      </w:r>
    </w:p>
    <w:p w:rsidR="00E456CD" w:rsidRDefault="00000000">
      <w:pPr>
        <w:pStyle w:val="Normal8"/>
        <w:widowControl w:val="0"/>
        <w:spacing w:before="200" w:line="260" w:lineRule="atLeast"/>
        <w:jc w:val="both"/>
      </w:pPr>
      <w:bookmarkStart w:id="1742" w:name="Bookmark_para_16_5"/>
      <w:bookmarkStart w:id="1743" w:name="Bookmark_I5VT264B2D6N3G0030000400"/>
      <w:bookmarkStart w:id="1744" w:name="Bookmark_I5VT264B2D6N3G0050000400"/>
      <w:bookmarkEnd w:id="1742"/>
      <w:bookmarkEnd w:id="1743"/>
      <w:bookmarkEnd w:id="1744"/>
      <w:r>
        <w:rPr>
          <w:rFonts w:ascii="Arial" w:eastAsia="Arial" w:hAnsi="Arial" w:cs="Arial"/>
          <w:color w:val="000000"/>
          <w:sz w:val="20"/>
        </w:rPr>
        <w:t xml:space="preserve">The first principle is that </w:t>
      </w:r>
      <w:bookmarkStart w:id="1745" w:name="Bookmark_LNHNREFclscc5_4"/>
      <w:bookmarkEnd w:id="1745"/>
      <w:r>
        <w:rPr>
          <w:rFonts w:ascii="Arial" w:eastAsia="Arial" w:hAnsi="Arial" w:cs="Arial"/>
          <w:color w:val="000000"/>
          <w:sz w:val="20"/>
        </w:rPr>
        <w:t xml:space="preserve">the ADA requires individualized inquiry in response to a request for accommodation. </w:t>
      </w:r>
      <w:bookmarkStart w:id="1746" w:name="Bookmark_I5VT264B28T3W10040000400"/>
      <w:bookmarkEnd w:id="1746"/>
      <w:r>
        <w:rPr>
          <w:rFonts w:ascii="Arial" w:eastAsia="Arial" w:hAnsi="Arial" w:cs="Arial"/>
          <w:color w:val="000000"/>
          <w:sz w:val="20"/>
        </w:rPr>
        <w:t xml:space="preserve">Under the ADA, it is a "basic requirement that the need of a disabled person be evaluated on an individual basis." </w:t>
      </w:r>
      <w:bookmarkStart w:id="1747" w:name="Bookmark_I5VT264B2D6N3G0020000400"/>
      <w:bookmarkEnd w:id="1747"/>
      <w:r>
        <w:rPr>
          <w:rFonts w:ascii="Arial" w:eastAsia="Arial" w:hAnsi="Arial" w:cs="Arial"/>
          <w:i/>
          <w:color w:val="000000"/>
          <w:sz w:val="20"/>
        </w:rPr>
        <w:t>PGA Tour</w:t>
      </w:r>
      <w:r>
        <w:rPr>
          <w:rFonts w:ascii="Arial" w:eastAsia="Arial" w:hAnsi="Arial" w:cs="Arial"/>
          <w:color w:val="000000"/>
          <w:sz w:val="20"/>
        </w:rPr>
        <w:t xml:space="preserve">, 532 U.S. at 690. The purpose of an individualized approach is to protect disabled individuals "from deprivations based on prejudice, stereotypes, or unfounded fear," [**8]  </w:t>
      </w:r>
      <w:bookmarkStart w:id="1748" w:name="Bookmark_I5VT264B2D6N3G0040000400"/>
      <w:bookmarkEnd w:id="1748"/>
      <w:r>
        <w:rPr>
          <w:rFonts w:ascii="Arial" w:eastAsia="Arial" w:hAnsi="Arial" w:cs="Arial"/>
          <w:i/>
          <w:color w:val="000000"/>
          <w:sz w:val="20"/>
        </w:rPr>
        <w:t>Sch. Bd. of Nassau Cty. v. Arline</w:t>
      </w:r>
      <w:r>
        <w:rPr>
          <w:rFonts w:ascii="Arial" w:eastAsia="Arial" w:hAnsi="Arial" w:cs="Arial"/>
          <w:color w:val="000000"/>
          <w:sz w:val="20"/>
        </w:rPr>
        <w:t xml:space="preserve">, 480 U.S. 273, 287, 107 S. Ct. 1123, 94 L. Ed. 2d 307 (1987), and to obviate the need for "courts and employers to speculate  [*652]  about a person's condition . . . based on general information." </w:t>
      </w:r>
      <w:bookmarkStart w:id="1749" w:name="Bookmark_I5VT264B28T3W10010000400"/>
      <w:bookmarkEnd w:id="1749"/>
      <w:r>
        <w:rPr>
          <w:rFonts w:ascii="Arial" w:eastAsia="Arial" w:hAnsi="Arial" w:cs="Arial"/>
          <w:i/>
          <w:color w:val="000000"/>
          <w:sz w:val="20"/>
        </w:rPr>
        <w:t>Sutton v. United Air Lines, Inc.</w:t>
      </w:r>
      <w:r>
        <w:rPr>
          <w:rFonts w:ascii="Arial" w:eastAsia="Arial" w:hAnsi="Arial" w:cs="Arial"/>
          <w:color w:val="000000"/>
          <w:sz w:val="20"/>
        </w:rPr>
        <w:t xml:space="preserve">, 527 U.S. 471, 483, 119 S. Ct. 2139, 144 L. Ed. 2d 450 (1999). </w:t>
      </w:r>
      <w:bookmarkStart w:id="1750" w:name="Bookmark_I5VT264B28T3W10040000400_2"/>
      <w:bookmarkEnd w:id="1750"/>
      <w:r>
        <w:rPr>
          <w:rFonts w:ascii="Arial" w:eastAsia="Arial" w:hAnsi="Arial" w:cs="Arial"/>
          <w:color w:val="000000"/>
          <w:sz w:val="20"/>
        </w:rPr>
        <w:t xml:space="preserve">Therefore, an individualized inquiry is required to determine whether a person has a disability for purposes of the ADA. </w:t>
      </w:r>
      <w:r>
        <w:rPr>
          <w:rFonts w:ascii="Arial" w:eastAsia="Arial" w:hAnsi="Arial" w:cs="Arial"/>
          <w:i/>
          <w:color w:val="000000"/>
          <w:sz w:val="20"/>
        </w:rPr>
        <w:t>Id.</w:t>
      </w:r>
      <w:r>
        <w:rPr>
          <w:rFonts w:ascii="Arial" w:eastAsia="Arial" w:hAnsi="Arial" w:cs="Arial"/>
          <w:color w:val="000000"/>
          <w:sz w:val="20"/>
        </w:rPr>
        <w:t xml:space="preserve"> An individualized inquiry is also required to determine whether an accommodation would be "reasonable under the circumstances as well as necessary for that person." </w:t>
      </w:r>
      <w:bookmarkStart w:id="1751" w:name="Bookmark_I5VT264B28T3W10030000400"/>
      <w:bookmarkEnd w:id="1751"/>
      <w:r>
        <w:rPr>
          <w:rFonts w:ascii="Arial" w:eastAsia="Arial" w:hAnsi="Arial" w:cs="Arial"/>
          <w:i/>
          <w:color w:val="000000"/>
          <w:sz w:val="20"/>
        </w:rPr>
        <w:t>PGA Tour</w:t>
      </w:r>
      <w:r>
        <w:rPr>
          <w:rFonts w:ascii="Arial" w:eastAsia="Arial" w:hAnsi="Arial" w:cs="Arial"/>
          <w:color w:val="000000"/>
          <w:sz w:val="20"/>
        </w:rPr>
        <w:t>, 532 U.S. at 688.</w:t>
      </w:r>
    </w:p>
    <w:p w:rsidR="00E456CD" w:rsidRDefault="00000000">
      <w:pPr>
        <w:pStyle w:val="Normal8"/>
        <w:widowControl w:val="0"/>
        <w:spacing w:before="200" w:line="260" w:lineRule="atLeast"/>
        <w:jc w:val="both"/>
      </w:pPr>
      <w:bookmarkStart w:id="1752" w:name="Bookmark_para_17_4"/>
      <w:bookmarkStart w:id="1753" w:name="Bookmark_I3KFHNHB7NF0010GHGF00005"/>
      <w:bookmarkStart w:id="1754" w:name="Bookmark_I5VT264B2N1PW80010000400"/>
      <w:bookmarkStart w:id="1755" w:name="Bookmark_I5VT264B2N1PW80030000400"/>
      <w:bookmarkEnd w:id="1752"/>
      <w:bookmarkEnd w:id="1753"/>
      <w:bookmarkEnd w:id="1754"/>
      <w:bookmarkEnd w:id="1755"/>
      <w:r>
        <w:rPr>
          <w:rFonts w:ascii="Arial" w:eastAsia="Arial" w:hAnsi="Arial" w:cs="Arial"/>
          <w:color w:val="000000"/>
          <w:sz w:val="20"/>
        </w:rPr>
        <w:t xml:space="preserve">Although </w:t>
      </w:r>
      <w:bookmarkStart w:id="1756" w:name="Bookmark_I5VT264B28T3W10050000400"/>
      <w:bookmarkEnd w:id="1756"/>
      <w:r>
        <w:rPr>
          <w:rFonts w:ascii="Arial" w:eastAsia="Arial" w:hAnsi="Arial" w:cs="Arial"/>
          <w:i/>
          <w:color w:val="000000"/>
          <w:sz w:val="20"/>
        </w:rPr>
        <w:t>PGA Tour</w:t>
      </w:r>
      <w:r>
        <w:rPr>
          <w:rFonts w:ascii="Arial" w:eastAsia="Arial" w:hAnsi="Arial" w:cs="Arial"/>
          <w:color w:val="000000"/>
          <w:sz w:val="20"/>
        </w:rPr>
        <w:t xml:space="preserve"> is a Title III case, the Supreme Court's reasoning makes clear that </w:t>
      </w:r>
      <w:bookmarkStart w:id="1757" w:name="Bookmark_LNHNREFclscc6_4"/>
      <w:bookmarkEnd w:id="1757"/>
      <w:r>
        <w:rPr>
          <w:rFonts w:ascii="Arial" w:eastAsia="Arial" w:hAnsi="Arial" w:cs="Arial"/>
          <w:color w:val="000000"/>
          <w:sz w:val="20"/>
        </w:rPr>
        <w:t xml:space="preserve">the individualized inquiry requirement also applies to requests for accommodation under Title II. The Court found that an individualized inquiry was required under Title III because (1) the purpose of the ADA is to eliminate discrimination against "individuals," 42 U.S.C. § 12101(b)(1); (2) Title III requires reasonable modifications on behalf of "individuals," </w:t>
      </w:r>
      <w:r>
        <w:rPr>
          <w:rFonts w:ascii="Arial" w:eastAsia="Arial" w:hAnsi="Arial" w:cs="Arial"/>
          <w:i/>
          <w:color w:val="000000"/>
          <w:sz w:val="20"/>
        </w:rPr>
        <w:t>Id.</w:t>
      </w:r>
      <w:r>
        <w:rPr>
          <w:rFonts w:ascii="Arial" w:eastAsia="Arial" w:hAnsi="Arial" w:cs="Arial"/>
          <w:color w:val="000000"/>
          <w:sz w:val="20"/>
        </w:rPr>
        <w:t xml:space="preserve"> § 12182(b)(2)(A)(ii); and (3) the legislative history of Title III indicates that decisions should be made "on facts applicable to individuals," S. Rep. No. 101-116, at 60-61 (1989). </w:t>
      </w:r>
      <w:bookmarkStart w:id="1758" w:name="Bookmark_I5VT264B2N1PW80020000400"/>
      <w:bookmarkEnd w:id="1758"/>
      <w:r>
        <w:rPr>
          <w:rFonts w:ascii="Arial" w:eastAsia="Arial" w:hAnsi="Arial" w:cs="Arial"/>
          <w:i/>
          <w:color w:val="000000"/>
          <w:sz w:val="20"/>
        </w:rPr>
        <w:t>PGA Tour</w:t>
      </w:r>
      <w:r>
        <w:rPr>
          <w:rFonts w:ascii="Arial" w:eastAsia="Arial" w:hAnsi="Arial" w:cs="Arial"/>
          <w:color w:val="000000"/>
          <w:sz w:val="20"/>
        </w:rPr>
        <w:t xml:space="preserve">, 532 U.S. at 688. </w:t>
      </w:r>
      <w:bookmarkStart w:id="1759" w:name="Bookmark_I5VT264B2N1PW80050000400"/>
      <w:bookmarkEnd w:id="1759"/>
      <w:r>
        <w:rPr>
          <w:rFonts w:ascii="Arial" w:eastAsia="Arial" w:hAnsi="Arial" w:cs="Arial"/>
          <w:color w:val="000000"/>
          <w:sz w:val="20"/>
        </w:rPr>
        <w:t xml:space="preserve">Those three reasons also obtain for Title II: (1) the ADA protects "individuals," 42 U.S.C. § 12101(b)(1); (2) Title II requires reasonable modifications for "individuals," 28 C.F.R. §§ 35.130(a), (b)(7)(i); and (3) the legislative history [**9]  of Title II states that "[t]he forms of discrimination prohibited by [Title II] are comparable to those set out in the applicable provisions of [T]itles I and III," S. Rep. No. 101-116, at 44 (1989). </w:t>
      </w:r>
      <w:bookmarkStart w:id="1760" w:name="Bookmark_I5VT264B2N1PW80050000400_2"/>
      <w:bookmarkEnd w:id="1760"/>
      <w:r>
        <w:rPr>
          <w:rFonts w:ascii="Arial" w:eastAsia="Arial" w:hAnsi="Arial" w:cs="Arial"/>
          <w:color w:val="000000"/>
          <w:sz w:val="20"/>
        </w:rPr>
        <w:t xml:space="preserve">Therefore, when a disabled individual requests accommodation under Title II, the covered entity must give "individualized attention" to that request. </w:t>
      </w:r>
      <w:r>
        <w:rPr>
          <w:rFonts w:ascii="Arial" w:eastAsia="Arial" w:hAnsi="Arial" w:cs="Arial"/>
          <w:i/>
          <w:color w:val="000000"/>
          <w:sz w:val="20"/>
        </w:rPr>
        <w:t xml:space="preserve">See </w:t>
      </w:r>
      <w:bookmarkStart w:id="1761" w:name="Bookmark_I5VT264B2N1PW80040000400"/>
      <w:bookmarkEnd w:id="1761"/>
      <w:r>
        <w:rPr>
          <w:rFonts w:ascii="Arial" w:eastAsia="Arial" w:hAnsi="Arial" w:cs="Arial"/>
          <w:i/>
          <w:color w:val="000000"/>
          <w:sz w:val="20"/>
        </w:rPr>
        <w:t>PGA Tour</w:t>
      </w:r>
      <w:r>
        <w:rPr>
          <w:rFonts w:ascii="Arial" w:eastAsia="Arial" w:hAnsi="Arial" w:cs="Arial"/>
          <w:color w:val="000000"/>
          <w:sz w:val="20"/>
        </w:rPr>
        <w:t xml:space="preserve">, 532 U.S. at 691; </w:t>
      </w:r>
      <w:r>
        <w:rPr>
          <w:rFonts w:ascii="Arial" w:eastAsia="Arial" w:hAnsi="Arial" w:cs="Arial"/>
          <w:i/>
          <w:color w:val="000000"/>
          <w:sz w:val="20"/>
        </w:rPr>
        <w:t xml:space="preserve">see also </w:t>
      </w:r>
      <w:bookmarkStart w:id="1762" w:name="Bookmark_I5VT264B2HM6B60010000400"/>
      <w:bookmarkEnd w:id="1762"/>
      <w:r>
        <w:rPr>
          <w:rFonts w:ascii="Arial" w:eastAsia="Arial" w:hAnsi="Arial" w:cs="Arial"/>
          <w:i/>
          <w:color w:val="000000"/>
          <w:sz w:val="20"/>
        </w:rPr>
        <w:t>Wright v. New York State Dep't of Corr.</w:t>
      </w:r>
      <w:r>
        <w:rPr>
          <w:rFonts w:ascii="Arial" w:eastAsia="Arial" w:hAnsi="Arial" w:cs="Arial"/>
          <w:color w:val="000000"/>
          <w:sz w:val="20"/>
        </w:rPr>
        <w:t>, 831 F.3d 64, 77-78 (2d Cir. 2016).</w:t>
      </w:r>
    </w:p>
    <w:p w:rsidR="00E456CD" w:rsidRDefault="00000000">
      <w:pPr>
        <w:pStyle w:val="Normal8"/>
        <w:widowControl w:val="0"/>
        <w:spacing w:before="200" w:line="260" w:lineRule="atLeast"/>
        <w:jc w:val="both"/>
      </w:pPr>
      <w:bookmarkStart w:id="1763" w:name="Bookmark_para_18_4"/>
      <w:bookmarkStart w:id="1764" w:name="Bookmark_I5VT264B2HM6B60040000400"/>
      <w:bookmarkStart w:id="1765" w:name="Bookmark_I5VT264B2SF8780050000400"/>
      <w:bookmarkStart w:id="1766" w:name="Bookmark_I5VT264B2D6N3J0040000400"/>
      <w:bookmarkEnd w:id="1763"/>
      <w:bookmarkEnd w:id="1764"/>
      <w:bookmarkEnd w:id="1765"/>
      <w:bookmarkEnd w:id="1766"/>
      <w:r>
        <w:rPr>
          <w:rFonts w:ascii="Arial" w:eastAsia="Arial" w:hAnsi="Arial" w:cs="Arial"/>
          <w:color w:val="000000"/>
          <w:sz w:val="20"/>
        </w:rPr>
        <w:t xml:space="preserve">The second principle is that </w:t>
      </w:r>
      <w:bookmarkStart w:id="1767" w:name="Bookmark_LNHNREFclscc7_4"/>
      <w:bookmarkEnd w:id="1767"/>
      <w:r>
        <w:rPr>
          <w:rFonts w:ascii="Arial" w:eastAsia="Arial" w:hAnsi="Arial" w:cs="Arial"/>
          <w:color w:val="000000"/>
          <w:sz w:val="20"/>
        </w:rPr>
        <w:t xml:space="preserve">a covered entity is generally not liable for failing to make reasonable accommodation if the plaintiff did not request accommodation or otherwise alert the covered entity to the need for accommodation. </w:t>
      </w:r>
      <w:r>
        <w:rPr>
          <w:rFonts w:ascii="Arial" w:eastAsia="Arial" w:hAnsi="Arial" w:cs="Arial"/>
          <w:i/>
          <w:color w:val="000000"/>
          <w:sz w:val="20"/>
        </w:rPr>
        <w:t xml:space="preserve">See </w:t>
      </w:r>
      <w:bookmarkStart w:id="1768" w:name="Bookmark_I5VT264B2HM6B60030000400"/>
      <w:bookmarkEnd w:id="1768"/>
      <w:r>
        <w:rPr>
          <w:rFonts w:ascii="Arial" w:eastAsia="Arial" w:hAnsi="Arial" w:cs="Arial"/>
          <w:i/>
          <w:color w:val="000000"/>
          <w:sz w:val="20"/>
        </w:rPr>
        <w:t>Gantt</w:t>
      </w:r>
      <w:r>
        <w:rPr>
          <w:rFonts w:ascii="Arial" w:eastAsia="Arial" w:hAnsi="Arial" w:cs="Arial"/>
          <w:color w:val="000000"/>
          <w:sz w:val="20"/>
        </w:rPr>
        <w:t>, 143 F.3d at 1046-47 ("[In general] . . . it is the responsibility of the individual with a disability to inform the employer that an accommodation is needed." (quoting 29 C.F.R. pt. 1630 App. § 1630.9)).</w:t>
      </w:r>
      <w:r>
        <w:rPr>
          <w:rFonts w:ascii="Arial" w:eastAsia="Arial" w:hAnsi="Arial" w:cs="Arial"/>
          <w:vertAlign w:val="superscript"/>
        </w:rPr>
        <w:footnoteReference w:customMarkFollows="1" w:id="75"/>
        <w:t>2</w:t>
      </w:r>
      <w:r>
        <w:rPr>
          <w:rFonts w:ascii="Arial" w:eastAsia="Arial" w:hAnsi="Arial" w:cs="Arial"/>
          <w:color w:val="000000"/>
          <w:sz w:val="20"/>
        </w:rPr>
        <w:t xml:space="preserve"> The reason for placing this "initial burden" on the employee is so that "[t]he employer is not required to speculate as to the extent of the employee's disability or the employee's need or desire for an accommodation." </w:t>
      </w:r>
      <w:r>
        <w:rPr>
          <w:rFonts w:ascii="Arial" w:eastAsia="Arial" w:hAnsi="Arial" w:cs="Arial"/>
          <w:i/>
          <w:color w:val="000000"/>
          <w:sz w:val="20"/>
        </w:rPr>
        <w:t>Id.</w:t>
      </w:r>
      <w:r>
        <w:rPr>
          <w:rFonts w:ascii="Arial" w:eastAsia="Arial" w:hAnsi="Arial" w:cs="Arial"/>
          <w:color w:val="000000"/>
          <w:sz w:val="20"/>
        </w:rPr>
        <w:t xml:space="preserve"> In requesting accommodation, an employee "need not use the magic words 'accommodation' or even 'disability.'" </w:t>
      </w:r>
      <w:bookmarkStart w:id="1771" w:name="Bookmark_I5VT264B2HM6B60050000400"/>
      <w:bookmarkEnd w:id="1771"/>
      <w:r>
        <w:rPr>
          <w:rFonts w:ascii="Arial" w:eastAsia="Arial" w:hAnsi="Arial" w:cs="Arial"/>
          <w:i/>
          <w:color w:val="000000"/>
          <w:sz w:val="20"/>
        </w:rPr>
        <w:t>Leeds v. Potter</w:t>
      </w:r>
      <w:r>
        <w:rPr>
          <w:rFonts w:ascii="Arial" w:eastAsia="Arial" w:hAnsi="Arial" w:cs="Arial"/>
          <w:color w:val="000000"/>
          <w:sz w:val="20"/>
        </w:rPr>
        <w:t xml:space="preserve">, 249 F. App'x 442, 449-50 (6th Cir. 2017) (citing </w:t>
      </w:r>
      <w:bookmarkStart w:id="1772" w:name="Bookmark_I5VT264B2SF8780020000400"/>
      <w:bookmarkEnd w:id="1772"/>
      <w:r>
        <w:rPr>
          <w:rFonts w:ascii="Arial" w:eastAsia="Arial" w:hAnsi="Arial" w:cs="Arial"/>
          <w:i/>
          <w:color w:val="000000"/>
          <w:sz w:val="20"/>
        </w:rPr>
        <w:t>Smith v. Henderson</w:t>
      </w:r>
      <w:r>
        <w:rPr>
          <w:rFonts w:ascii="Arial" w:eastAsia="Arial" w:hAnsi="Arial" w:cs="Arial"/>
          <w:color w:val="000000"/>
          <w:sz w:val="20"/>
        </w:rPr>
        <w:t xml:space="preserve">, 376 F.3d 529, 535 (6th Cir. 2004)). </w:t>
      </w:r>
      <w:bookmarkStart w:id="1773" w:name="Bookmark_I5VT264B2D6N3J0020000400"/>
      <w:bookmarkEnd w:id="1773"/>
      <w:r>
        <w:rPr>
          <w:rFonts w:ascii="Arial" w:eastAsia="Arial" w:hAnsi="Arial" w:cs="Arial"/>
          <w:color w:val="000000"/>
          <w:sz w:val="20"/>
        </w:rPr>
        <w:t xml:space="preserve">But the "context" of the request must be clear enough that the employer can infer that the purpose [**10]  of a request for a particular benefit is to accommodate "medical restrictions." </w:t>
      </w:r>
      <w:bookmarkStart w:id="1774" w:name="Bookmark_I5VT264B2SF8780040000400"/>
      <w:bookmarkEnd w:id="1774"/>
      <w:r>
        <w:rPr>
          <w:rFonts w:ascii="Arial" w:eastAsia="Arial" w:hAnsi="Arial" w:cs="Arial"/>
          <w:i/>
          <w:color w:val="000000"/>
          <w:sz w:val="20"/>
        </w:rPr>
        <w:t>Smith</w:t>
      </w:r>
      <w:r>
        <w:rPr>
          <w:rFonts w:ascii="Arial" w:eastAsia="Arial" w:hAnsi="Arial" w:cs="Arial"/>
          <w:color w:val="000000"/>
          <w:sz w:val="20"/>
        </w:rPr>
        <w:t xml:space="preserve">, 376 F.3d at 535. </w:t>
      </w:r>
      <w:bookmarkStart w:id="1775" w:name="Bookmark_I5VT264B2D6N3J0020000400_2"/>
      <w:bookmarkEnd w:id="1775"/>
      <w:r>
        <w:rPr>
          <w:rFonts w:ascii="Arial" w:eastAsia="Arial" w:hAnsi="Arial" w:cs="Arial"/>
          <w:color w:val="000000"/>
          <w:sz w:val="20"/>
        </w:rPr>
        <w:t xml:space="preserve">We have held, for instance, that an employee making a request for leave under the Family Medical Leave Act did not trigger an employer's duty under the ADA because the employee was not requesting any particular accommodation from his employer. </w:t>
      </w:r>
      <w:r>
        <w:rPr>
          <w:rFonts w:ascii="Arial" w:eastAsia="Arial" w:hAnsi="Arial" w:cs="Arial"/>
          <w:i/>
          <w:color w:val="000000"/>
          <w:sz w:val="20"/>
        </w:rPr>
        <w:t xml:space="preserve">See </w:t>
      </w:r>
      <w:bookmarkStart w:id="1776" w:name="Bookmark_I5VT264B2D6N3J0010000400"/>
      <w:bookmarkEnd w:id="1776"/>
      <w:r>
        <w:rPr>
          <w:rFonts w:ascii="Arial" w:eastAsia="Arial" w:hAnsi="Arial" w:cs="Arial"/>
          <w:i/>
          <w:color w:val="000000"/>
          <w:sz w:val="20"/>
        </w:rPr>
        <w:t>Mathis v. City of Red Bank</w:t>
      </w:r>
      <w:r>
        <w:rPr>
          <w:rFonts w:ascii="Arial" w:eastAsia="Arial" w:hAnsi="Arial" w:cs="Arial"/>
          <w:color w:val="000000"/>
          <w:sz w:val="20"/>
        </w:rPr>
        <w:t>, 657 F. App'x 557, 563 (6th Cir. 2016).</w:t>
      </w:r>
      <w:r>
        <w:rPr>
          <w:rFonts w:ascii="Arial" w:eastAsia="Arial" w:hAnsi="Arial" w:cs="Arial"/>
          <w:vertAlign w:val="superscript"/>
        </w:rPr>
        <w:footnoteReference w:customMarkFollows="1" w:id="76"/>
        <w:t>3</w:t>
      </w:r>
    </w:p>
    <w:p w:rsidR="00E456CD" w:rsidRDefault="00000000">
      <w:pPr>
        <w:pStyle w:val="Normal8"/>
        <w:widowControl w:val="0"/>
        <w:spacing w:before="200" w:line="260" w:lineRule="atLeast"/>
        <w:jc w:val="both"/>
      </w:pPr>
      <w:bookmarkStart w:id="1780" w:name="Bookmark_para_19_4"/>
      <w:bookmarkEnd w:id="1780"/>
      <w:r>
        <w:rPr>
          <w:rFonts w:ascii="Arial" w:eastAsia="Arial" w:hAnsi="Arial" w:cs="Arial"/>
          <w:color w:val="000000"/>
          <w:sz w:val="20"/>
        </w:rPr>
        <w:t xml:space="preserve"> [*653]  </w:t>
      </w:r>
      <w:bookmarkStart w:id="1781" w:name="Bookmark_I5VT264B28T3W30030000400"/>
      <w:bookmarkEnd w:id="1781"/>
      <w:r>
        <w:rPr>
          <w:rFonts w:ascii="Arial" w:eastAsia="Arial" w:hAnsi="Arial" w:cs="Arial"/>
          <w:color w:val="000000"/>
          <w:sz w:val="20"/>
        </w:rPr>
        <w:t xml:space="preserve">In translating this proposition to Marble's case under Title II, we note that our sister circuits have found it helpful to consider the extent to which the relationship between the individual and the covered entity is analogous to the relationship between an employee and an employer. </w:t>
      </w:r>
      <w:r>
        <w:rPr>
          <w:rFonts w:ascii="Arial" w:eastAsia="Arial" w:hAnsi="Arial" w:cs="Arial"/>
          <w:i/>
          <w:color w:val="000000"/>
          <w:sz w:val="20"/>
        </w:rPr>
        <w:t xml:space="preserve">See </w:t>
      </w:r>
      <w:bookmarkStart w:id="1782" w:name="Bookmark_I5VT264B28T3W30020000400"/>
      <w:bookmarkEnd w:id="1782"/>
      <w:r>
        <w:rPr>
          <w:rFonts w:ascii="Arial" w:eastAsia="Arial" w:hAnsi="Arial" w:cs="Arial"/>
          <w:i/>
          <w:color w:val="000000"/>
          <w:sz w:val="20"/>
        </w:rPr>
        <w:t>McElwee</w:t>
      </w:r>
      <w:r>
        <w:rPr>
          <w:rFonts w:ascii="Arial" w:eastAsia="Arial" w:hAnsi="Arial" w:cs="Arial"/>
          <w:color w:val="000000"/>
          <w:sz w:val="20"/>
        </w:rPr>
        <w:t xml:space="preserve">, 700 F.3d at 640 n.2 (citing </w:t>
      </w:r>
      <w:bookmarkStart w:id="1783" w:name="Bookmark_I5VT264B28T3W30040000400"/>
      <w:bookmarkEnd w:id="1783"/>
      <w:r>
        <w:rPr>
          <w:rFonts w:ascii="Arial" w:eastAsia="Arial" w:hAnsi="Arial" w:cs="Arial"/>
          <w:i/>
          <w:color w:val="000000"/>
          <w:sz w:val="20"/>
        </w:rPr>
        <w:t>Bauer v. Muscular Dystrophy Ass'n, Inc.</w:t>
      </w:r>
      <w:r>
        <w:rPr>
          <w:rFonts w:ascii="Arial" w:eastAsia="Arial" w:hAnsi="Arial" w:cs="Arial"/>
          <w:color w:val="000000"/>
          <w:sz w:val="20"/>
        </w:rPr>
        <w:t>, 427 F.3d 1326, 1333 (10th Cir. 2005)). In this case, Marble lived in Michigan, a few hundred miles from Tennessee, and while Marble and DCS maintained contact, Marble's relationship with DCS was less consistent and intimate than a typical employment relationship. Therefore, DCS would be in a poor position to speculate as to Marble's need or desire for accommodation, and it makes sense to apply the principle that Marble had the initial burden of requesting accommodation.</w:t>
      </w:r>
    </w:p>
    <w:p w:rsidR="00E456CD" w:rsidRDefault="00000000">
      <w:pPr>
        <w:pStyle w:val="Normal8"/>
        <w:widowControl w:val="0"/>
        <w:spacing w:before="240" w:line="260" w:lineRule="atLeast"/>
      </w:pPr>
      <w:r>
        <w:br/>
      </w:r>
      <w:r>
        <w:rPr>
          <w:rFonts w:ascii="Arial" w:eastAsia="Arial" w:hAnsi="Arial" w:cs="Arial"/>
          <w:b/>
          <w:color w:val="000000"/>
          <w:sz w:val="20"/>
        </w:rPr>
        <w:t>IV</w:t>
      </w:r>
    </w:p>
    <w:p w:rsidR="00E456CD" w:rsidRDefault="00000000">
      <w:pPr>
        <w:pStyle w:val="Normal8"/>
        <w:widowControl w:val="0"/>
        <w:spacing w:before="200" w:line="260" w:lineRule="atLeast"/>
        <w:jc w:val="both"/>
      </w:pPr>
      <w:bookmarkStart w:id="1784" w:name="Bookmark_para_20_4"/>
      <w:bookmarkEnd w:id="1784"/>
      <w:r>
        <w:rPr>
          <w:rFonts w:ascii="Arial" w:eastAsia="Arial" w:hAnsi="Arial" w:cs="Arial"/>
          <w:color w:val="000000"/>
          <w:sz w:val="20"/>
        </w:rPr>
        <w:t>Marble argues that he requested accommodation for his disabilities when he allegedly asked [**11]  DCS to place H.S. with his aunt and uncle, and that DCS failed to conduct an individualized inquiry in addressing that request. The district court rejected Marble's claim, finding that Marble never actually requested accommodation. We affirm the district court's decision because we agree that the request to place H.S. with Marble's relatives was not a request for accommodation and because, in any case, DCS did not actually reject Marble's request, rather, implementation was blocked by the juvenile court.</w:t>
      </w:r>
    </w:p>
    <w:p w:rsidR="00E456CD" w:rsidRDefault="00000000">
      <w:pPr>
        <w:pStyle w:val="Normal8"/>
        <w:widowControl w:val="0"/>
        <w:spacing w:before="200" w:line="260" w:lineRule="atLeast"/>
        <w:jc w:val="both"/>
      </w:pPr>
      <w:bookmarkStart w:id="1785" w:name="Bookmark_para_21_4"/>
      <w:bookmarkStart w:id="1786" w:name="Bookmark_I5VT264B2N1PW90020000400"/>
      <w:bookmarkEnd w:id="1785"/>
      <w:bookmarkEnd w:id="1786"/>
      <w:r>
        <w:rPr>
          <w:rFonts w:ascii="Arial" w:eastAsia="Arial" w:hAnsi="Arial" w:cs="Arial"/>
          <w:color w:val="000000"/>
          <w:sz w:val="20"/>
        </w:rPr>
        <w:t>It does not strike us as unreasonable that placement of Marble's child with his relatives, by which Marble might maintain his relationship with the child, could serve as an accommodation for Marble's disabilities if those disabilities prevented him from taking sole custody.</w:t>
      </w:r>
      <w:r>
        <w:rPr>
          <w:rFonts w:ascii="Arial" w:eastAsia="Arial" w:hAnsi="Arial" w:cs="Arial"/>
          <w:vertAlign w:val="superscript"/>
        </w:rPr>
        <w:footnoteReference w:customMarkFollows="1" w:id="77"/>
        <w:t>4</w:t>
      </w:r>
      <w:r>
        <w:rPr>
          <w:rFonts w:ascii="Arial" w:eastAsia="Arial" w:hAnsi="Arial" w:cs="Arial"/>
          <w:color w:val="000000"/>
          <w:sz w:val="20"/>
        </w:rPr>
        <w:t xml:space="preserve"> But </w:t>
      </w:r>
      <w:bookmarkStart w:id="1788" w:name="Bookmark_LNHNREFclscc8_4"/>
      <w:bookmarkEnd w:id="1788"/>
      <w:r>
        <w:rPr>
          <w:rFonts w:ascii="Arial" w:eastAsia="Arial" w:hAnsi="Arial" w:cs="Arial"/>
          <w:color w:val="000000"/>
          <w:sz w:val="20"/>
        </w:rPr>
        <w:t xml:space="preserve">to trigger DCS's duty to conduct an individualized inquiry into Marble's disabilities and the reasonableness of that accommodation, Marble's request needed to alert DCS to the fact that the purpose of the request was in fact to accommodate his disabilities. </w:t>
      </w:r>
      <w:r>
        <w:rPr>
          <w:rFonts w:ascii="Arial" w:eastAsia="Arial" w:hAnsi="Arial" w:cs="Arial"/>
          <w:i/>
          <w:color w:val="000000"/>
          <w:sz w:val="20"/>
        </w:rPr>
        <w:t xml:space="preserve">See </w:t>
      </w:r>
      <w:bookmarkStart w:id="1789" w:name="Bookmark_I5VT264B2N1PW90010000400"/>
      <w:bookmarkEnd w:id="1789"/>
      <w:r>
        <w:rPr>
          <w:rFonts w:ascii="Arial" w:eastAsia="Arial" w:hAnsi="Arial" w:cs="Arial"/>
          <w:i/>
          <w:color w:val="000000"/>
          <w:sz w:val="20"/>
        </w:rPr>
        <w:t>Leeds</w:t>
      </w:r>
      <w:r>
        <w:rPr>
          <w:rFonts w:ascii="Arial" w:eastAsia="Arial" w:hAnsi="Arial" w:cs="Arial"/>
          <w:color w:val="000000"/>
          <w:sz w:val="20"/>
        </w:rPr>
        <w:t xml:space="preserve">, 249 F. App'x at 450 (citing </w:t>
      </w:r>
      <w:bookmarkStart w:id="1790" w:name="Bookmark_I5VT264B2N1PW90030000400"/>
      <w:bookmarkEnd w:id="1790"/>
      <w:r>
        <w:rPr>
          <w:rFonts w:ascii="Arial" w:eastAsia="Arial" w:hAnsi="Arial" w:cs="Arial"/>
          <w:i/>
          <w:color w:val="000000"/>
          <w:sz w:val="20"/>
        </w:rPr>
        <w:t>Smith</w:t>
      </w:r>
      <w:r>
        <w:rPr>
          <w:rFonts w:ascii="Arial" w:eastAsia="Arial" w:hAnsi="Arial" w:cs="Arial"/>
          <w:color w:val="000000"/>
          <w:sz w:val="20"/>
        </w:rPr>
        <w:t xml:space="preserve">, 376 F.3d at 535). It is true that a disabled individual is not required to use the specific words "disability" or "accommodation," and a covered entity may [**12]  need to infer that a request is a request for accommodation if "context" shows that it is meant to compensate for medical restrictions. </w:t>
      </w:r>
      <w:r>
        <w:rPr>
          <w:rFonts w:ascii="Arial" w:eastAsia="Arial" w:hAnsi="Arial" w:cs="Arial"/>
          <w:i/>
          <w:color w:val="000000"/>
          <w:sz w:val="20"/>
        </w:rPr>
        <w:t>Id.</w:t>
      </w:r>
      <w:r>
        <w:rPr>
          <w:rFonts w:ascii="Arial" w:eastAsia="Arial" w:hAnsi="Arial" w:cs="Arial"/>
          <w:color w:val="000000"/>
          <w:sz w:val="20"/>
        </w:rPr>
        <w:t xml:space="preserve"> But DCS could not have known from context that this request was a request for accommodation for three reasons: (1) the request came from Marble's aunt rather than Marble, (2) Marble testified that he could not recall requesting accommodation and had not even considered whether his disabilities were keeping him from meeting the requirements of the permanency plan, and (3) placement with a relative was already encouraged by Tennessee law and H.S.'s permanency plan.</w:t>
      </w:r>
    </w:p>
    <w:p w:rsidR="00E456CD" w:rsidRDefault="00000000">
      <w:pPr>
        <w:pStyle w:val="Normal8"/>
        <w:widowControl w:val="0"/>
        <w:spacing w:before="200" w:line="260" w:lineRule="atLeast"/>
        <w:jc w:val="both"/>
      </w:pPr>
      <w:bookmarkStart w:id="1791" w:name="Bookmark_para_22_4"/>
      <w:bookmarkEnd w:id="1791"/>
      <w:r>
        <w:rPr>
          <w:rFonts w:ascii="Arial" w:eastAsia="Arial" w:hAnsi="Arial" w:cs="Arial"/>
          <w:color w:val="000000"/>
          <w:sz w:val="20"/>
        </w:rPr>
        <w:t> [*654]  First, the record shows that the request came from Marble's aunt, Bobbi DuBoise, rather than from Marble himself, which makes it difficult to conclude that DCS should have connected the dots between the request and Marble's rights under the ADA. DuBoise's affidavit states that Marble approached her and her husband to ask if they would take custody of H.S. The district court likewise noted that Marble went to his aunt, not to DCS. DuBoise stated that she called DCS caseworker Lindsey Kenyon to inform her that her home was available for relative placement. DuBoise then traveled to one [**13]  of Marble's meetings with DCS and advised DCS that she and her husband would be willing to care for H.S. Marble's complaint confirms that Marble's aunt approached DCS herself in the fall and winter of 2013. Although Marble was in favor of having his aunt care for H.S., the record does not indicate that Marble himself made the request, that Marble asked his aunt to act on his behalf, or that Marble or DuBoise ever connected DuBoise's intervention to Marble's disabilities.</w:t>
      </w:r>
    </w:p>
    <w:p w:rsidR="00E456CD" w:rsidRDefault="00000000">
      <w:pPr>
        <w:pStyle w:val="Normal8"/>
        <w:widowControl w:val="0"/>
        <w:spacing w:before="200" w:line="260" w:lineRule="atLeast"/>
        <w:jc w:val="both"/>
      </w:pPr>
      <w:bookmarkStart w:id="1792" w:name="Bookmark_para_23_4"/>
      <w:bookmarkEnd w:id="1792"/>
      <w:r>
        <w:rPr>
          <w:rFonts w:ascii="Arial" w:eastAsia="Arial" w:hAnsi="Arial" w:cs="Arial"/>
          <w:color w:val="000000"/>
          <w:sz w:val="20"/>
        </w:rPr>
        <w:t>Second, as the district court observed, Marble's testimony shows that he never told DCS his disabilities kept him from meeting the requirements of the permanency plan. During Marble's deposition, counsel for DCS asked Marble whether he ever alerted DCS that a disability was hindering him from following the permanency plan. For each disability, Marble answered that he could not recall communicating anything to that effect.</w:t>
      </w:r>
      <w:r>
        <w:rPr>
          <w:rFonts w:ascii="Arial" w:eastAsia="Arial" w:hAnsi="Arial" w:cs="Arial"/>
          <w:vertAlign w:val="superscript"/>
        </w:rPr>
        <w:footnoteReference w:customMarkFollows="1" w:id="78"/>
        <w:t>5</w:t>
      </w:r>
      <w:r>
        <w:rPr>
          <w:rFonts w:ascii="Arial" w:eastAsia="Arial" w:hAnsi="Arial" w:cs="Arial"/>
          <w:color w:val="000000"/>
          <w:sz w:val="20"/>
        </w:rPr>
        <w:t xml:space="preserve"> In fact, Marble's testimony shows that he did not conceive of the possibility that his disabilities might be keeping him from meeting the requirements of the permanency plan:</w:t>
      </w:r>
    </w:p>
    <w:p w:rsidR="00E456CD" w:rsidRDefault="00000000">
      <w:pPr>
        <w:pStyle w:val="Normal8"/>
        <w:widowControl w:val="0"/>
        <w:spacing w:line="260" w:lineRule="atLeast"/>
        <w:ind w:left="400"/>
        <w:jc w:val="both"/>
      </w:pPr>
      <w:bookmarkStart w:id="1794" w:name="Bookmark_para_24_3"/>
      <w:bookmarkEnd w:id="1794"/>
      <w:r>
        <w:rPr>
          <w:rFonts w:ascii="Arial" w:eastAsia="Arial" w:hAnsi="Arial" w:cs="Arial"/>
          <w:color w:val="000000"/>
          <w:sz w:val="20"/>
        </w:rPr>
        <w:t>Q. Did you ever ask DCS to accommodate your disabilities?</w:t>
      </w:r>
    </w:p>
    <w:p w:rsidR="00E456CD" w:rsidRDefault="00000000">
      <w:pPr>
        <w:pStyle w:val="Normal8"/>
        <w:widowControl w:val="0"/>
        <w:spacing w:line="260" w:lineRule="atLeast"/>
        <w:ind w:left="400"/>
        <w:jc w:val="both"/>
      </w:pPr>
      <w:bookmarkStart w:id="1795" w:name="Bookmark_para_25_3"/>
      <w:bookmarkEnd w:id="1795"/>
      <w:r>
        <w:rPr>
          <w:rFonts w:ascii="Arial" w:eastAsia="Arial" w:hAnsi="Arial" w:cs="Arial"/>
          <w:color w:val="000000"/>
          <w:sz w:val="20"/>
        </w:rPr>
        <w:t>A. Not that I remember.</w:t>
      </w:r>
    </w:p>
    <w:p w:rsidR="00E456CD" w:rsidRDefault="00000000">
      <w:pPr>
        <w:pStyle w:val="Normal8"/>
        <w:widowControl w:val="0"/>
        <w:spacing w:before="200" w:line="260" w:lineRule="atLeast"/>
        <w:ind w:left="400"/>
        <w:jc w:val="both"/>
      </w:pPr>
      <w:bookmarkStart w:id="1796" w:name="Bookmark_para_26_3"/>
      <w:bookmarkEnd w:id="1796"/>
      <w:r>
        <w:rPr>
          <w:rFonts w:ascii="Arial" w:eastAsia="Arial" w:hAnsi="Arial" w:cs="Arial"/>
          <w:color w:val="000000"/>
          <w:sz w:val="20"/>
        </w:rPr>
        <w:t>Q. Did you believe that your disabilities were [**14]  preventing you from doing what DCS wanted you to do?</w:t>
      </w:r>
    </w:p>
    <w:p w:rsidR="00E456CD" w:rsidRDefault="00000000">
      <w:pPr>
        <w:pStyle w:val="Normal8"/>
        <w:widowControl w:val="0"/>
        <w:spacing w:line="260" w:lineRule="atLeast"/>
        <w:ind w:left="400"/>
        <w:jc w:val="both"/>
      </w:pPr>
      <w:bookmarkStart w:id="1797" w:name="Bookmark_para_27_3"/>
      <w:bookmarkEnd w:id="1797"/>
      <w:r>
        <w:rPr>
          <w:rFonts w:ascii="Arial" w:eastAsia="Arial" w:hAnsi="Arial" w:cs="Arial"/>
          <w:color w:val="000000"/>
          <w:sz w:val="20"/>
        </w:rPr>
        <w:t>A. I never really put thought into it.</w:t>
      </w:r>
    </w:p>
    <w:p w:rsidR="00E456CD" w:rsidRDefault="00000000">
      <w:pPr>
        <w:pStyle w:val="Normal8"/>
        <w:widowControl w:val="0"/>
        <w:spacing w:line="260" w:lineRule="atLeast"/>
        <w:jc w:val="both"/>
      </w:pPr>
      <w:r>
        <w:rPr>
          <w:rFonts w:ascii="Arial" w:eastAsia="Arial" w:hAnsi="Arial" w:cs="Arial"/>
          <w:color w:val="000000"/>
          <w:sz w:val="20"/>
        </w:rPr>
        <w:t>R. 98-2, PID 927. Therefore, even assuming Marble's aunt made the request on Marble's behalf rather than for herself or H.S., the request to place H.S. with the DuBoises could not have been intended to accommodate Marble's disabilities because he did not perceive his disabilities as the obstacle between him and custody of H.S.</w:t>
      </w:r>
    </w:p>
    <w:p w:rsidR="00E456CD" w:rsidRDefault="00000000">
      <w:pPr>
        <w:pStyle w:val="Normal8"/>
        <w:widowControl w:val="0"/>
        <w:spacing w:before="200" w:line="260" w:lineRule="atLeast"/>
        <w:jc w:val="both"/>
      </w:pPr>
      <w:bookmarkStart w:id="1798" w:name="Bookmark_para_28_3"/>
      <w:bookmarkEnd w:id="1798"/>
      <w:r>
        <w:rPr>
          <w:rFonts w:ascii="Arial" w:eastAsia="Arial" w:hAnsi="Arial" w:cs="Arial"/>
          <w:color w:val="000000"/>
          <w:sz w:val="20"/>
        </w:rPr>
        <w:t xml:space="preserve">Finally, placing H.S. with a relative was encouraged by law and by H.S.'s permanency plan, so DCS would not have seen the intervention of a relative as a request for accommodation by Marble under the ADA. </w:t>
      </w:r>
      <w:bookmarkStart w:id="1799" w:name="Bookmark_LNHNREFclscc9_3"/>
      <w:bookmarkEnd w:id="1799"/>
      <w:r>
        <w:rPr>
          <w:rFonts w:ascii="Arial" w:eastAsia="Arial" w:hAnsi="Arial" w:cs="Arial"/>
          <w:color w:val="000000"/>
          <w:sz w:val="20"/>
        </w:rPr>
        <w:t>Under Tennessee law, "[the permanency] plan shall include a goal for each child of . . . (ii) Permanent placement of the child with a fit and willing relative or relatives of the child." T.C.A. § 37-2-403(a)(1)(A). And, "[w]hen a child has been removed from such child's home . . . the department shall attempt to place the child with a relative for kinship foster care." T.C.A. § 37-2-414(b)(2). The permanency plan developed for H.S. conformed with Tennessee law by listing "Permanency Goal: Exit Custody with Relative." Therefore, the normalcy of a relative stepping forward to take custody of H.S. would not have alerted DCS [**15]  to the fact that the intervention was actually a request for accommodation on Marble's behalf.</w:t>
      </w:r>
    </w:p>
    <w:p w:rsidR="00E456CD" w:rsidRDefault="00000000">
      <w:pPr>
        <w:pStyle w:val="Normal8"/>
        <w:widowControl w:val="0"/>
        <w:spacing w:before="200" w:line="260" w:lineRule="atLeast"/>
        <w:jc w:val="both"/>
      </w:pPr>
      <w:bookmarkStart w:id="1800" w:name="Bookmark_para_29_3"/>
      <w:bookmarkEnd w:id="1800"/>
      <w:r>
        <w:rPr>
          <w:rFonts w:ascii="Arial" w:eastAsia="Arial" w:hAnsi="Arial" w:cs="Arial"/>
          <w:color w:val="000000"/>
          <w:sz w:val="20"/>
        </w:rPr>
        <w:t>For these reasons, we find that Marble did not raise a genuine issue of fact as to whether he requested accommodation for his disabilities, so DCS is not liable for any  [*655]  failure to conduct an individualized inquiry into Marble's disabilities and the possibility of accommodation.</w:t>
      </w:r>
    </w:p>
    <w:p w:rsidR="00E456CD" w:rsidRDefault="00000000">
      <w:pPr>
        <w:pStyle w:val="Normal8"/>
        <w:widowControl w:val="0"/>
        <w:spacing w:before="200" w:line="260" w:lineRule="atLeast"/>
        <w:jc w:val="both"/>
      </w:pPr>
      <w:bookmarkStart w:id="1801" w:name="Bookmark_para_30_3"/>
      <w:bookmarkStart w:id="1802" w:name="Bookmark_I5VT264B2N1PWB0010000400"/>
      <w:bookmarkEnd w:id="1801"/>
      <w:bookmarkEnd w:id="1802"/>
      <w:r>
        <w:rPr>
          <w:rFonts w:ascii="Arial" w:eastAsia="Arial" w:hAnsi="Arial" w:cs="Arial"/>
          <w:color w:val="000000"/>
          <w:sz w:val="20"/>
        </w:rPr>
        <w:t xml:space="preserve">Furthermore, the purpose of </w:t>
      </w:r>
      <w:bookmarkStart w:id="1803" w:name="Bookmark_LNHNREFclscc10_3"/>
      <w:bookmarkEnd w:id="1803"/>
      <w:r>
        <w:rPr>
          <w:rFonts w:ascii="Arial" w:eastAsia="Arial" w:hAnsi="Arial" w:cs="Arial"/>
          <w:color w:val="000000"/>
          <w:sz w:val="20"/>
        </w:rPr>
        <w:t xml:space="preserve">the individualized inquiry is to protect disabled persons "from deprivations based on prejudice, stereotypes, or unfounded fear." </w:t>
      </w:r>
      <w:bookmarkStart w:id="1804" w:name="Bookmark_I5VT264B2N1PW90050000400"/>
      <w:bookmarkEnd w:id="1804"/>
      <w:r>
        <w:rPr>
          <w:rFonts w:ascii="Arial" w:eastAsia="Arial" w:hAnsi="Arial" w:cs="Arial"/>
          <w:i/>
          <w:color w:val="000000"/>
          <w:sz w:val="20"/>
        </w:rPr>
        <w:t>Arline</w:t>
      </w:r>
      <w:r>
        <w:rPr>
          <w:rFonts w:ascii="Arial" w:eastAsia="Arial" w:hAnsi="Arial" w:cs="Arial"/>
          <w:color w:val="000000"/>
          <w:sz w:val="20"/>
        </w:rPr>
        <w:t xml:space="preserve">, 480 U.S. at 287. Even if we did find that Marble requested an accommodation, DCS is not liable for failing to conduct an individualized inquiry before rejecting the request because DCS did not reject the request or "deprive" Marble—rather, it attempted to implement the request by asking the juvenile court to place H.S. with the DuBoises. </w:t>
      </w:r>
      <w:bookmarkStart w:id="1805" w:name="Bookmark_I5VT264B2N1PWB0030000400"/>
      <w:bookmarkEnd w:id="1805"/>
      <w:r>
        <w:rPr>
          <w:rFonts w:ascii="Arial" w:eastAsia="Arial" w:hAnsi="Arial" w:cs="Arial"/>
          <w:color w:val="000000"/>
          <w:sz w:val="20"/>
        </w:rPr>
        <w:t xml:space="preserve">After a hearing, the court determined that relocating H.S. to Michigan would not be "in the best interest of the child." </w:t>
      </w:r>
      <w:bookmarkStart w:id="1806" w:name="Bookmark_LNHNREFclscc11_3"/>
      <w:bookmarkEnd w:id="1806"/>
      <w:r>
        <w:rPr>
          <w:rFonts w:ascii="Arial" w:eastAsia="Arial" w:hAnsi="Arial" w:cs="Arial"/>
          <w:color w:val="000000"/>
          <w:sz w:val="20"/>
        </w:rPr>
        <w:t xml:space="preserve">Under Tennessee law, the mission of DCS is first "to further the best interest of the child." T.C.A. § 37-5-102(a). </w:t>
      </w:r>
      <w:bookmarkStart w:id="1807" w:name="Bookmark_I5VT264B2N1PWB0030000400_2"/>
      <w:bookmarkEnd w:id="1807"/>
      <w:r>
        <w:rPr>
          <w:rFonts w:ascii="Arial" w:eastAsia="Arial" w:hAnsi="Arial" w:cs="Arial"/>
          <w:color w:val="000000"/>
          <w:sz w:val="20"/>
        </w:rPr>
        <w:t xml:space="preserve">Therefore, even if DCS could flout the court's decision (a point the parties disputed below), acting against the best interest of [**16]  H.S. would have been a "fundamental alteration" of the nature of DCS's services, so denying such a request cannot form the basis for liability. </w:t>
      </w:r>
      <w:r>
        <w:rPr>
          <w:rFonts w:ascii="Arial" w:eastAsia="Arial" w:hAnsi="Arial" w:cs="Arial"/>
          <w:i/>
          <w:color w:val="000000"/>
          <w:sz w:val="20"/>
        </w:rPr>
        <w:t>See</w:t>
      </w:r>
      <w:r>
        <w:rPr>
          <w:rFonts w:ascii="Arial" w:eastAsia="Arial" w:hAnsi="Arial" w:cs="Arial"/>
          <w:color w:val="000000"/>
          <w:sz w:val="20"/>
        </w:rPr>
        <w:t xml:space="preserve"> 28 C.F.R. § 35.130(b)(7)(i); </w:t>
      </w:r>
      <w:bookmarkStart w:id="1808" w:name="Bookmark_I5VT264B2N1PWB0020000400"/>
      <w:bookmarkEnd w:id="1808"/>
      <w:r>
        <w:rPr>
          <w:rFonts w:ascii="Arial" w:eastAsia="Arial" w:hAnsi="Arial" w:cs="Arial"/>
          <w:i/>
          <w:color w:val="000000"/>
          <w:sz w:val="20"/>
        </w:rPr>
        <w:t>PGA Tour</w:t>
      </w:r>
      <w:r>
        <w:rPr>
          <w:rFonts w:ascii="Arial" w:eastAsia="Arial" w:hAnsi="Arial" w:cs="Arial"/>
          <w:color w:val="000000"/>
          <w:sz w:val="20"/>
        </w:rPr>
        <w:t>, 532 U.S. at 688.</w:t>
      </w:r>
    </w:p>
    <w:p w:rsidR="00E456CD" w:rsidRDefault="00000000">
      <w:pPr>
        <w:pStyle w:val="Normal8"/>
        <w:widowControl w:val="0"/>
        <w:spacing w:before="240" w:line="260" w:lineRule="atLeast"/>
      </w:pPr>
      <w:r>
        <w:br/>
      </w:r>
      <w:r>
        <w:rPr>
          <w:rFonts w:ascii="Arial" w:eastAsia="Arial" w:hAnsi="Arial" w:cs="Arial"/>
          <w:b/>
          <w:color w:val="000000"/>
          <w:sz w:val="20"/>
        </w:rPr>
        <w:t>V</w:t>
      </w:r>
    </w:p>
    <w:p w:rsidR="00E456CD" w:rsidRDefault="00000000">
      <w:pPr>
        <w:pStyle w:val="Normal8"/>
        <w:widowControl w:val="0"/>
        <w:spacing w:before="200" w:line="260" w:lineRule="atLeast"/>
        <w:jc w:val="both"/>
      </w:pPr>
      <w:bookmarkStart w:id="1809" w:name="Bookmark_para_31_3"/>
      <w:bookmarkStart w:id="1810" w:name="Bookmark_I5VT264B2N1PWB0050000400"/>
      <w:bookmarkEnd w:id="1809"/>
      <w:bookmarkEnd w:id="1810"/>
      <w:r>
        <w:rPr>
          <w:rFonts w:ascii="Arial" w:eastAsia="Arial" w:hAnsi="Arial" w:cs="Arial"/>
          <w:color w:val="000000"/>
          <w:sz w:val="20"/>
        </w:rPr>
        <w:t xml:space="preserve">DCS also argued below that it was a state agency immune from suit under the Eleventh Amendment. </w:t>
      </w:r>
      <w:bookmarkStart w:id="1811" w:name="Bookmark_LNHNREFclscc12_3"/>
      <w:bookmarkEnd w:id="1811"/>
      <w:r>
        <w:rPr>
          <w:rFonts w:ascii="Arial" w:eastAsia="Arial" w:hAnsi="Arial" w:cs="Arial"/>
          <w:color w:val="000000"/>
          <w:sz w:val="20"/>
        </w:rPr>
        <w:t xml:space="preserve">Congress has the power to abrogate the Eleventh Amendment to enforce the provisions of the Fourteenth Amendment, and the ADA is expressly intended to do so, though the scope of Congress' "prophylactic" enforcement powers is contested. </w:t>
      </w:r>
      <w:bookmarkStart w:id="1812" w:name="Bookmark_I5VT264B2HM6B80040000400"/>
      <w:bookmarkEnd w:id="1812"/>
      <w:r>
        <w:rPr>
          <w:rFonts w:ascii="Arial" w:eastAsia="Arial" w:hAnsi="Arial" w:cs="Arial"/>
          <w:i/>
          <w:color w:val="000000"/>
          <w:sz w:val="20"/>
        </w:rPr>
        <w:t xml:space="preserve">See </w:t>
      </w:r>
      <w:bookmarkStart w:id="1813" w:name="Bookmark_I5VT264B2N1PWB0040000400"/>
      <w:bookmarkEnd w:id="1813"/>
      <w:r>
        <w:rPr>
          <w:rFonts w:ascii="Arial" w:eastAsia="Arial" w:hAnsi="Arial" w:cs="Arial"/>
          <w:i/>
          <w:color w:val="000000"/>
          <w:sz w:val="20"/>
        </w:rPr>
        <w:t>Tennessee v. Lane</w:t>
      </w:r>
      <w:r>
        <w:rPr>
          <w:rFonts w:ascii="Arial" w:eastAsia="Arial" w:hAnsi="Arial" w:cs="Arial"/>
          <w:color w:val="000000"/>
          <w:sz w:val="20"/>
        </w:rPr>
        <w:t xml:space="preserve">, 541 U.S. 509, 517-18, 124 S. Ct. 1978, 158 L. Ed. 2d 820 (2004); 42 U.S.C. § 12202; </w:t>
      </w:r>
      <w:bookmarkStart w:id="1814" w:name="Bookmark_I5VT264B2HM6B80010000400"/>
      <w:bookmarkEnd w:id="1814"/>
      <w:r>
        <w:rPr>
          <w:rFonts w:ascii="Arial" w:eastAsia="Arial" w:hAnsi="Arial" w:cs="Arial"/>
          <w:i/>
          <w:color w:val="000000"/>
          <w:sz w:val="20"/>
        </w:rPr>
        <w:t>United States v. Georgia</w:t>
      </w:r>
      <w:r>
        <w:rPr>
          <w:rFonts w:ascii="Arial" w:eastAsia="Arial" w:hAnsi="Arial" w:cs="Arial"/>
          <w:color w:val="000000"/>
          <w:sz w:val="20"/>
        </w:rPr>
        <w:t xml:space="preserve">, 546 U.S. 151, 158-59, 126 S. Ct. 877, 163 L. Ed. 2d 650 (2006). </w:t>
      </w:r>
      <w:bookmarkStart w:id="1815" w:name="Bookmark_I5VT264B2HM6B80040000400_2"/>
      <w:bookmarkEnd w:id="1815"/>
      <w:r>
        <w:rPr>
          <w:rFonts w:ascii="Arial" w:eastAsia="Arial" w:hAnsi="Arial" w:cs="Arial"/>
          <w:color w:val="000000"/>
          <w:sz w:val="20"/>
        </w:rPr>
        <w:t xml:space="preserve">If there were a genuine issue of fact as to whether DCS's conduct violated Title II, the district court would need to determine whether DCS's conduct also violated the Fourteenth Amendment, or, even if it did not, whether Congress had validly, prophylactically abrogated sovereign immunity for that class of conduct. </w:t>
      </w:r>
      <w:bookmarkStart w:id="1816" w:name="Bookmark_I5VT264B2D6N3K0010000400"/>
      <w:bookmarkStart w:id="1817" w:name="Bookmark_I5VT264B2HM6B80030000400"/>
      <w:bookmarkEnd w:id="1816"/>
      <w:bookmarkEnd w:id="1817"/>
      <w:r>
        <w:rPr>
          <w:rFonts w:ascii="Arial" w:eastAsia="Arial" w:hAnsi="Arial" w:cs="Arial"/>
          <w:i/>
          <w:color w:val="000000"/>
          <w:sz w:val="20"/>
        </w:rPr>
        <w:t>Georgia</w:t>
      </w:r>
      <w:r>
        <w:rPr>
          <w:rFonts w:ascii="Arial" w:eastAsia="Arial" w:hAnsi="Arial" w:cs="Arial"/>
          <w:color w:val="000000"/>
          <w:sz w:val="20"/>
        </w:rPr>
        <w:t xml:space="preserve">, 546 U.S. at 159. </w:t>
      </w:r>
      <w:bookmarkStart w:id="1818" w:name="Bookmark_I5VT264B2D6N3K0010000400_2"/>
      <w:bookmarkEnd w:id="1818"/>
      <w:r>
        <w:rPr>
          <w:rFonts w:ascii="Arial" w:eastAsia="Arial" w:hAnsi="Arial" w:cs="Arial"/>
          <w:color w:val="000000"/>
          <w:sz w:val="20"/>
        </w:rPr>
        <w:t xml:space="preserve">Because we agree with the district court that Marble does not raise a genuine issue of fact as to whether DCS's conduct violated Title II, Marble's suit would indeed be barred by sovereign immunity. </w:t>
      </w:r>
      <w:r>
        <w:rPr>
          <w:rFonts w:ascii="Arial" w:eastAsia="Arial" w:hAnsi="Arial" w:cs="Arial"/>
          <w:i/>
          <w:color w:val="000000"/>
          <w:sz w:val="20"/>
        </w:rPr>
        <w:t xml:space="preserve">See </w:t>
      </w:r>
      <w:bookmarkStart w:id="1819" w:name="Bookmark_I5VT264B2HM6B80050000400"/>
      <w:bookmarkEnd w:id="1819"/>
      <w:r>
        <w:rPr>
          <w:rFonts w:ascii="Arial" w:eastAsia="Arial" w:hAnsi="Arial" w:cs="Arial"/>
          <w:i/>
          <w:color w:val="000000"/>
          <w:sz w:val="20"/>
        </w:rPr>
        <w:t>Babcock</w:t>
      </w:r>
      <w:r>
        <w:rPr>
          <w:rFonts w:ascii="Arial" w:eastAsia="Arial" w:hAnsi="Arial" w:cs="Arial"/>
          <w:color w:val="000000"/>
          <w:sz w:val="20"/>
        </w:rPr>
        <w:t>, 812 F.3d at 539.</w:t>
      </w:r>
    </w:p>
    <w:p w:rsidR="00E456CD" w:rsidRDefault="00000000">
      <w:pPr>
        <w:pStyle w:val="Normal8"/>
        <w:widowControl w:val="0"/>
        <w:spacing w:before="240" w:line="260" w:lineRule="atLeast"/>
      </w:pPr>
      <w:r>
        <w:br/>
      </w:r>
      <w:r>
        <w:rPr>
          <w:rFonts w:ascii="Arial" w:eastAsia="Arial" w:hAnsi="Arial" w:cs="Arial"/>
          <w:b/>
          <w:color w:val="000000"/>
          <w:sz w:val="20"/>
        </w:rPr>
        <w:t>VI</w:t>
      </w:r>
    </w:p>
    <w:p w:rsidR="00E456CD" w:rsidRDefault="00000000">
      <w:pPr>
        <w:pStyle w:val="Normal8"/>
        <w:widowControl w:val="0"/>
        <w:spacing w:before="200" w:line="260" w:lineRule="atLeast"/>
        <w:jc w:val="both"/>
      </w:pPr>
      <w:bookmarkStart w:id="1820" w:name="Bookmark_para_32_3"/>
      <w:bookmarkEnd w:id="1820"/>
      <w:r>
        <w:rPr>
          <w:rFonts w:ascii="Arial" w:eastAsia="Arial" w:hAnsi="Arial" w:cs="Arial"/>
          <w:color w:val="000000"/>
          <w:sz w:val="20"/>
        </w:rPr>
        <w:t>For these reasons, we affirm the district court's grant of summary judgment to DCS.</w:t>
      </w:r>
    </w:p>
    <w:p w:rsidR="00E456CD" w:rsidRDefault="00E456CD">
      <w:pPr>
        <w:pStyle w:val="Normal8"/>
      </w:pPr>
    </w:p>
    <w:p w:rsidR="00E456CD" w:rsidRDefault="00000000">
      <w:pPr>
        <w:pStyle w:val="Normal8"/>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7872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23962395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69C7D" id="Line 2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9"/>
        <w:sectPr w:rsidR="00E456CD">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gutter="0"/>
          <w:cols w:space="720"/>
          <w:titlePg/>
        </w:sectPr>
      </w:pPr>
    </w:p>
    <w:p w:rsidR="00E456CD" w:rsidRDefault="00E456CD">
      <w:pPr>
        <w:pStyle w:val="Normal9"/>
      </w:pPr>
    </w:p>
    <w:p w:rsidR="00E456CD" w:rsidRDefault="00000000">
      <w:pPr>
        <w:pStyle w:val="Heading18"/>
        <w:keepNext w:val="0"/>
        <w:widowControl w:val="0"/>
        <w:spacing w:after="200" w:line="340" w:lineRule="atLeast"/>
        <w:jc w:val="center"/>
      </w:pPr>
      <w:r>
        <w:rPr>
          <w:rFonts w:eastAsia="Arial"/>
          <w:color w:val="000000"/>
          <w:sz w:val="28"/>
        </w:rPr>
        <w:t>Reed v. Columbia St. Mary's Hosp.</w:t>
      </w:r>
    </w:p>
    <w:p w:rsidR="00E456CD" w:rsidRDefault="00000000">
      <w:pPr>
        <w:pStyle w:val="Normal9"/>
        <w:widowControl w:val="0"/>
        <w:spacing w:before="120" w:line="260" w:lineRule="atLeast"/>
        <w:jc w:val="center"/>
      </w:pPr>
      <w:r>
        <w:rPr>
          <w:rFonts w:ascii="Arial" w:eastAsia="Arial" w:hAnsi="Arial" w:cs="Arial"/>
          <w:color w:val="000000"/>
          <w:sz w:val="20"/>
        </w:rPr>
        <w:t>United States Court of Appeals for the Seventh Circuit</w:t>
      </w:r>
    </w:p>
    <w:p w:rsidR="00E456CD" w:rsidRDefault="00000000">
      <w:pPr>
        <w:pStyle w:val="Normal9"/>
        <w:widowControl w:val="0"/>
        <w:spacing w:before="120" w:line="260" w:lineRule="atLeast"/>
        <w:jc w:val="center"/>
      </w:pPr>
      <w:r>
        <w:rPr>
          <w:rFonts w:ascii="Arial" w:eastAsia="Arial" w:hAnsi="Arial" w:cs="Arial"/>
          <w:color w:val="000000"/>
          <w:sz w:val="20"/>
        </w:rPr>
        <w:t>September 12, 2018, Argued; February 8, 2019, Decided</w:t>
      </w:r>
    </w:p>
    <w:p w:rsidR="00E456CD" w:rsidRDefault="00000000">
      <w:pPr>
        <w:pStyle w:val="Normal9"/>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17-1469</w:t>
      </w:r>
    </w:p>
    <w:p w:rsidR="00E456CD" w:rsidRDefault="00E456CD">
      <w:pPr>
        <w:pStyle w:val="Normal9"/>
        <w:widowControl w:val="0"/>
        <w:spacing w:line="240" w:lineRule="atLeast"/>
        <w:jc w:val="both"/>
      </w:pPr>
      <w:bookmarkStart w:id="1821" w:name="Bookmark_10"/>
      <w:bookmarkEnd w:id="1821"/>
    </w:p>
    <w:p w:rsidR="00E456CD" w:rsidRDefault="00000000">
      <w:pPr>
        <w:pStyle w:val="Normal9"/>
        <w:widowControl w:val="0"/>
        <w:spacing w:before="200" w:line="240" w:lineRule="atLeast"/>
      </w:pPr>
      <w:bookmarkStart w:id="1822" w:name="Reporter_8"/>
      <w:bookmarkEnd w:id="1822"/>
      <w:r>
        <w:rPr>
          <w:rFonts w:ascii="Arial" w:eastAsia="Arial" w:hAnsi="Arial" w:cs="Arial"/>
          <w:b/>
          <w:color w:val="000000"/>
          <w:sz w:val="18"/>
        </w:rPr>
        <w:t>Reporter</w:t>
      </w:r>
    </w:p>
    <w:p w:rsidR="00E456CD" w:rsidRDefault="00000000">
      <w:pPr>
        <w:pStyle w:val="Normal9"/>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915 F.3d 473 *; 2019 U.S. App. LEXIS 3996 **</w:t>
      </w:r>
    </w:p>
    <w:p w:rsidR="00E456CD" w:rsidRDefault="00000000">
      <w:pPr>
        <w:pStyle w:val="Normal9"/>
        <w:widowControl w:val="0"/>
        <w:spacing w:before="120" w:line="260" w:lineRule="atLeast"/>
      </w:pPr>
      <w:r>
        <w:rPr>
          <w:rFonts w:ascii="Arial" w:eastAsia="Arial" w:hAnsi="Arial" w:cs="Arial"/>
          <w:color w:val="000000"/>
          <w:sz w:val="20"/>
        </w:rPr>
        <w:t>LINDA REED, Plaintiff-Appellant, v. COLUMBIA ST. MARY'S HOSPITAL, Defendant-Appellee.</w:t>
      </w:r>
    </w:p>
    <w:p w:rsidR="00E456CD" w:rsidRDefault="00000000">
      <w:pPr>
        <w:pStyle w:val="Normal9"/>
        <w:widowControl w:val="0"/>
        <w:spacing w:before="240" w:line="260" w:lineRule="atLeast"/>
        <w:jc w:val="both"/>
      </w:pPr>
      <w:bookmarkStart w:id="1823" w:name="Prior_History_8"/>
      <w:bookmarkEnd w:id="1823"/>
      <w:r>
        <w:rPr>
          <w:rFonts w:ascii="Arial" w:eastAsia="Arial" w:hAnsi="Arial" w:cs="Arial"/>
          <w:b/>
          <w:color w:val="000000"/>
          <w:sz w:val="20"/>
        </w:rPr>
        <w:t>Prior History:</w:t>
      </w:r>
      <w:r>
        <w:rPr>
          <w:rFonts w:ascii="Arial" w:eastAsia="Arial" w:hAnsi="Arial" w:cs="Arial"/>
          <w:color w:val="000000"/>
          <w:sz w:val="20"/>
        </w:rPr>
        <w:t> </w:t>
      </w:r>
      <w:bookmarkStart w:id="1824" w:name="Bookmark_para_1_8"/>
      <w:bookmarkEnd w:id="1824"/>
      <w:r>
        <w:rPr>
          <w:rFonts w:ascii="Arial" w:eastAsia="Arial" w:hAnsi="Arial" w:cs="Arial"/>
          <w:color w:val="000000"/>
          <w:sz w:val="20"/>
        </w:rPr>
        <w:t> [**1] Appeal from the United States District Court for the Eastern District of Wisconsin. No. 14-CV-330 — J.P. Stadtmueller, Judge.</w:t>
      </w:r>
    </w:p>
    <w:p w:rsidR="00E456CD" w:rsidRDefault="00000000">
      <w:pPr>
        <w:pStyle w:val="Normal9"/>
        <w:widowControl w:val="0"/>
        <w:spacing w:before="120" w:line="260" w:lineRule="atLeast"/>
      </w:pPr>
      <w:r>
        <w:rPr>
          <w:rFonts w:ascii="Arial" w:eastAsia="Arial" w:hAnsi="Arial" w:cs="Arial"/>
          <w:color w:val="000000"/>
          <w:sz w:val="20"/>
        </w:rPr>
        <w:t>Reed v. Columbia St. Mary's Hosp., 236 F. Supp. 3d 1091, 2017 U.S. Dist. LEXIS 21240 (E.D. Wis., Feb. 15, 2017)</w:t>
      </w:r>
    </w:p>
    <w:p w:rsidR="00E456CD" w:rsidRDefault="00000000">
      <w:pPr>
        <w:pStyle w:val="Normal9"/>
        <w:widowControl w:val="0"/>
        <w:spacing w:before="240" w:line="260" w:lineRule="atLeast"/>
      </w:pPr>
      <w:bookmarkStart w:id="1825" w:name="Counsel_8"/>
      <w:bookmarkEnd w:id="1825"/>
      <w:r>
        <w:rPr>
          <w:rFonts w:ascii="Arial" w:eastAsia="Arial" w:hAnsi="Arial" w:cs="Arial"/>
          <w:b/>
          <w:color w:val="000000"/>
          <w:sz w:val="20"/>
        </w:rPr>
        <w:t>Counsel:</w:t>
      </w:r>
      <w:r>
        <w:rPr>
          <w:rFonts w:ascii="Arial" w:eastAsia="Arial" w:hAnsi="Arial" w:cs="Arial"/>
          <w:color w:val="000000"/>
          <w:sz w:val="20"/>
        </w:rPr>
        <w:t> For LINDA REED, Plaintiff - Appellant: William J. Cooper, Attorney, MOLOLAMKEN LLP, Washington, DC; Gerald Meyer, Attorney, Justin Weiner, Attorney, MOLOLAMKEN LLP, Chicago, IL.</w:t>
      </w:r>
    </w:p>
    <w:p w:rsidR="00E456CD" w:rsidRDefault="00000000">
      <w:pPr>
        <w:pStyle w:val="Normal9"/>
        <w:widowControl w:val="0"/>
        <w:spacing w:before="120" w:line="260" w:lineRule="atLeast"/>
      </w:pPr>
      <w:r>
        <w:rPr>
          <w:rFonts w:ascii="Arial" w:eastAsia="Arial" w:hAnsi="Arial" w:cs="Arial"/>
          <w:color w:val="000000"/>
          <w:sz w:val="20"/>
        </w:rPr>
        <w:t>For COLUMBIA ST. MARY'S HOSPITAL MILWAUKEE, INCORPORATED, Defendant - Appellee: Bradley S. Foley, Attorney, GUTGLASS, ERICKSON, BONVILLE &amp; LARSON, S.C., Milwaukee, WI.</w:t>
      </w:r>
    </w:p>
    <w:p w:rsidR="00E456CD" w:rsidRDefault="00000000">
      <w:pPr>
        <w:pStyle w:val="Normal9"/>
        <w:widowControl w:val="0"/>
        <w:spacing w:before="240" w:line="260" w:lineRule="atLeast"/>
      </w:pPr>
      <w:bookmarkStart w:id="1826" w:name="Judges_8"/>
      <w:bookmarkEnd w:id="1826"/>
      <w:r>
        <w:rPr>
          <w:rFonts w:ascii="Arial" w:eastAsia="Arial" w:hAnsi="Arial" w:cs="Arial"/>
          <w:b/>
          <w:color w:val="000000"/>
          <w:sz w:val="20"/>
        </w:rPr>
        <w:t>Judges:</w:t>
      </w:r>
      <w:r>
        <w:rPr>
          <w:rFonts w:ascii="Arial" w:eastAsia="Arial" w:hAnsi="Arial" w:cs="Arial"/>
          <w:color w:val="000000"/>
          <w:sz w:val="20"/>
        </w:rPr>
        <w:t> Before EASTERBROOK, ROVNER, and HAMILTON, Circuit Judges.</w:t>
      </w:r>
    </w:p>
    <w:p w:rsidR="00E456CD" w:rsidRDefault="00000000">
      <w:pPr>
        <w:pStyle w:val="Normal9"/>
        <w:widowControl w:val="0"/>
        <w:spacing w:before="240" w:line="260" w:lineRule="atLeast"/>
      </w:pPr>
      <w:bookmarkStart w:id="1827" w:name="Opinion_by_5"/>
      <w:bookmarkEnd w:id="1827"/>
      <w:r>
        <w:rPr>
          <w:rFonts w:ascii="Arial" w:eastAsia="Arial" w:hAnsi="Arial" w:cs="Arial"/>
          <w:b/>
          <w:color w:val="000000"/>
          <w:sz w:val="20"/>
        </w:rPr>
        <w:t>Opinion by:</w:t>
      </w:r>
      <w:r>
        <w:rPr>
          <w:rFonts w:ascii="Arial" w:eastAsia="Arial" w:hAnsi="Arial" w:cs="Arial"/>
          <w:color w:val="000000"/>
          <w:sz w:val="20"/>
        </w:rPr>
        <w:t> HAMILTON</w:t>
      </w:r>
    </w:p>
    <w:p w:rsidR="00E456CD" w:rsidRDefault="00000000">
      <w:pPr>
        <w:pStyle w:val="Normal9"/>
        <w:keepNext/>
        <w:widowControl w:val="0"/>
        <w:spacing w:before="240" w:line="340" w:lineRule="atLeast"/>
      </w:pPr>
      <w:bookmarkStart w:id="1828" w:name="Opinion_8"/>
      <w:bookmarkEnd w:id="1828"/>
      <w:r>
        <w:rPr>
          <w:rFonts w:ascii="Arial" w:eastAsia="Arial" w:hAnsi="Arial" w:cs="Arial"/>
          <w:b/>
          <w:color w:val="000000"/>
          <w:sz w:val="28"/>
        </w:rPr>
        <w:t>Opinion</w:t>
      </w:r>
    </w:p>
    <w:p w:rsidR="00E456CD" w:rsidRDefault="00E22289">
      <w:pPr>
        <w:pStyle w:val="Normal9"/>
        <w:spacing w:line="60" w:lineRule="exact"/>
      </w:pPr>
      <w:r>
        <w:rPr>
          <w:noProof/>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96960464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95142" id="Line 2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9"/>
      </w:pPr>
    </w:p>
    <w:p w:rsidR="00E456CD" w:rsidRDefault="00000000">
      <w:pPr>
        <w:pStyle w:val="Normal9"/>
        <w:widowControl w:val="0"/>
        <w:spacing w:before="200" w:line="260" w:lineRule="atLeast"/>
        <w:jc w:val="both"/>
      </w:pPr>
      <w:bookmarkStart w:id="1829" w:name="Bookmark_para_2_8"/>
      <w:bookmarkEnd w:id="1829"/>
      <w:r>
        <w:rPr>
          <w:rFonts w:ascii="Arial" w:eastAsia="Arial" w:hAnsi="Arial" w:cs="Arial"/>
          <w:color w:val="000000"/>
          <w:sz w:val="20"/>
        </w:rPr>
        <w:t xml:space="preserve"> [*475]  </w:t>
      </w:r>
      <w:r>
        <w:rPr>
          <w:rFonts w:ascii="Arial" w:eastAsia="Arial" w:hAnsi="Arial" w:cs="Arial"/>
          <w:smallCaps/>
          <w:color w:val="000000"/>
          <w:sz w:val="20"/>
        </w:rPr>
        <w:t>Hamilton</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Plaintiff-appellant Linda Reed alleges that she suffered discrimination on the basis of her disabilities while she was a patient at defendant-appellee Columbia St. Mary's Hospital in March 2012. Among other things, she contends that the hospital failed to accommodate her disabilities by deliberately withholding from her a device she used to speak and discriminated against her by putting her in a "seclusion" room to punish her. She brought claims under Title III of the Americans with Disabilities Act ("ADA"), 42 U.S.C. § 12181, which governs public accommodations offered by private entities, including hospitals, as well as Section 504 of the Rehabilitation Act, 29 U.S.C. § 794 [**2] , and the Wisconsin Mental Health Act, Wis. Stat. § 51.61.</w:t>
      </w:r>
    </w:p>
    <w:p w:rsidR="00E456CD" w:rsidRDefault="00000000">
      <w:pPr>
        <w:pStyle w:val="Normal9"/>
        <w:widowControl w:val="0"/>
        <w:spacing w:before="200" w:line="260" w:lineRule="atLeast"/>
        <w:jc w:val="both"/>
      </w:pPr>
      <w:bookmarkStart w:id="1830" w:name="Bookmark_para_3_8"/>
      <w:bookmarkStart w:id="1831" w:name="Bookmark_I5VDCGTJ28T4240020000400"/>
      <w:bookmarkEnd w:id="1830"/>
      <w:bookmarkEnd w:id="1831"/>
      <w:r>
        <w:rPr>
          <w:rFonts w:ascii="Arial" w:eastAsia="Arial" w:hAnsi="Arial" w:cs="Arial"/>
          <w:color w:val="000000"/>
          <w:sz w:val="20"/>
        </w:rPr>
        <w:t xml:space="preserve">The district court granted the hospital's motion for summary judgment, dismissing the federal claims with prejudice and declining to exercise supplemental jurisdiction over the remaining state-law claims. </w:t>
      </w:r>
      <w:bookmarkStart w:id="1832" w:name="Bookmark_I5VDCGTJ28T4240040000400"/>
      <w:bookmarkStart w:id="1833" w:name="Bookmark_I5VDCGTJ28T4240010000400"/>
      <w:bookmarkEnd w:id="1832"/>
      <w:bookmarkEnd w:id="1833"/>
      <w:r>
        <w:rPr>
          <w:rFonts w:ascii="Arial" w:eastAsia="Arial" w:hAnsi="Arial" w:cs="Arial"/>
          <w:i/>
          <w:color w:val="000000"/>
          <w:sz w:val="20"/>
        </w:rPr>
        <w:t>Reed v. Columbia St. Mary's Hospital</w:t>
      </w:r>
      <w:r>
        <w:rPr>
          <w:rFonts w:ascii="Arial" w:eastAsia="Arial" w:hAnsi="Arial" w:cs="Arial"/>
          <w:color w:val="000000"/>
          <w:sz w:val="20"/>
        </w:rPr>
        <w:t xml:space="preserve">, 236 F. Supp. 3d 1091 (E.D. Wis. 2017). The court held that the hospital did not need to comply with Title III of the ADA because it fell within the Act's exemption for entities controlled by religious organizations. </w:t>
      </w:r>
      <w:bookmarkStart w:id="1834" w:name="Bookmark_I5VDCGTJ28T4240040000400_2"/>
      <w:bookmarkStart w:id="1835" w:name="Bookmark_I5VDCGTJ2N1R230010000400"/>
      <w:bookmarkStart w:id="1836" w:name="Bookmark_I5VDCGTJ28T4240030000400"/>
      <w:bookmarkEnd w:id="1834"/>
      <w:bookmarkEnd w:id="1835"/>
      <w:bookmarkEnd w:id="1836"/>
      <w:r>
        <w:rPr>
          <w:rFonts w:ascii="Arial" w:eastAsia="Arial" w:hAnsi="Arial" w:cs="Arial"/>
          <w:i/>
          <w:color w:val="000000"/>
          <w:sz w:val="20"/>
        </w:rPr>
        <w:t>Id.</w:t>
      </w:r>
      <w:r>
        <w:rPr>
          <w:rFonts w:ascii="Arial" w:eastAsia="Arial" w:hAnsi="Arial" w:cs="Arial"/>
          <w:color w:val="000000"/>
          <w:sz w:val="20"/>
        </w:rPr>
        <w:t xml:space="preserve"> at 1103-04, citing 42 U.S.C. § 12187. </w:t>
      </w:r>
      <w:bookmarkStart w:id="1837" w:name="Bookmark_I5VDCGTJ2N1R230010000400_2"/>
      <w:bookmarkEnd w:id="1837"/>
      <w:r>
        <w:rPr>
          <w:rFonts w:ascii="Arial" w:eastAsia="Arial" w:hAnsi="Arial" w:cs="Arial"/>
          <w:color w:val="000000"/>
          <w:sz w:val="20"/>
        </w:rPr>
        <w:t xml:space="preserve">The court also dismissed Reed's Rehabilitation Act claims, finding that the hospital's alleged mistreatment of Reed was not premised </w:t>
      </w:r>
      <w:r>
        <w:rPr>
          <w:rFonts w:ascii="Arial" w:eastAsia="Arial" w:hAnsi="Arial" w:cs="Arial"/>
          <w:i/>
          <w:color w:val="000000"/>
          <w:sz w:val="20"/>
        </w:rPr>
        <w:t>solely</w:t>
      </w:r>
      <w:r>
        <w:rPr>
          <w:rFonts w:ascii="Arial" w:eastAsia="Arial" w:hAnsi="Arial" w:cs="Arial"/>
          <w:color w:val="000000"/>
          <w:sz w:val="20"/>
        </w:rPr>
        <w:t xml:space="preserve"> on Reed's disability. </w:t>
      </w:r>
      <w:bookmarkStart w:id="1838" w:name="Bookmark_I5VDCGTJ28T4240050000400"/>
      <w:bookmarkEnd w:id="1838"/>
      <w:r>
        <w:rPr>
          <w:rFonts w:ascii="Arial" w:eastAsia="Arial" w:hAnsi="Arial" w:cs="Arial"/>
          <w:i/>
          <w:color w:val="000000"/>
          <w:sz w:val="20"/>
        </w:rPr>
        <w:t>Id.</w:t>
      </w:r>
      <w:r>
        <w:rPr>
          <w:rFonts w:ascii="Arial" w:eastAsia="Arial" w:hAnsi="Arial" w:cs="Arial"/>
          <w:color w:val="000000"/>
          <w:sz w:val="20"/>
        </w:rPr>
        <w:t xml:space="preserve"> at 1105-08.</w:t>
      </w:r>
    </w:p>
    <w:p w:rsidR="00E456CD" w:rsidRDefault="00000000">
      <w:pPr>
        <w:pStyle w:val="Normal9"/>
        <w:widowControl w:val="0"/>
        <w:spacing w:before="200" w:line="260" w:lineRule="atLeast"/>
        <w:jc w:val="both"/>
      </w:pPr>
      <w:bookmarkStart w:id="1839" w:name="Bookmark_para_4_8"/>
      <w:bookmarkEnd w:id="1839"/>
      <w:r>
        <w:rPr>
          <w:rFonts w:ascii="Arial" w:eastAsia="Arial" w:hAnsi="Arial" w:cs="Arial"/>
          <w:color w:val="000000"/>
          <w:sz w:val="20"/>
        </w:rPr>
        <w:t>We reverse. The hospital raised its religious exemption affirmative defense to the ADA claims for the first time after discovery, in its motion for summary judgment. We explain below why we conclude it was an abuse of discretion to excuse the hospital's failure to raise this affirmative defense earlier. We also reverse the dismissal of Reed's Rehabilitation Act claims on the merits because they depend on disputed facts.</w:t>
      </w:r>
    </w:p>
    <w:p w:rsidR="00E456CD" w:rsidRDefault="00000000">
      <w:pPr>
        <w:pStyle w:val="Normal9"/>
        <w:widowControl w:val="0"/>
        <w:spacing w:before="240" w:line="260" w:lineRule="atLeast"/>
      </w:pPr>
      <w:r>
        <w:br/>
      </w:r>
      <w:r>
        <w:rPr>
          <w:rFonts w:ascii="Arial" w:eastAsia="Arial" w:hAnsi="Arial" w:cs="Arial"/>
          <w:color w:val="000000"/>
          <w:sz w:val="20"/>
        </w:rPr>
        <w:t xml:space="preserve"> [*476]  I. </w:t>
      </w:r>
      <w:r>
        <w:rPr>
          <w:rFonts w:ascii="Arial" w:eastAsia="Arial" w:hAnsi="Arial" w:cs="Arial"/>
          <w:i/>
          <w:color w:val="000000"/>
          <w:sz w:val="20"/>
        </w:rPr>
        <w:t>Factual &amp; Procedural Background</w:t>
      </w:r>
    </w:p>
    <w:p w:rsidR="00E456CD" w:rsidRDefault="00000000">
      <w:pPr>
        <w:pStyle w:val="Normal9"/>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Reed's Stay in the Hospital</w:t>
      </w:r>
    </w:p>
    <w:p w:rsidR="00E456CD" w:rsidRDefault="00000000">
      <w:pPr>
        <w:pStyle w:val="Normal9"/>
        <w:widowControl w:val="0"/>
        <w:spacing w:before="200" w:line="260" w:lineRule="atLeast"/>
        <w:jc w:val="both"/>
      </w:pPr>
      <w:bookmarkStart w:id="1840" w:name="Bookmark_para_5_8"/>
      <w:bookmarkEnd w:id="1840"/>
      <w:r>
        <w:rPr>
          <w:rFonts w:ascii="Arial" w:eastAsia="Arial" w:hAnsi="Arial" w:cs="Arial"/>
          <w:color w:val="000000"/>
          <w:sz w:val="20"/>
        </w:rPr>
        <w:t xml:space="preserve">Our statement of facts reflects our standard of review for a grant of summary judgment. </w:t>
      </w:r>
      <w:bookmarkStart w:id="1841" w:name="Bookmark_I5VDCGTJ2N1R230030000400"/>
      <w:bookmarkEnd w:id="1841"/>
      <w:r>
        <w:rPr>
          <w:rFonts w:ascii="Arial" w:eastAsia="Arial" w:hAnsi="Arial" w:cs="Arial"/>
          <w:color w:val="000000"/>
          <w:sz w:val="20"/>
        </w:rPr>
        <w:t xml:space="preserve">We cannot vouch for the objective [**3]  truth of every detail. </w:t>
      </w:r>
      <w:bookmarkStart w:id="1842" w:name="Bookmark_LNHNREFclscc1_6"/>
      <w:bookmarkEnd w:id="1842"/>
      <w:r>
        <w:rPr>
          <w:rFonts w:ascii="Arial" w:eastAsia="Arial" w:hAnsi="Arial" w:cs="Arial"/>
          <w:color w:val="000000"/>
          <w:sz w:val="20"/>
        </w:rPr>
        <w:t xml:space="preserve">We review the facts and draw all inferences from conflicting evidence in the light reasonably most favorable to Reed as the non-moving party. </w:t>
      </w:r>
      <w:bookmarkStart w:id="1843" w:name="Bookmark_I5VDCGTJ2N1R230020000400"/>
      <w:bookmarkEnd w:id="1843"/>
      <w:r>
        <w:rPr>
          <w:rFonts w:ascii="Arial" w:eastAsia="Arial" w:hAnsi="Arial" w:cs="Arial"/>
          <w:i/>
          <w:color w:val="000000"/>
          <w:sz w:val="20"/>
        </w:rPr>
        <w:t>Greengrass v. International Monetary Systems Ltd.</w:t>
      </w:r>
      <w:r>
        <w:rPr>
          <w:rFonts w:ascii="Arial" w:eastAsia="Arial" w:hAnsi="Arial" w:cs="Arial"/>
          <w:color w:val="000000"/>
          <w:sz w:val="20"/>
        </w:rPr>
        <w:t>, 776 F.3d 481, 485 (7th Cir. 2015).</w:t>
      </w:r>
    </w:p>
    <w:p w:rsidR="00E456CD" w:rsidRDefault="00000000">
      <w:pPr>
        <w:pStyle w:val="Normal9"/>
        <w:widowControl w:val="0"/>
        <w:spacing w:before="200" w:line="260" w:lineRule="atLeast"/>
        <w:jc w:val="both"/>
      </w:pPr>
      <w:bookmarkStart w:id="1844" w:name="Bookmark_para_6_8"/>
      <w:bookmarkEnd w:id="1844"/>
      <w:r>
        <w:rPr>
          <w:rFonts w:ascii="Arial" w:eastAsia="Arial" w:hAnsi="Arial" w:cs="Arial"/>
          <w:color w:val="000000"/>
          <w:sz w:val="20"/>
        </w:rPr>
        <w:t>Reed suffers from several disabilities, including tardive dyskinesia ("TD"), bipolar disorder, and post-traumatic stress disorder. TD is a neurological disorder that causes involuntary facial and limb movements and makes speaking difficult. Reed has been prescribed a portable communication device called a Dynavox that she can use to generate speech.</w:t>
      </w:r>
    </w:p>
    <w:p w:rsidR="00E456CD" w:rsidRDefault="00000000">
      <w:pPr>
        <w:pStyle w:val="Normal9"/>
        <w:widowControl w:val="0"/>
        <w:spacing w:before="200" w:line="260" w:lineRule="atLeast"/>
        <w:jc w:val="both"/>
      </w:pPr>
      <w:bookmarkStart w:id="1845" w:name="Bookmark_para_7_8"/>
      <w:bookmarkEnd w:id="1845"/>
      <w:r>
        <w:rPr>
          <w:rFonts w:ascii="Arial" w:eastAsia="Arial" w:hAnsi="Arial" w:cs="Arial"/>
          <w:color w:val="000000"/>
          <w:sz w:val="20"/>
        </w:rPr>
        <w:t>Reed entered the hospital's emergency department on March 8, 2012. She reported suicidal thoughts. She was admitted to the inpatient behavioral health unit and left on March 12. Reed alleges that during her four-day stay at the hospital she was discriminated against in multiple ways. She claims that she was denied the use of her Dynavox; that hospital staff attempted to give her medication she was allergic to; that she was denied timely access to her medical records; that she was denied the use of a telephone to call her case manager (about whom the record reveals little); that she was denied access to a chaplain; and that she was physically escorted off the premises by two [**4]  security guards. Notably, the hospital's corporate representative and nursing supervisor, William Fry, testified in his deposition that the Dynavox was locked up outside Reed's room at night and that she had access to it during the day only "as long as her behavior was appropriate."</w:t>
      </w:r>
    </w:p>
    <w:p w:rsidR="00E456CD" w:rsidRDefault="00000000">
      <w:pPr>
        <w:pStyle w:val="Normal9"/>
        <w:widowControl w:val="0"/>
        <w:spacing w:before="200" w:line="260" w:lineRule="atLeast"/>
        <w:jc w:val="both"/>
      </w:pPr>
      <w:bookmarkStart w:id="1846" w:name="Bookmark_para_8_8"/>
      <w:bookmarkEnd w:id="1846"/>
      <w:r>
        <w:rPr>
          <w:rFonts w:ascii="Arial" w:eastAsia="Arial" w:hAnsi="Arial" w:cs="Arial"/>
          <w:color w:val="000000"/>
          <w:sz w:val="20"/>
        </w:rPr>
        <w:t>The most severe of Reed's allegations is that on March 11, hospital staff refused to give her the Dynavox and took her to a seclusion room, where she was dropped on a mattress on the floor and later attempted suicide. Reed and the hospital give differing accounts of what exactly took place during this incident. Reed claims that she asked for her Dynavox, that hospital staff refused to give it to her, that her TD-related movements caused her to spill coffee on herself and to fall to the ground, and that patient-care assistant Andrew Miller grabbed her and put her in the seclusion room for about two hours. Miller testified, on the other hand, that Reed was on the ground in a hallway crying and he told her she needed to get out of the hallway. When he was walking her back to her room, he claims, she began to scream and he and nursing supervisor Fry decided to take her to the seclusion room. On review of a grant [**5]  of summary judgment for the defendant, of course, we must accept the plaintiff's version of events. Reed was discharged the day after this incident. According to Reed, her Dynavox and other possessions were thrown into a cab, and she was pushed into it by a security guard and sent off.</w:t>
      </w:r>
    </w:p>
    <w:p w:rsidR="00E456CD" w:rsidRDefault="00000000">
      <w:pPr>
        <w:pStyle w:val="Normal9"/>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The District Court Proceedings</w:t>
      </w:r>
    </w:p>
    <w:p w:rsidR="00E456CD" w:rsidRDefault="00000000">
      <w:pPr>
        <w:pStyle w:val="Normal9"/>
        <w:widowControl w:val="0"/>
        <w:spacing w:before="200" w:line="260" w:lineRule="atLeast"/>
        <w:jc w:val="both"/>
      </w:pPr>
      <w:bookmarkStart w:id="1847" w:name="Bookmark_para_9_8"/>
      <w:bookmarkEnd w:id="1847"/>
      <w:r>
        <w:rPr>
          <w:rFonts w:ascii="Arial" w:eastAsia="Arial" w:hAnsi="Arial" w:cs="Arial"/>
          <w:color w:val="000000"/>
          <w:sz w:val="20"/>
        </w:rPr>
        <w:t xml:space="preserve">Reed filed her first complaint </w:t>
      </w:r>
      <w:r>
        <w:rPr>
          <w:rFonts w:ascii="Arial" w:eastAsia="Arial" w:hAnsi="Arial" w:cs="Arial"/>
          <w:i/>
          <w:color w:val="000000"/>
          <w:sz w:val="20"/>
        </w:rPr>
        <w:t>pro se</w:t>
      </w:r>
      <w:r>
        <w:rPr>
          <w:rFonts w:ascii="Arial" w:eastAsia="Arial" w:hAnsi="Arial" w:cs="Arial"/>
          <w:color w:val="000000"/>
          <w:sz w:val="20"/>
        </w:rPr>
        <w:t xml:space="preserve"> in February 2014. The district court dismissed that case without prejudice. </w:t>
      </w:r>
      <w:bookmarkStart w:id="1848" w:name="Bookmark_I5VDCGTJ2N1R230050000400"/>
      <w:bookmarkEnd w:id="1848"/>
      <w:r>
        <w:rPr>
          <w:rFonts w:ascii="Arial" w:eastAsia="Arial" w:hAnsi="Arial" w:cs="Arial"/>
          <w:color w:val="000000"/>
          <w:sz w:val="20"/>
        </w:rPr>
        <w:t xml:space="preserve">The next month, Reed filed this new lawsuit, which the court construed as raising claims under the ADA and the Rehabilitation Act. The district court dismissed again, holding that the dismissal of the prior suit had preclusive effect and alternatively that Reed failed to state a claim. </w:t>
      </w:r>
      <w:bookmarkStart w:id="1849" w:name="Bookmark_I5VDCGTJ2HM6CC0020000400"/>
      <w:bookmarkEnd w:id="1849"/>
      <w:r>
        <w:rPr>
          <w:rFonts w:ascii="Arial" w:eastAsia="Arial" w:hAnsi="Arial" w:cs="Arial"/>
          <w:color w:val="000000"/>
          <w:sz w:val="20"/>
        </w:rPr>
        <w:t xml:space="preserve">Reed appealed </w:t>
      </w:r>
      <w:r>
        <w:rPr>
          <w:rFonts w:ascii="Arial" w:eastAsia="Arial" w:hAnsi="Arial" w:cs="Arial"/>
          <w:i/>
          <w:color w:val="000000"/>
          <w:sz w:val="20"/>
        </w:rPr>
        <w:t>pro se</w:t>
      </w:r>
      <w:r>
        <w:rPr>
          <w:rFonts w:ascii="Arial" w:eastAsia="Arial" w:hAnsi="Arial" w:cs="Arial"/>
          <w:color w:val="000000"/>
          <w:sz w:val="20"/>
        </w:rPr>
        <w:t xml:space="preserve">. We vacated and remanded because the first case had been dismissed without prejudice and thus did not preclude the second. </w:t>
      </w:r>
      <w:bookmarkStart w:id="1850" w:name="Bookmark_I5VDCGTJ2N1R230040000400"/>
      <w:bookmarkEnd w:id="1850"/>
      <w:r>
        <w:rPr>
          <w:rFonts w:ascii="Arial" w:eastAsia="Arial" w:hAnsi="Arial" w:cs="Arial"/>
          <w:i/>
          <w:color w:val="000000"/>
          <w:sz w:val="20"/>
        </w:rPr>
        <w:t>Reed v. Columbia St. Mary's Hospital</w:t>
      </w:r>
      <w:r>
        <w:rPr>
          <w:rFonts w:ascii="Arial" w:eastAsia="Arial" w:hAnsi="Arial" w:cs="Arial"/>
          <w:color w:val="000000"/>
          <w:sz w:val="20"/>
        </w:rPr>
        <w:t xml:space="preserve">,  [*477]  782 F.3d 331, 335-36 (7th Cir. 2015). </w:t>
      </w:r>
      <w:bookmarkStart w:id="1851" w:name="Bookmark_I5VDCGTJ2HM6CC0020000400_2"/>
      <w:bookmarkEnd w:id="1851"/>
      <w:r>
        <w:rPr>
          <w:rFonts w:ascii="Arial" w:eastAsia="Arial" w:hAnsi="Arial" w:cs="Arial"/>
          <w:color w:val="000000"/>
          <w:sz w:val="20"/>
        </w:rPr>
        <w:t xml:space="preserve">We also held that Reed stated viable claims under the ADA and the Rehabilitation Act. </w:t>
      </w:r>
      <w:bookmarkStart w:id="1852" w:name="Bookmark_I5VDCGTJ2HM6CC0010000400"/>
      <w:bookmarkEnd w:id="1852"/>
      <w:r>
        <w:rPr>
          <w:rFonts w:ascii="Arial" w:eastAsia="Arial" w:hAnsi="Arial" w:cs="Arial"/>
          <w:i/>
          <w:color w:val="000000"/>
          <w:sz w:val="20"/>
        </w:rPr>
        <w:t>Id.</w:t>
      </w:r>
      <w:r>
        <w:rPr>
          <w:rFonts w:ascii="Arial" w:eastAsia="Arial" w:hAnsi="Arial" w:cs="Arial"/>
          <w:color w:val="000000"/>
          <w:sz w:val="20"/>
        </w:rPr>
        <w:t xml:space="preserve"> at 337.</w:t>
      </w:r>
    </w:p>
    <w:p w:rsidR="00E456CD" w:rsidRDefault="00000000">
      <w:pPr>
        <w:pStyle w:val="Normal9"/>
        <w:widowControl w:val="0"/>
        <w:spacing w:before="200" w:line="260" w:lineRule="atLeast"/>
        <w:jc w:val="both"/>
      </w:pPr>
      <w:bookmarkStart w:id="1853" w:name="Bookmark_para_10_8"/>
      <w:bookmarkEnd w:id="1853"/>
      <w:r>
        <w:rPr>
          <w:rFonts w:ascii="Arial" w:eastAsia="Arial" w:hAnsi="Arial" w:cs="Arial"/>
          <w:color w:val="000000"/>
          <w:sz w:val="20"/>
        </w:rPr>
        <w:t>On remand, the district court recruited counsel for Reed. Her amended complaint asserted claims under the ADA for intentional discrimination, denial of reasonable modification, and retaliation and intimidation; claims under the Rehabilitation Act [**6]  for intentional discrimination and denial of reasonable accommodation; and patients'-rights claims under Wisconsin state law. The hospital filed answers to both the original complaint and the amended complaint. Each answer asserted several affirmative defenses. Neither answer mentioned a religious exemption from the ADA. Discovery was conducted from September 2015 to August 2016. In October 2016, the hospital moved for summary judgment, which the district court granted.</w:t>
      </w:r>
    </w:p>
    <w:p w:rsidR="00E456CD" w:rsidRDefault="00000000">
      <w:pPr>
        <w:pStyle w:val="Normal9"/>
        <w:widowControl w:val="0"/>
        <w:spacing w:before="120" w:line="260" w:lineRule="atLeast"/>
      </w:pPr>
      <w:r>
        <w:rPr>
          <w:rFonts w:ascii="Arial" w:eastAsia="Arial" w:hAnsi="Arial" w:cs="Arial"/>
          <w:color w:val="000000"/>
          <w:sz w:val="20"/>
        </w:rPr>
        <w:t xml:space="preserve">II. </w:t>
      </w:r>
      <w:r>
        <w:rPr>
          <w:rFonts w:ascii="Arial" w:eastAsia="Arial" w:hAnsi="Arial" w:cs="Arial"/>
          <w:i/>
          <w:color w:val="000000"/>
          <w:sz w:val="20"/>
        </w:rPr>
        <w:t>Analysis</w:t>
      </w:r>
    </w:p>
    <w:p w:rsidR="00E456CD" w:rsidRDefault="00000000">
      <w:pPr>
        <w:pStyle w:val="Normal9"/>
        <w:widowControl w:val="0"/>
        <w:spacing w:before="200" w:line="260" w:lineRule="atLeast"/>
        <w:jc w:val="both"/>
      </w:pPr>
      <w:bookmarkStart w:id="1854" w:name="Bookmark_para_11_8"/>
      <w:bookmarkEnd w:id="1854"/>
      <w:r>
        <w:rPr>
          <w:rFonts w:ascii="Arial" w:eastAsia="Arial" w:hAnsi="Arial" w:cs="Arial"/>
          <w:color w:val="000000"/>
          <w:sz w:val="20"/>
        </w:rPr>
        <w:t>This appeal presents one procedural issue and a cluster of substantive issues. The procedural issue is whether the district court abused its discretion in allowing the hospital to raise for the first time on summary judgment the affirmative defense of the ADA's Title III religious exemption. The substantive issues concern the merits of the Rehabilitation Act claims.</w:t>
      </w:r>
    </w:p>
    <w:p w:rsidR="00E456CD" w:rsidRDefault="00000000">
      <w:pPr>
        <w:pStyle w:val="Normal9"/>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The ADA Claims</w:t>
      </w:r>
    </w:p>
    <w:p w:rsidR="00E456CD" w:rsidRDefault="00000000">
      <w:pPr>
        <w:pStyle w:val="Normal9"/>
        <w:widowControl w:val="0"/>
        <w:spacing w:before="120" w:line="260" w:lineRule="atLeast"/>
      </w:pPr>
      <w:r>
        <w:rPr>
          <w:rFonts w:ascii="Arial" w:eastAsia="Arial" w:hAnsi="Arial" w:cs="Arial"/>
          <w:color w:val="000000"/>
          <w:sz w:val="20"/>
        </w:rPr>
        <w:t xml:space="preserve">1. </w:t>
      </w:r>
      <w:r>
        <w:rPr>
          <w:rFonts w:ascii="Arial" w:eastAsia="Arial" w:hAnsi="Arial" w:cs="Arial"/>
          <w:i/>
          <w:color w:val="000000"/>
          <w:sz w:val="20"/>
        </w:rPr>
        <w:t>The Religious Exemption Defense Under ADA Title III</w:t>
      </w:r>
    </w:p>
    <w:p w:rsidR="00E456CD" w:rsidRDefault="00000000">
      <w:pPr>
        <w:pStyle w:val="Normal9"/>
        <w:widowControl w:val="0"/>
        <w:spacing w:before="200" w:line="260" w:lineRule="atLeast"/>
        <w:jc w:val="both"/>
      </w:pPr>
      <w:bookmarkStart w:id="1855" w:name="Bookmark_para_12_7"/>
      <w:bookmarkStart w:id="1856" w:name="Bookmark_LNHNREFclscc2_6"/>
      <w:bookmarkEnd w:id="1855"/>
      <w:bookmarkEnd w:id="1856"/>
      <w:r>
        <w:rPr>
          <w:rFonts w:ascii="Arial" w:eastAsia="Arial" w:hAnsi="Arial" w:cs="Arial"/>
          <w:color w:val="000000"/>
          <w:sz w:val="20"/>
        </w:rPr>
        <w:t>Title III of the ADA prohibits disability discrimination by "public accommodations," including hospitals. See 42 U.S.C. § 12181(7). Title III provides: "No individual shall be discriminated against on the basis of disability in the full and equal enjoyment of the goods, services, facilities, privileges, [**7]  advantages, or accommodations of any place of public accommodation." 42 U.S.C. § 12182(a). It is unlawful to "fail[] to take such steps as may be necessary to ensure that no individual with a disability is excluded, denied services, segregated or otherwise treated differently than other individuals because of the absence of auxiliary aids and services," unless the defendant can show that such accommodation "would fundamentally alter the nature of the good, service, facility, privilege, advantage, or accommodation being offered or would result in an undue burden." § 12182(b)(2)(A)(iii). A physical or mental impairment that "substantially limits one or more major life activities," including "speaking," qualifies as a disability under both the ADA and the Rehabilitation Act (discussed below). See 42 U.S.C. § 12102(1)(A), (2)(A); 29 U.S.C. § 705(20)(B); 34 C.F.R. § 104.3(j)(2)(ii); 45 C.F.R. § 84.3(j)(2)(ii).</w:t>
      </w:r>
    </w:p>
    <w:p w:rsidR="00E456CD" w:rsidRDefault="00000000">
      <w:pPr>
        <w:pStyle w:val="Normal9"/>
        <w:widowControl w:val="0"/>
        <w:spacing w:before="200" w:line="260" w:lineRule="atLeast"/>
        <w:jc w:val="both"/>
      </w:pPr>
      <w:bookmarkStart w:id="1857" w:name="Bookmark_para_13_6"/>
      <w:bookmarkStart w:id="1858" w:name="Bookmark_LNHNREFclscc3_5"/>
      <w:bookmarkEnd w:id="1857"/>
      <w:bookmarkEnd w:id="1858"/>
      <w:r>
        <w:rPr>
          <w:rFonts w:ascii="Arial" w:eastAsia="Arial" w:hAnsi="Arial" w:cs="Arial"/>
          <w:color w:val="000000"/>
          <w:sz w:val="20"/>
        </w:rPr>
        <w:t xml:space="preserve">Title III of the ADA applies generally to hospitals, but Title III exempts from its requirements "religious organizations" and "entities controlled by religious organizations, including places of worship." 42 U.S.C. § 12187. </w:t>
      </w:r>
      <w:bookmarkStart w:id="1859" w:name="Bookmark_I5VDCGTJ2HM6CC0040000400"/>
      <w:bookmarkEnd w:id="1859"/>
      <w:r>
        <w:rPr>
          <w:rFonts w:ascii="Arial" w:eastAsia="Arial" w:hAnsi="Arial" w:cs="Arial"/>
          <w:color w:val="000000"/>
          <w:sz w:val="20"/>
        </w:rPr>
        <w:t xml:space="preserve">This exemption is an affirmative defense. A defendant invoking it must plead it in the answer. </w:t>
      </w:r>
      <w:bookmarkStart w:id="1860" w:name="Bookmark_I5VDCGTJ2SF8CX0010000400"/>
      <w:bookmarkEnd w:id="1860"/>
      <w:r>
        <w:rPr>
          <w:rFonts w:ascii="Arial" w:eastAsia="Arial" w:hAnsi="Arial" w:cs="Arial"/>
          <w:color w:val="000000"/>
          <w:sz w:val="20"/>
        </w:rPr>
        <w:t xml:space="preserve">See Fed. R. Civ. P. 8(c); </w:t>
      </w:r>
      <w:bookmarkStart w:id="1861" w:name="Bookmark_I5VDCGTJ2HM6CC0030000400"/>
      <w:bookmarkEnd w:id="1861"/>
      <w:r>
        <w:rPr>
          <w:rFonts w:ascii="Arial" w:eastAsia="Arial" w:hAnsi="Arial" w:cs="Arial"/>
          <w:i/>
          <w:color w:val="000000"/>
          <w:sz w:val="20"/>
        </w:rPr>
        <w:t>Castro v. Chicago Housing Authority</w:t>
      </w:r>
      <w:r>
        <w:rPr>
          <w:rFonts w:ascii="Arial" w:eastAsia="Arial" w:hAnsi="Arial" w:cs="Arial"/>
          <w:color w:val="000000"/>
          <w:sz w:val="20"/>
        </w:rPr>
        <w:t xml:space="preserve">, 360 F.3d 721, 735 (7th Cir. 2004). </w:t>
      </w:r>
      <w:bookmarkStart w:id="1862" w:name="Bookmark_I5VDCGTJ2SF8CX0010000400_2"/>
      <w:bookmarkEnd w:id="1862"/>
      <w:r>
        <w:rPr>
          <w:rFonts w:ascii="Arial" w:eastAsia="Arial" w:hAnsi="Arial" w:cs="Arial"/>
          <w:color w:val="000000"/>
          <w:sz w:val="20"/>
        </w:rPr>
        <w:t>Rule 8(c) applies to "any avoidance or affirmative defense," and lists a number of particular defenses that must be pleaded. [**8]  The religious exemption in Title III of the ADA is an affirmative defense because it assumes the plaintiff can prove everything she must to establish her claim but may still act to defeat her claim.</w:t>
      </w:r>
      <w:r>
        <w:rPr>
          <w:rFonts w:ascii="Arial" w:eastAsia="Arial" w:hAnsi="Arial" w:cs="Arial"/>
          <w:vertAlign w:val="superscript"/>
        </w:rPr>
        <w:footnoteReference w:customMarkFollows="1" w:id="79"/>
        <w:t>1</w:t>
      </w:r>
    </w:p>
    <w:p w:rsidR="00E456CD" w:rsidRDefault="00000000">
      <w:pPr>
        <w:pStyle w:val="Normal9"/>
        <w:widowControl w:val="0"/>
        <w:spacing w:before="200" w:line="260" w:lineRule="atLeast"/>
        <w:jc w:val="both"/>
      </w:pPr>
      <w:bookmarkStart w:id="1867" w:name="Bookmark_para_14_6"/>
      <w:bookmarkEnd w:id="1867"/>
      <w:r>
        <w:rPr>
          <w:rFonts w:ascii="Arial" w:eastAsia="Arial" w:hAnsi="Arial" w:cs="Arial"/>
          <w:color w:val="000000"/>
          <w:sz w:val="20"/>
        </w:rPr>
        <w:t xml:space="preserve"> [*478]  </w:t>
      </w:r>
      <w:bookmarkStart w:id="1868" w:name="Bookmark_I14W2R5C5CD000745BJ000BM"/>
      <w:bookmarkStart w:id="1869" w:name="Bookmark_I5VDCGTJ2SF8CX0050000400"/>
      <w:bookmarkStart w:id="1870" w:name="Bookmark_LNHNREFclscc5_5"/>
      <w:bookmarkEnd w:id="1868"/>
      <w:bookmarkEnd w:id="1869"/>
      <w:bookmarkEnd w:id="1870"/>
      <w:r>
        <w:rPr>
          <w:rFonts w:ascii="Arial" w:eastAsia="Arial" w:hAnsi="Arial" w:cs="Arial"/>
          <w:color w:val="000000"/>
          <w:sz w:val="20"/>
        </w:rPr>
        <w:t xml:space="preserve">It makes sense for the defendant claiming the Title III religious exemption to bear the burden of pleading and proving its religious control. We have said that a defense not listed in Rule 8(c) is an affirmative defense that must be pleaded if the defendant bears the burden of proof on the issue under state law or if the defense does not controvert the plaintiff's proof. </w:t>
      </w:r>
      <w:bookmarkStart w:id="1871" w:name="Bookmark_I5VDCGTJ2SF8CX0040000400"/>
      <w:bookmarkEnd w:id="1871"/>
      <w:r>
        <w:rPr>
          <w:rFonts w:ascii="Arial" w:eastAsia="Arial" w:hAnsi="Arial" w:cs="Arial"/>
          <w:i/>
          <w:color w:val="000000"/>
          <w:sz w:val="20"/>
        </w:rPr>
        <w:t>Winforge, Inc. v. Coachmen Industries, Inc.</w:t>
      </w:r>
      <w:r>
        <w:rPr>
          <w:rFonts w:ascii="Arial" w:eastAsia="Arial" w:hAnsi="Arial" w:cs="Arial"/>
          <w:color w:val="000000"/>
          <w:sz w:val="20"/>
        </w:rPr>
        <w:t xml:space="preserve">, 691 F.3d 856, 872 (7th Cir. 2012). </w:t>
      </w:r>
      <w:bookmarkStart w:id="1872" w:name="Bookmark_I5VDCGTJ2HM6CD0020000400"/>
      <w:bookmarkEnd w:id="1872"/>
      <w:r>
        <w:rPr>
          <w:rFonts w:ascii="Arial" w:eastAsia="Arial" w:hAnsi="Arial" w:cs="Arial"/>
          <w:color w:val="000000"/>
          <w:sz w:val="20"/>
        </w:rPr>
        <w:t xml:space="preserve">The religious exemption defense does not controvert the plaintiff's proof. It also draws on facts ordinarily within the knowledge and control of the defendant. See </w:t>
      </w:r>
      <w:bookmarkStart w:id="1873" w:name="Bookmark_I5VDCGTJ2HM6CD0010000400"/>
      <w:bookmarkEnd w:id="1873"/>
      <w:r>
        <w:rPr>
          <w:rFonts w:ascii="Arial" w:eastAsia="Arial" w:hAnsi="Arial" w:cs="Arial"/>
          <w:i/>
          <w:color w:val="000000"/>
          <w:sz w:val="20"/>
        </w:rPr>
        <w:t>Gomez v. Toledo</w:t>
      </w:r>
      <w:r>
        <w:rPr>
          <w:rFonts w:ascii="Arial" w:eastAsia="Arial" w:hAnsi="Arial" w:cs="Arial"/>
          <w:color w:val="000000"/>
          <w:sz w:val="20"/>
        </w:rPr>
        <w:t>, 446 U.S. 635, 640-41, 100 S. Ct. 1920, 64 L. Ed. 2d 572 (1980) (qualified immunity is affirmative defense under 42 U.S.C. § 1983; relevant facts are peculiarly within knowledge and control of defendant); Wright &amp; Miller, Federal Practice &amp; Procedure § 1271. An ADA plaintiff should not need to spend the money to anticipate this defense without fair and timely notice that the defendant intends to rely upon it.</w:t>
      </w:r>
    </w:p>
    <w:p w:rsidR="00E456CD" w:rsidRDefault="00000000">
      <w:pPr>
        <w:pStyle w:val="Normal9"/>
        <w:widowControl w:val="0"/>
        <w:spacing w:before="120" w:line="260" w:lineRule="atLeast"/>
      </w:pPr>
      <w:r>
        <w:rPr>
          <w:rFonts w:ascii="Arial" w:eastAsia="Arial" w:hAnsi="Arial" w:cs="Arial"/>
          <w:color w:val="000000"/>
          <w:sz w:val="20"/>
        </w:rPr>
        <w:t xml:space="preserve">2. </w:t>
      </w:r>
      <w:r>
        <w:rPr>
          <w:rFonts w:ascii="Arial" w:eastAsia="Arial" w:hAnsi="Arial" w:cs="Arial"/>
          <w:i/>
          <w:color w:val="000000"/>
          <w:sz w:val="20"/>
        </w:rPr>
        <w:t>Consequences of Failure to Plead a Defense</w:t>
      </w:r>
    </w:p>
    <w:p w:rsidR="00E456CD" w:rsidRDefault="00000000">
      <w:pPr>
        <w:pStyle w:val="Normal9"/>
        <w:widowControl w:val="0"/>
        <w:spacing w:before="200" w:line="260" w:lineRule="atLeast"/>
        <w:jc w:val="both"/>
      </w:pPr>
      <w:bookmarkStart w:id="1874" w:name="Bookmark_para_15_6"/>
      <w:bookmarkStart w:id="1875" w:name="Bookmark_I14W2R5CBG8000745BJ000BN"/>
      <w:bookmarkStart w:id="1876" w:name="Bookmark_I5VDCGTJ2HM6CD0040000400"/>
      <w:bookmarkStart w:id="1877" w:name="Bookmark_I5VDCGTJ2D6N8K0010000400"/>
      <w:bookmarkStart w:id="1878" w:name="Bookmark_LNHNREFclscc6_5"/>
      <w:bookmarkEnd w:id="1874"/>
      <w:bookmarkEnd w:id="1875"/>
      <w:bookmarkEnd w:id="1876"/>
      <w:bookmarkEnd w:id="1877"/>
      <w:bookmarkEnd w:id="1878"/>
      <w:r>
        <w:rPr>
          <w:rFonts w:ascii="Arial" w:eastAsia="Arial" w:hAnsi="Arial" w:cs="Arial"/>
          <w:color w:val="000000"/>
          <w:sz w:val="20"/>
        </w:rPr>
        <w:t xml:space="preserve">A defendant's failure to plead an affirmative defense may result in a waiver of the defense if the [**9]  defendant has relinquished it knowingly and intelligently, or forfeiture if the defendant merely failed to preserve the defense by pleading it. See </w:t>
      </w:r>
      <w:bookmarkStart w:id="1879" w:name="Bookmark_I5VDCGTJ2HM6CD0030000400"/>
      <w:bookmarkEnd w:id="1879"/>
      <w:r>
        <w:rPr>
          <w:rFonts w:ascii="Arial" w:eastAsia="Arial" w:hAnsi="Arial" w:cs="Arial"/>
          <w:i/>
          <w:color w:val="000000"/>
          <w:sz w:val="20"/>
        </w:rPr>
        <w:t>Wood v. Milyard</w:t>
      </w:r>
      <w:r>
        <w:rPr>
          <w:rFonts w:ascii="Arial" w:eastAsia="Arial" w:hAnsi="Arial" w:cs="Arial"/>
          <w:color w:val="000000"/>
          <w:sz w:val="20"/>
        </w:rPr>
        <w:t xml:space="preserve">, 566 U.S. 463, 470, 132 S. Ct. 1826, 182 L. Ed. 2d 733 &amp; n.4 (2012). Some of our opinions use the terms waiver and forfeiture interchangeably, but </w:t>
      </w:r>
      <w:r>
        <w:rPr>
          <w:rFonts w:ascii="Arial" w:eastAsia="Arial" w:hAnsi="Arial" w:cs="Arial"/>
          <w:i/>
          <w:color w:val="000000"/>
          <w:sz w:val="20"/>
        </w:rPr>
        <w:t>Wood</w:t>
      </w:r>
      <w:r>
        <w:rPr>
          <w:rFonts w:ascii="Arial" w:eastAsia="Arial" w:hAnsi="Arial" w:cs="Arial"/>
          <w:color w:val="000000"/>
          <w:sz w:val="20"/>
        </w:rPr>
        <w:t xml:space="preserve"> shows that we need to pay attention to the difference. Whether courts apply waiver or forfeiture in response to a failure to plead, the purpose of the pleading requirement for an affirmative defense "is to avoid surprise and undue prejudice to the plaintiff by providing her notice and the opportunity to demonstrate why the defense should not prevail." </w:t>
      </w:r>
      <w:bookmarkStart w:id="1880" w:name="Bookmark_I5VDCGTJ2HM6CD0050000400"/>
      <w:bookmarkEnd w:id="1880"/>
      <w:r>
        <w:rPr>
          <w:rFonts w:ascii="Arial" w:eastAsia="Arial" w:hAnsi="Arial" w:cs="Arial"/>
          <w:i/>
          <w:color w:val="000000"/>
          <w:sz w:val="20"/>
        </w:rPr>
        <w:t>Venters v. City of Delphi</w:t>
      </w:r>
      <w:r>
        <w:rPr>
          <w:rFonts w:ascii="Arial" w:eastAsia="Arial" w:hAnsi="Arial" w:cs="Arial"/>
          <w:color w:val="000000"/>
          <w:sz w:val="20"/>
        </w:rPr>
        <w:t>, 123 F.3d 956, 967 (7th Cir. 1997).</w:t>
      </w:r>
    </w:p>
    <w:p w:rsidR="00E456CD" w:rsidRDefault="00000000">
      <w:pPr>
        <w:pStyle w:val="Normal9"/>
        <w:widowControl w:val="0"/>
        <w:spacing w:before="200" w:line="260" w:lineRule="atLeast"/>
        <w:jc w:val="both"/>
      </w:pPr>
      <w:bookmarkStart w:id="1881" w:name="Bookmark_para_16_6"/>
      <w:bookmarkStart w:id="1882" w:name="Bookmark_I5VDCGTJ2D6N8K0030000400"/>
      <w:bookmarkEnd w:id="1881"/>
      <w:bookmarkEnd w:id="1882"/>
      <w:r>
        <w:rPr>
          <w:rFonts w:ascii="Arial" w:eastAsia="Arial" w:hAnsi="Arial" w:cs="Arial"/>
          <w:color w:val="000000"/>
          <w:sz w:val="20"/>
        </w:rPr>
        <w:t xml:space="preserve">We have explained, however, that </w:t>
      </w:r>
      <w:bookmarkStart w:id="1883" w:name="Bookmark_LNHNREFclscc7_5"/>
      <w:bookmarkEnd w:id="1883"/>
      <w:r>
        <w:rPr>
          <w:rFonts w:ascii="Arial" w:eastAsia="Arial" w:hAnsi="Arial" w:cs="Arial"/>
          <w:color w:val="000000"/>
          <w:sz w:val="20"/>
        </w:rPr>
        <w:t xml:space="preserve">"the rule that forfeits an affirmative defense not pleaded in the answer (or by an earlier motion) is, we want to make clear, not to be applied rigidly." </w:t>
      </w:r>
      <w:bookmarkStart w:id="1884" w:name="Bookmark_I5VDCGTJ2D6N8K0020000400"/>
      <w:bookmarkEnd w:id="1884"/>
      <w:r>
        <w:rPr>
          <w:rFonts w:ascii="Arial" w:eastAsia="Arial" w:hAnsi="Arial" w:cs="Arial"/>
          <w:i/>
          <w:color w:val="000000"/>
          <w:sz w:val="20"/>
        </w:rPr>
        <w:t>Garofalo v. Village of Hazel Crest</w:t>
      </w:r>
      <w:r>
        <w:rPr>
          <w:rFonts w:ascii="Arial" w:eastAsia="Arial" w:hAnsi="Arial" w:cs="Arial"/>
          <w:color w:val="000000"/>
          <w:sz w:val="20"/>
        </w:rPr>
        <w:t xml:space="preserve">, 754 F.3d 428, 436 (7th Cir. 2014), citing </w:t>
      </w:r>
      <w:bookmarkStart w:id="1885" w:name="Bookmark_I5VDCGTJ2D6N8K0040000400"/>
      <w:bookmarkEnd w:id="1885"/>
      <w:r>
        <w:rPr>
          <w:rFonts w:ascii="Arial" w:eastAsia="Arial" w:hAnsi="Arial" w:cs="Arial"/>
          <w:i/>
          <w:color w:val="000000"/>
          <w:sz w:val="20"/>
        </w:rPr>
        <w:t>Matthews v. Wisconsin Energy Corp., Inc.</w:t>
      </w:r>
      <w:r>
        <w:rPr>
          <w:rFonts w:ascii="Arial" w:eastAsia="Arial" w:hAnsi="Arial" w:cs="Arial"/>
          <w:color w:val="000000"/>
          <w:sz w:val="20"/>
        </w:rPr>
        <w:t xml:space="preserve">, 642 F.3d 565, 570 (7th Cir. 2011). We will generally find that the failure to plead an affirmative defense in the answer works a forfeiture "only if the plaintiff is harmed by the defendant's delay in asserting it." </w:t>
      </w:r>
      <w:r>
        <w:rPr>
          <w:rFonts w:ascii="Arial" w:eastAsia="Arial" w:hAnsi="Arial" w:cs="Arial"/>
          <w:i/>
          <w:color w:val="000000"/>
          <w:sz w:val="20"/>
        </w:rPr>
        <w:t>Id.</w:t>
      </w:r>
      <w:r>
        <w:rPr>
          <w:rFonts w:ascii="Arial" w:eastAsia="Arial" w:hAnsi="Arial" w:cs="Arial"/>
          <w:color w:val="000000"/>
          <w:sz w:val="20"/>
        </w:rPr>
        <w:t xml:space="preserve"> There are limits, though, and in exercising their discretion in such matters, district courts must be alert to the real and practical harms that can result from failures to plead. We have explained that</w:t>
      </w:r>
    </w:p>
    <w:p w:rsidR="00E456CD" w:rsidRDefault="00000000">
      <w:pPr>
        <w:pStyle w:val="Normal9"/>
        <w:widowControl w:val="0"/>
        <w:spacing w:before="200" w:line="260" w:lineRule="atLeast"/>
        <w:ind w:left="400"/>
        <w:jc w:val="both"/>
      </w:pPr>
      <w:bookmarkStart w:id="1886" w:name="Bookmark_para_17_5"/>
      <w:bookmarkEnd w:id="1886"/>
      <w:r>
        <w:rPr>
          <w:rFonts w:ascii="Arial" w:eastAsia="Arial" w:hAnsi="Arial" w:cs="Arial"/>
          <w:color w:val="000000"/>
          <w:sz w:val="20"/>
        </w:rPr>
        <w:t xml:space="preserve">the district court has the [**10]  discretion to allow an answer to be amended to assert an affirmative defense not raised at the outset. The pertinence of a particular defense may only become apparent after discovery, for example, in which case it would be reasonable for the court to permit the belated assertion of that defense. Nonetheless, the defendant remains obligated to act in timely fashion. Once the availability of an affirmative defense is reasonably apparent, the defendant must alert the parties and the court to his intent to pursue that defense. A defendant should not be permitted to "lie behind a log" and ambush a plaintiff with an unexpected defense. </w:t>
      </w:r>
      <w:bookmarkStart w:id="1887" w:name="Bookmark_I5VDCGTJ2D6N8M0020000400"/>
      <w:bookmarkEnd w:id="1887"/>
      <w:r>
        <w:rPr>
          <w:rFonts w:ascii="Arial" w:eastAsia="Arial" w:hAnsi="Arial" w:cs="Arial"/>
          <w:color w:val="000000"/>
          <w:sz w:val="20"/>
        </w:rPr>
        <w:t>The appropriate thing for the defendant to do, of course, is to promptly seek the court's leave to amend his answer. His failure to do [so] risks a finding that he has waived the defense.</w:t>
      </w:r>
    </w:p>
    <w:p w:rsidR="00E456CD" w:rsidRDefault="00000000">
      <w:pPr>
        <w:pStyle w:val="Normal9"/>
        <w:widowControl w:val="0"/>
        <w:spacing w:before="200" w:line="260" w:lineRule="atLeast"/>
        <w:jc w:val="both"/>
      </w:pPr>
      <w:r>
        <w:rPr>
          <w:rFonts w:ascii="Arial" w:eastAsia="Arial" w:hAnsi="Arial" w:cs="Arial"/>
          <w:color w:val="000000"/>
          <w:sz w:val="20"/>
        </w:rPr>
        <w:t xml:space="preserve"> [*479]  </w:t>
      </w:r>
      <w:bookmarkStart w:id="1888" w:name="Bookmark_I5VDCGTJ2D6N8M0020000400_2"/>
      <w:bookmarkStart w:id="1889" w:name="Bookmark_I5VDCGTJ2D6N8M0010000400"/>
      <w:bookmarkEnd w:id="1888"/>
      <w:bookmarkEnd w:id="1889"/>
      <w:r>
        <w:rPr>
          <w:rFonts w:ascii="Arial" w:eastAsia="Arial" w:hAnsi="Arial" w:cs="Arial"/>
          <w:i/>
          <w:color w:val="000000"/>
          <w:sz w:val="20"/>
        </w:rPr>
        <w:t>Venters</w:t>
      </w:r>
      <w:r>
        <w:rPr>
          <w:rFonts w:ascii="Arial" w:eastAsia="Arial" w:hAnsi="Arial" w:cs="Arial"/>
          <w:color w:val="000000"/>
          <w:sz w:val="20"/>
        </w:rPr>
        <w:t>, 123 F.3d at 967-68 (internal citations and quotation marks omitted).</w:t>
      </w:r>
    </w:p>
    <w:p w:rsidR="00E456CD" w:rsidRDefault="00000000">
      <w:pPr>
        <w:pStyle w:val="Normal9"/>
        <w:widowControl w:val="0"/>
        <w:spacing w:before="200" w:line="260" w:lineRule="atLeast"/>
        <w:jc w:val="both"/>
      </w:pPr>
      <w:bookmarkStart w:id="1890" w:name="Bookmark_para_18_5"/>
      <w:bookmarkStart w:id="1891" w:name="Bookmark_LNHNREFclscc8_5"/>
      <w:bookmarkEnd w:id="1890"/>
      <w:bookmarkEnd w:id="1891"/>
      <w:r>
        <w:rPr>
          <w:rFonts w:ascii="Arial" w:eastAsia="Arial" w:hAnsi="Arial" w:cs="Arial"/>
          <w:color w:val="000000"/>
          <w:sz w:val="20"/>
        </w:rPr>
        <w:t>Pleadings shape the litigation, including the scope and cost of discovery. Based on the claims and defenses raised in the pleadings, the parties can discover information that is relevant, not privileged, and proportional to the needs of the case. See Fed. R. Civ. P. 26. Many efficiencies are lost when claims or defenses are left out of pleadings [**11]  and a party then attempts to assert them at later stages. At the same time, it is not unusual for parties to discover new theories for claims or defenses in the course of discovery. Timely motions to amend pleadings for such newly discovered theories are appropriate under Federal Rule of Civil Procedure 15(a).</w:t>
      </w:r>
    </w:p>
    <w:p w:rsidR="00E456CD" w:rsidRDefault="00000000">
      <w:pPr>
        <w:pStyle w:val="Normal9"/>
        <w:widowControl w:val="0"/>
        <w:spacing w:before="200" w:line="260" w:lineRule="atLeast"/>
        <w:jc w:val="both"/>
      </w:pPr>
      <w:bookmarkStart w:id="1892" w:name="Bookmark_para_19_5"/>
      <w:bookmarkEnd w:id="1892"/>
      <w:r>
        <w:rPr>
          <w:rFonts w:ascii="Arial" w:eastAsia="Arial" w:hAnsi="Arial" w:cs="Arial"/>
          <w:color w:val="000000"/>
          <w:sz w:val="20"/>
        </w:rPr>
        <w:t>We see these problems more often when plaintiffs try to raise new theories or claims for the first time in opposing summary judgment. The concerns about unfair surprise and prejudice with unpleaded affirmative defenses are similar:</w:t>
      </w:r>
    </w:p>
    <w:p w:rsidR="00E456CD" w:rsidRDefault="00000000">
      <w:pPr>
        <w:pStyle w:val="Normal9"/>
        <w:widowControl w:val="0"/>
        <w:spacing w:before="200" w:line="260" w:lineRule="atLeast"/>
        <w:ind w:left="400"/>
        <w:jc w:val="both"/>
      </w:pPr>
      <w:bookmarkStart w:id="1893" w:name="Bookmark_para_20_5"/>
      <w:bookmarkStart w:id="1894" w:name="Bookmark_LNHNREFclscc9_4"/>
      <w:bookmarkEnd w:id="1893"/>
      <w:bookmarkEnd w:id="1894"/>
      <w:r>
        <w:rPr>
          <w:rFonts w:ascii="Arial" w:eastAsia="Arial" w:hAnsi="Arial" w:cs="Arial"/>
          <w:color w:val="000000"/>
          <w:sz w:val="20"/>
        </w:rPr>
        <w:t xml:space="preserve">When a new argument is made in summary judgment briefing, the correct first step is to consider whether it changes the complaint's factual theory, or just the legal theories [the] plaintiff has pursued so far. In the former situation, the plaintiff may be attempting in effect to amend its complaint, and the district court has discretion to deny the </w:t>
      </w:r>
      <w:r>
        <w:rPr>
          <w:rFonts w:ascii="Arial" w:eastAsia="Arial" w:hAnsi="Arial" w:cs="Arial"/>
          <w:i/>
          <w:color w:val="000000"/>
          <w:sz w:val="20"/>
        </w:rPr>
        <w:t>de facto</w:t>
      </w:r>
      <w:r>
        <w:rPr>
          <w:rFonts w:ascii="Arial" w:eastAsia="Arial" w:hAnsi="Arial" w:cs="Arial"/>
          <w:color w:val="000000"/>
          <w:sz w:val="20"/>
        </w:rPr>
        <w:t xml:space="preserve"> amendment and to refuse to consider the new factual claims. </w:t>
      </w:r>
      <w:bookmarkStart w:id="1895" w:name="Bookmark_I0596DTBX2800002S0X003VG"/>
      <w:bookmarkStart w:id="1896" w:name="Bookmark_I0596DTC11S00002S0X003VJ"/>
      <w:bookmarkStart w:id="1897" w:name="Bookmark_I5VDCGTJ2D6N8M0040000400"/>
      <w:bookmarkEnd w:id="1895"/>
      <w:bookmarkEnd w:id="1896"/>
      <w:bookmarkEnd w:id="1897"/>
      <w:r>
        <w:rPr>
          <w:rFonts w:ascii="Arial" w:eastAsia="Arial" w:hAnsi="Arial" w:cs="Arial"/>
          <w:color w:val="000000"/>
          <w:sz w:val="20"/>
        </w:rPr>
        <w:t>In the latter, the court should consider the consequences of allowing the plaintiff's new theory. If it would, for example, cause unreasonable delay, or make it more costly or difficult to defend the suit, the district court can and should hold the plaintiff to his original [**12]  theory.</w:t>
      </w:r>
    </w:p>
    <w:p w:rsidR="00E456CD" w:rsidRDefault="00000000">
      <w:pPr>
        <w:pStyle w:val="Normal9"/>
        <w:widowControl w:val="0"/>
        <w:spacing w:before="200" w:line="260" w:lineRule="atLeast"/>
        <w:jc w:val="both"/>
      </w:pPr>
      <w:bookmarkStart w:id="1898" w:name="Bookmark_I14W2R5CHK4000745BJ000BP"/>
      <w:bookmarkStart w:id="1899" w:name="Bookmark_I14W2R5CWSV000745BJ000BS"/>
      <w:bookmarkStart w:id="1900" w:name="Bookmark_I5VDCGTJ2D6N8M0040000400_2"/>
      <w:bookmarkStart w:id="1901" w:name="Bookmark_I5VDCGTJ2D6N8M0030000400"/>
      <w:bookmarkEnd w:id="1898"/>
      <w:bookmarkEnd w:id="1899"/>
      <w:bookmarkEnd w:id="1900"/>
      <w:bookmarkEnd w:id="1901"/>
      <w:r>
        <w:rPr>
          <w:rFonts w:ascii="Arial" w:eastAsia="Arial" w:hAnsi="Arial" w:cs="Arial"/>
          <w:i/>
          <w:color w:val="000000"/>
          <w:sz w:val="20"/>
        </w:rPr>
        <w:t>BRC Rubber &amp; Plastics, Inc. v. Cont'l Carbon Co.</w:t>
      </w:r>
      <w:r>
        <w:rPr>
          <w:rFonts w:ascii="Arial" w:eastAsia="Arial" w:hAnsi="Arial" w:cs="Arial"/>
          <w:color w:val="000000"/>
          <w:sz w:val="20"/>
        </w:rPr>
        <w:t xml:space="preserve">, 900 F.3d 529, 540 (7th Cir. 2018) (citations and internal quotation marks omitted), quoting </w:t>
      </w:r>
      <w:bookmarkStart w:id="1902" w:name="Bookmark_I5VDCGTJ2D6N8M0050000400"/>
      <w:bookmarkEnd w:id="1902"/>
      <w:r>
        <w:rPr>
          <w:rFonts w:ascii="Arial" w:eastAsia="Arial" w:hAnsi="Arial" w:cs="Arial"/>
          <w:i/>
          <w:color w:val="000000"/>
          <w:sz w:val="20"/>
        </w:rPr>
        <w:t>Chessie Logistics Co. v. Krinos Holdings, Inc.</w:t>
      </w:r>
      <w:r>
        <w:rPr>
          <w:rFonts w:ascii="Arial" w:eastAsia="Arial" w:hAnsi="Arial" w:cs="Arial"/>
          <w:color w:val="000000"/>
          <w:sz w:val="20"/>
        </w:rPr>
        <w:t>, 867 F.3d 852, 860 (7th Cir. 2017).</w:t>
      </w:r>
    </w:p>
    <w:p w:rsidR="00E456CD" w:rsidRDefault="00000000">
      <w:pPr>
        <w:pStyle w:val="Normal9"/>
        <w:widowControl w:val="0"/>
        <w:spacing w:before="200" w:line="260" w:lineRule="atLeast"/>
        <w:jc w:val="both"/>
      </w:pPr>
      <w:bookmarkStart w:id="1903" w:name="Bookmark_para_21_5"/>
      <w:bookmarkStart w:id="1904" w:name="Bookmark_I14W2R5D80J000745BJ000BV"/>
      <w:bookmarkStart w:id="1905" w:name="Bookmark_I14W2R5FGDV000745BJ000C3"/>
      <w:bookmarkStart w:id="1906" w:name="Bookmark_I14W2R5FNHP000745BJ000C4"/>
      <w:bookmarkStart w:id="1907" w:name="Bookmark_I14W2R5FVMJ000745BJ000C5"/>
      <w:bookmarkStart w:id="1908" w:name="Bookmark_I14W2R5F474000745BJ000C1"/>
      <w:bookmarkStart w:id="1909" w:name="Bookmark_I14W2R5DF3D000745BJ000BW"/>
      <w:bookmarkStart w:id="1910" w:name="Bookmark_I14W2R5DM68000745BJ000BX"/>
      <w:bookmarkStart w:id="1911" w:name="Bookmark_I14W2R5DY48000745BJ000C0"/>
      <w:bookmarkStart w:id="1912" w:name="Bookmark_I14W2R5DT94000745BJ000BY"/>
      <w:bookmarkStart w:id="1913" w:name="Bookmark_I14W2R5F9B0000745BJ000C2"/>
      <w:bookmarkStart w:id="1914" w:name="Bookmark_I5VDCGTJ28T4250030000400"/>
      <w:bookmarkEnd w:id="1903"/>
      <w:bookmarkEnd w:id="1904"/>
      <w:bookmarkEnd w:id="1905"/>
      <w:bookmarkEnd w:id="1906"/>
      <w:bookmarkEnd w:id="1907"/>
      <w:bookmarkEnd w:id="1908"/>
      <w:bookmarkEnd w:id="1909"/>
      <w:bookmarkEnd w:id="1910"/>
      <w:bookmarkEnd w:id="1911"/>
      <w:bookmarkEnd w:id="1912"/>
      <w:bookmarkEnd w:id="1913"/>
      <w:bookmarkEnd w:id="1914"/>
      <w:r>
        <w:rPr>
          <w:rFonts w:ascii="Arial" w:eastAsia="Arial" w:hAnsi="Arial" w:cs="Arial"/>
          <w:color w:val="000000"/>
          <w:sz w:val="20"/>
        </w:rPr>
        <w:t xml:space="preserve">We routinely enforce this stricture against plaintiffs who wait until summary-judgment briefing to raise a new claim, despite the absence of an express pleading requirement, since complaints need not identify legal theories. See, e.g., </w:t>
      </w:r>
      <w:bookmarkStart w:id="1915" w:name="Bookmark_I5VDCGTJ28T4250020000400"/>
      <w:bookmarkEnd w:id="1915"/>
      <w:r>
        <w:rPr>
          <w:rFonts w:ascii="Arial" w:eastAsia="Arial" w:hAnsi="Arial" w:cs="Arial"/>
          <w:i/>
          <w:color w:val="000000"/>
          <w:sz w:val="20"/>
        </w:rPr>
        <w:t>Anderson v. Donahoe</w:t>
      </w:r>
      <w:r>
        <w:rPr>
          <w:rFonts w:ascii="Arial" w:eastAsia="Arial" w:hAnsi="Arial" w:cs="Arial"/>
          <w:color w:val="000000"/>
          <w:sz w:val="20"/>
        </w:rPr>
        <w:t>, 699 F.3d 989, 997 (7th Cir. 2012) (</w:t>
      </w:r>
      <w:r>
        <w:rPr>
          <w:rFonts w:ascii="Arial" w:eastAsia="Arial" w:hAnsi="Arial" w:cs="Arial"/>
          <w:i/>
          <w:color w:val="000000"/>
          <w:sz w:val="20"/>
        </w:rPr>
        <w:t>pro se</w:t>
      </w:r>
      <w:r>
        <w:rPr>
          <w:rFonts w:ascii="Arial" w:eastAsia="Arial" w:hAnsi="Arial" w:cs="Arial"/>
          <w:color w:val="000000"/>
          <w:sz w:val="20"/>
        </w:rPr>
        <w:t xml:space="preserve"> plaintiff); </w:t>
      </w:r>
      <w:bookmarkStart w:id="1916" w:name="Bookmark_I5VDCGTJ28T4250040000400"/>
      <w:bookmarkEnd w:id="1916"/>
      <w:r>
        <w:rPr>
          <w:rFonts w:ascii="Arial" w:eastAsia="Arial" w:hAnsi="Arial" w:cs="Arial"/>
          <w:i/>
          <w:color w:val="000000"/>
          <w:sz w:val="20"/>
        </w:rPr>
        <w:t>Whitaker v. Milwaukee County</w:t>
      </w:r>
      <w:r>
        <w:rPr>
          <w:rFonts w:ascii="Arial" w:eastAsia="Arial" w:hAnsi="Arial" w:cs="Arial"/>
          <w:color w:val="000000"/>
          <w:sz w:val="20"/>
        </w:rPr>
        <w:t xml:space="preserve">, 772 F.3d 802, 808 (7th Cir. 2014); </w:t>
      </w:r>
      <w:bookmarkStart w:id="1917" w:name="Bookmark_I5VDCGTJ28T4260010000400"/>
      <w:bookmarkEnd w:id="1917"/>
      <w:r>
        <w:rPr>
          <w:rFonts w:ascii="Arial" w:eastAsia="Arial" w:hAnsi="Arial" w:cs="Arial"/>
          <w:i/>
          <w:color w:val="000000"/>
          <w:sz w:val="20"/>
        </w:rPr>
        <w:t>Trade Finance Partners, LLC v. AAR Corp.</w:t>
      </w:r>
      <w:r>
        <w:rPr>
          <w:rFonts w:ascii="Arial" w:eastAsia="Arial" w:hAnsi="Arial" w:cs="Arial"/>
          <w:color w:val="000000"/>
          <w:sz w:val="20"/>
        </w:rPr>
        <w:t xml:space="preserve">, 573 F.3d 401, 412 (7th Cir. 2009); </w:t>
      </w:r>
      <w:bookmarkStart w:id="1918" w:name="Bookmark_I5VDCGTJ28T4260030000400"/>
      <w:bookmarkEnd w:id="1918"/>
      <w:r>
        <w:rPr>
          <w:rFonts w:ascii="Arial" w:eastAsia="Arial" w:hAnsi="Arial" w:cs="Arial"/>
          <w:i/>
          <w:color w:val="000000"/>
          <w:sz w:val="20"/>
        </w:rPr>
        <w:t>Conner v. Illinois Dep't of Natural Resources</w:t>
      </w:r>
      <w:r>
        <w:rPr>
          <w:rFonts w:ascii="Arial" w:eastAsia="Arial" w:hAnsi="Arial" w:cs="Arial"/>
          <w:color w:val="000000"/>
          <w:sz w:val="20"/>
        </w:rPr>
        <w:t xml:space="preserve">, 413 F.3d 675, 679-80 (7th Cir. 2005); </w:t>
      </w:r>
      <w:bookmarkStart w:id="1919" w:name="Bookmark_I5VDCGTJ28T4260050000400"/>
      <w:bookmarkEnd w:id="1919"/>
      <w:r>
        <w:rPr>
          <w:rFonts w:ascii="Arial" w:eastAsia="Arial" w:hAnsi="Arial" w:cs="Arial"/>
          <w:i/>
          <w:color w:val="000000"/>
          <w:sz w:val="20"/>
        </w:rPr>
        <w:t>Griffin v. Potter</w:t>
      </w:r>
      <w:r>
        <w:rPr>
          <w:rFonts w:ascii="Arial" w:eastAsia="Arial" w:hAnsi="Arial" w:cs="Arial"/>
          <w:color w:val="000000"/>
          <w:sz w:val="20"/>
        </w:rPr>
        <w:t xml:space="preserve">, 356 F.3d 824, 830 (7th Cir. 2004); </w:t>
      </w:r>
      <w:bookmarkStart w:id="1920" w:name="Bookmark_I5VDCGTJ2N1R240020000400"/>
      <w:bookmarkEnd w:id="1920"/>
      <w:r>
        <w:rPr>
          <w:rFonts w:ascii="Arial" w:eastAsia="Arial" w:hAnsi="Arial" w:cs="Arial"/>
          <w:i/>
          <w:color w:val="000000"/>
          <w:sz w:val="20"/>
        </w:rPr>
        <w:t>Grayson v. O'Neill</w:t>
      </w:r>
      <w:r>
        <w:rPr>
          <w:rFonts w:ascii="Arial" w:eastAsia="Arial" w:hAnsi="Arial" w:cs="Arial"/>
          <w:color w:val="000000"/>
          <w:sz w:val="20"/>
        </w:rPr>
        <w:t xml:space="preserve">, 308 F.3d 808, 817 (7th Cir. 2002); </w:t>
      </w:r>
      <w:bookmarkStart w:id="1921" w:name="Bookmark_I5VDCGTJ2N1R240040000400"/>
      <w:bookmarkEnd w:id="1921"/>
      <w:r>
        <w:rPr>
          <w:rFonts w:ascii="Arial" w:eastAsia="Arial" w:hAnsi="Arial" w:cs="Arial"/>
          <w:i/>
          <w:color w:val="000000"/>
          <w:sz w:val="20"/>
        </w:rPr>
        <w:t>Whitaker v. T.J. Snow Co.</w:t>
      </w:r>
      <w:r>
        <w:rPr>
          <w:rFonts w:ascii="Arial" w:eastAsia="Arial" w:hAnsi="Arial" w:cs="Arial"/>
          <w:color w:val="000000"/>
          <w:sz w:val="20"/>
        </w:rPr>
        <w:t xml:space="preserve">, 151 F.3d 661, 663-64 (7th Cir. 1998); </w:t>
      </w:r>
      <w:bookmarkStart w:id="1922" w:name="Bookmark_I5VDCGTJ2N1R250010000400"/>
      <w:bookmarkEnd w:id="1922"/>
      <w:r>
        <w:rPr>
          <w:rFonts w:ascii="Arial" w:eastAsia="Arial" w:hAnsi="Arial" w:cs="Arial"/>
          <w:i/>
          <w:color w:val="000000"/>
          <w:sz w:val="20"/>
        </w:rPr>
        <w:t>Auston v. Schubnell</w:t>
      </w:r>
      <w:r>
        <w:rPr>
          <w:rFonts w:ascii="Arial" w:eastAsia="Arial" w:hAnsi="Arial" w:cs="Arial"/>
          <w:color w:val="000000"/>
          <w:sz w:val="20"/>
        </w:rPr>
        <w:t xml:space="preserve">, 116 F.3d 251, 255 (7th Cir. 1997); </w:t>
      </w:r>
      <w:bookmarkStart w:id="1923" w:name="Bookmark_I5VDCGTJ2N1R250030000400"/>
      <w:bookmarkEnd w:id="1923"/>
      <w:r>
        <w:rPr>
          <w:rFonts w:ascii="Arial" w:eastAsia="Arial" w:hAnsi="Arial" w:cs="Arial"/>
          <w:i/>
          <w:color w:val="000000"/>
          <w:sz w:val="20"/>
        </w:rPr>
        <w:t>Shanahan v. City of Chicago</w:t>
      </w:r>
      <w:r>
        <w:rPr>
          <w:rFonts w:ascii="Arial" w:eastAsia="Arial" w:hAnsi="Arial" w:cs="Arial"/>
          <w:color w:val="000000"/>
          <w:sz w:val="20"/>
        </w:rPr>
        <w:t xml:space="preserve">, 82 F.3d 776, 781 (7th Cir. 1996); </w:t>
      </w:r>
      <w:bookmarkStart w:id="1924" w:name="Bookmark_I5VDCGTJ2N1R250050000400"/>
      <w:bookmarkEnd w:id="1924"/>
      <w:r>
        <w:rPr>
          <w:rFonts w:ascii="Arial" w:eastAsia="Arial" w:hAnsi="Arial" w:cs="Arial"/>
          <w:i/>
          <w:color w:val="000000"/>
          <w:sz w:val="20"/>
        </w:rPr>
        <w:t>Kostovetsky v. Ambit Energy Holdings, LLC</w:t>
      </w:r>
      <w:r>
        <w:rPr>
          <w:rFonts w:ascii="Arial" w:eastAsia="Arial" w:hAnsi="Arial" w:cs="Arial"/>
          <w:color w:val="000000"/>
          <w:sz w:val="20"/>
        </w:rPr>
        <w:t>, 242 F. Supp. 3d 708, 718-19 (N.D. Ill. 2017) (reviewing Seventh Circuit case law). In much the same way, late assertions of affirmative defenses—like the religious exemption to Title III of the ADA—make litigation more costly and difficult and can make it unfairly difficult for a plaintiff to pursue her claims.</w:t>
      </w:r>
    </w:p>
    <w:p w:rsidR="00E456CD" w:rsidRDefault="00000000">
      <w:pPr>
        <w:pStyle w:val="Normal9"/>
        <w:widowControl w:val="0"/>
        <w:spacing w:before="120" w:line="260" w:lineRule="atLeast"/>
      </w:pPr>
      <w:r>
        <w:rPr>
          <w:rFonts w:ascii="Arial" w:eastAsia="Arial" w:hAnsi="Arial" w:cs="Arial"/>
          <w:color w:val="000000"/>
          <w:sz w:val="20"/>
        </w:rPr>
        <w:t xml:space="preserve">3. </w:t>
      </w:r>
      <w:r>
        <w:rPr>
          <w:rFonts w:ascii="Arial" w:eastAsia="Arial" w:hAnsi="Arial" w:cs="Arial"/>
          <w:i/>
          <w:color w:val="000000"/>
          <w:sz w:val="20"/>
        </w:rPr>
        <w:t>The District Court's Ruling</w:t>
      </w:r>
    </w:p>
    <w:p w:rsidR="00E456CD" w:rsidRDefault="00000000">
      <w:pPr>
        <w:pStyle w:val="Normal9"/>
        <w:widowControl w:val="0"/>
        <w:spacing w:before="200" w:line="260" w:lineRule="atLeast"/>
        <w:jc w:val="both"/>
      </w:pPr>
      <w:bookmarkStart w:id="1925" w:name="Bookmark_para_22_5"/>
      <w:bookmarkStart w:id="1926" w:name="Bookmark_I5VDCGTJ2SF8CY0030000400"/>
      <w:bookmarkEnd w:id="1925"/>
      <w:bookmarkEnd w:id="1926"/>
      <w:r>
        <w:rPr>
          <w:rFonts w:ascii="Arial" w:eastAsia="Arial" w:hAnsi="Arial" w:cs="Arial"/>
          <w:color w:val="000000"/>
          <w:sz w:val="20"/>
        </w:rPr>
        <w:t xml:space="preserve">The district court held that the hospital did not waive or forfeit its religious exemption affirmative defense. </w:t>
      </w:r>
      <w:bookmarkStart w:id="1927" w:name="Bookmark_I14W2R5G1RD000745BJ000C6"/>
      <w:bookmarkStart w:id="1928" w:name="Bookmark_I14W2R5H32V000745BJ000CD"/>
      <w:bookmarkStart w:id="1929" w:name="Bookmark_I14W2R5GPW4000745BJ000CB"/>
      <w:bookmarkStart w:id="1930" w:name="Bookmark_I14W2R5GCY4000745BJ000C8"/>
      <w:bookmarkStart w:id="1931" w:name="Bookmark_I5VDCGTJ2SF8CY0050000400"/>
      <w:bookmarkEnd w:id="1927"/>
      <w:bookmarkEnd w:id="1928"/>
      <w:bookmarkEnd w:id="1929"/>
      <w:bookmarkEnd w:id="1930"/>
      <w:bookmarkEnd w:id="1931"/>
      <w:r>
        <w:rPr>
          <w:rFonts w:ascii="Arial" w:eastAsia="Arial" w:hAnsi="Arial" w:cs="Arial"/>
          <w:color w:val="000000"/>
          <w:sz w:val="20"/>
        </w:rPr>
        <w:t xml:space="preserve">The court acknowledged that the hospital raised the defense for the first time in its motion for summary judgment but explained that since this defense is not expressly listed in Federal Rule of Civil Procedure 8(c), "it is not clear that failure to assert it in the answer waives it." </w:t>
      </w:r>
      <w:bookmarkStart w:id="1932" w:name="Bookmark_I5VDCGTJ2SF8CY0020000400"/>
      <w:bookmarkEnd w:id="1932"/>
      <w:r>
        <w:rPr>
          <w:rFonts w:ascii="Arial" w:eastAsia="Arial" w:hAnsi="Arial" w:cs="Arial"/>
          <w:color w:val="000000"/>
          <w:sz w:val="20"/>
        </w:rPr>
        <w:t xml:space="preserve">236 F. Supp. 3d at 1101. That rationale will not hold water here. </w:t>
      </w:r>
      <w:bookmarkStart w:id="1933" w:name="Bookmark_LNHNREFclscc10_4"/>
      <w:bookmarkEnd w:id="1933"/>
      <w:r>
        <w:rPr>
          <w:rFonts w:ascii="Arial" w:eastAsia="Arial" w:hAnsi="Arial" w:cs="Arial"/>
          <w:color w:val="000000"/>
          <w:sz w:val="20"/>
        </w:rPr>
        <w:t xml:space="preserve">Precedent offers sufficiently clear guidance on when defenses not enumerated in  [*480]  Rule 8(c) must be pleaded. </w:t>
      </w:r>
      <w:bookmarkStart w:id="1934" w:name="Bookmark_I5VDCGTJ2SF8CY0050000400_2"/>
      <w:bookmarkEnd w:id="1934"/>
      <w:r>
        <w:rPr>
          <w:rFonts w:ascii="Arial" w:eastAsia="Arial" w:hAnsi="Arial" w:cs="Arial"/>
          <w:color w:val="000000"/>
          <w:sz w:val="20"/>
        </w:rPr>
        <w:t xml:space="preserve">See, e.g., </w:t>
      </w:r>
      <w:bookmarkStart w:id="1935" w:name="Bookmark_I5VDCGTJ2SF8CY0040000400"/>
      <w:bookmarkEnd w:id="1935"/>
      <w:r>
        <w:rPr>
          <w:rFonts w:ascii="Arial" w:eastAsia="Arial" w:hAnsi="Arial" w:cs="Arial"/>
          <w:i/>
          <w:color w:val="000000"/>
          <w:sz w:val="20"/>
        </w:rPr>
        <w:t>Gomez v. Toledo</w:t>
      </w:r>
      <w:r>
        <w:rPr>
          <w:rFonts w:ascii="Arial" w:eastAsia="Arial" w:hAnsi="Arial" w:cs="Arial"/>
          <w:color w:val="000000"/>
          <w:sz w:val="20"/>
        </w:rPr>
        <w:t xml:space="preserve">, 446 U.S. 635, 640-41, 100 S. Ct. 1920, 64 L. Ed. 2d 572 (1980); </w:t>
      </w:r>
      <w:bookmarkStart w:id="1936" w:name="Bookmark_I5VDCGTJ2HM6CF0010000400"/>
      <w:bookmarkEnd w:id="1936"/>
      <w:r>
        <w:rPr>
          <w:rFonts w:ascii="Arial" w:eastAsia="Arial" w:hAnsi="Arial" w:cs="Arial"/>
          <w:i/>
          <w:color w:val="000000"/>
          <w:sz w:val="20"/>
        </w:rPr>
        <w:t>Winforge, Inc. v. Coachmen Industries, Inc.</w:t>
      </w:r>
      <w:r>
        <w:rPr>
          <w:rFonts w:ascii="Arial" w:eastAsia="Arial" w:hAnsi="Arial" w:cs="Arial"/>
          <w:color w:val="000000"/>
          <w:sz w:val="20"/>
        </w:rPr>
        <w:t xml:space="preserve">, 691 F.3d 856, 872 (7th Cir. 2012); </w:t>
      </w:r>
      <w:bookmarkStart w:id="1937" w:name="Bookmark_I5VDCGTJ2HM6CF0030000400"/>
      <w:bookmarkEnd w:id="1937"/>
      <w:r>
        <w:rPr>
          <w:rFonts w:ascii="Arial" w:eastAsia="Arial" w:hAnsi="Arial" w:cs="Arial"/>
          <w:i/>
          <w:color w:val="000000"/>
          <w:sz w:val="20"/>
        </w:rPr>
        <w:t>Sundstrand Corp. v. Standard Kollsman Industries, Inc.</w:t>
      </w:r>
      <w:r>
        <w:rPr>
          <w:rFonts w:ascii="Arial" w:eastAsia="Arial" w:hAnsi="Arial" w:cs="Arial"/>
          <w:color w:val="000000"/>
          <w:sz w:val="20"/>
        </w:rPr>
        <w:t xml:space="preserve">, 488 F.2d 807, 813 (7th Cir. 1973); </w:t>
      </w:r>
      <w:bookmarkStart w:id="1938" w:name="Bookmark_I5VDCGTJ2HM6CF0050000400"/>
      <w:bookmarkEnd w:id="1938"/>
      <w:r>
        <w:rPr>
          <w:rFonts w:ascii="Arial" w:eastAsia="Arial" w:hAnsi="Arial" w:cs="Arial"/>
          <w:i/>
          <w:color w:val="000000"/>
          <w:sz w:val="20"/>
        </w:rPr>
        <w:t>Brunswick Leasing Corp. v. Wisconsin Cent., Ltd.</w:t>
      </w:r>
      <w:r>
        <w:rPr>
          <w:rFonts w:ascii="Arial" w:eastAsia="Arial" w:hAnsi="Arial" w:cs="Arial"/>
          <w:color w:val="000000"/>
          <w:sz w:val="20"/>
        </w:rPr>
        <w:t>, 136 F.3d 521, 530 (7th Cir. 1998). The statutory exemption here is based on [**13]  facts in a defendant's control and clearly falls within the category of affirmative defenses.</w:t>
      </w:r>
    </w:p>
    <w:p w:rsidR="00E456CD" w:rsidRDefault="00000000">
      <w:pPr>
        <w:pStyle w:val="Normal9"/>
        <w:widowControl w:val="0"/>
        <w:spacing w:before="200" w:line="260" w:lineRule="atLeast"/>
        <w:jc w:val="both"/>
      </w:pPr>
      <w:bookmarkStart w:id="1939" w:name="Bookmark_para_23_5"/>
      <w:bookmarkStart w:id="1940" w:name="Bookmark_I5VDCGTJ2D6N8N0030000400"/>
      <w:bookmarkEnd w:id="1939"/>
      <w:bookmarkEnd w:id="1940"/>
      <w:r>
        <w:rPr>
          <w:rFonts w:ascii="Arial" w:eastAsia="Arial" w:hAnsi="Arial" w:cs="Arial"/>
          <w:color w:val="000000"/>
          <w:sz w:val="20"/>
        </w:rPr>
        <w:t xml:space="preserve">The district court also held that Reed was not prejudiced by the hospital's delay in asserting this defense. For support, the court relied on an exchange during the deposition of nursing supervisor William Fry in February 2016, six months before the close of discovery, to find that Reed knew "for a substantial period that the religious exemption defense was a possibility." </w:t>
      </w:r>
      <w:bookmarkStart w:id="1941" w:name="Bookmark_I5VDCGTJ2D6N8N0020000400"/>
      <w:bookmarkEnd w:id="1941"/>
      <w:r>
        <w:rPr>
          <w:rFonts w:ascii="Arial" w:eastAsia="Arial" w:hAnsi="Arial" w:cs="Arial"/>
          <w:i/>
          <w:color w:val="000000"/>
          <w:sz w:val="20"/>
        </w:rPr>
        <w:t>Reed</w:t>
      </w:r>
      <w:r>
        <w:rPr>
          <w:rFonts w:ascii="Arial" w:eastAsia="Arial" w:hAnsi="Arial" w:cs="Arial"/>
          <w:color w:val="000000"/>
          <w:sz w:val="20"/>
        </w:rPr>
        <w:t>, 236 F. Supp. 3d at 1101. We respectfully disagree. Here is the entire discussion from Fry's deposition:</w:t>
      </w:r>
    </w:p>
    <w:p w:rsidR="00E456CD" w:rsidRDefault="00000000">
      <w:pPr>
        <w:pStyle w:val="Normal9"/>
        <w:widowControl w:val="0"/>
        <w:spacing w:line="260" w:lineRule="atLeast"/>
        <w:ind w:left="400"/>
        <w:jc w:val="both"/>
      </w:pPr>
      <w:bookmarkStart w:id="1942" w:name="Bookmark_para_24_4"/>
      <w:bookmarkEnd w:id="1942"/>
      <w:r>
        <w:rPr>
          <w:rFonts w:ascii="Arial" w:eastAsia="Arial" w:hAnsi="Arial" w:cs="Arial"/>
          <w:color w:val="000000"/>
          <w:sz w:val="20"/>
        </w:rPr>
        <w:t>Q And so who - what is your understanding of the ownership of Columbia St. Mary's Hospital Milwaukee?</w:t>
      </w:r>
    </w:p>
    <w:p w:rsidR="00E456CD" w:rsidRDefault="00000000">
      <w:pPr>
        <w:pStyle w:val="Normal9"/>
        <w:widowControl w:val="0"/>
        <w:spacing w:line="260" w:lineRule="atLeast"/>
        <w:ind w:left="400"/>
        <w:jc w:val="both"/>
      </w:pPr>
      <w:bookmarkStart w:id="1943" w:name="Bookmark_para_25_4"/>
      <w:bookmarkEnd w:id="1943"/>
      <w:r>
        <w:rPr>
          <w:rFonts w:ascii="Arial" w:eastAsia="Arial" w:hAnsi="Arial" w:cs="Arial"/>
          <w:color w:val="000000"/>
          <w:sz w:val="20"/>
        </w:rPr>
        <w:t>MR. FOLEY: Object to form and foundation.</w:t>
      </w:r>
    </w:p>
    <w:p w:rsidR="00E456CD" w:rsidRDefault="00000000">
      <w:pPr>
        <w:pStyle w:val="Normal9"/>
        <w:widowControl w:val="0"/>
        <w:spacing w:line="260" w:lineRule="atLeast"/>
        <w:ind w:left="400"/>
        <w:jc w:val="both"/>
      </w:pPr>
      <w:bookmarkStart w:id="1944" w:name="Bookmark_para_26_4"/>
      <w:bookmarkEnd w:id="1944"/>
      <w:r>
        <w:rPr>
          <w:rFonts w:ascii="Arial" w:eastAsia="Arial" w:hAnsi="Arial" w:cs="Arial"/>
          <w:color w:val="000000"/>
          <w:sz w:val="20"/>
        </w:rPr>
        <w:t>THE WITNESS: I don't really know the answer to that. I don't really understand - I don't know the answer to that.</w:t>
      </w:r>
    </w:p>
    <w:p w:rsidR="00E456CD" w:rsidRDefault="00000000">
      <w:pPr>
        <w:pStyle w:val="Normal9"/>
        <w:widowControl w:val="0"/>
        <w:spacing w:line="260" w:lineRule="atLeast"/>
        <w:ind w:left="400"/>
        <w:jc w:val="both"/>
      </w:pPr>
      <w:bookmarkStart w:id="1945" w:name="Bookmark_para_27_4"/>
      <w:bookmarkEnd w:id="1945"/>
      <w:r>
        <w:rPr>
          <w:rFonts w:ascii="Arial" w:eastAsia="Arial" w:hAnsi="Arial" w:cs="Arial"/>
          <w:color w:val="000000"/>
          <w:sz w:val="20"/>
        </w:rPr>
        <w:t>BY MS. BARNES: Who owns the organization?</w:t>
      </w:r>
    </w:p>
    <w:p w:rsidR="00E456CD" w:rsidRDefault="00000000">
      <w:pPr>
        <w:pStyle w:val="Normal9"/>
        <w:widowControl w:val="0"/>
        <w:spacing w:line="260" w:lineRule="atLeast"/>
        <w:ind w:left="400"/>
        <w:jc w:val="both"/>
      </w:pPr>
      <w:bookmarkStart w:id="1946" w:name="Bookmark_para_28_4"/>
      <w:bookmarkEnd w:id="1946"/>
      <w:r>
        <w:rPr>
          <w:rFonts w:ascii="Arial" w:eastAsia="Arial" w:hAnsi="Arial" w:cs="Arial"/>
          <w:color w:val="000000"/>
          <w:sz w:val="20"/>
        </w:rPr>
        <w:t>MR. FOLEY: Object to form and foundation.</w:t>
      </w:r>
    </w:p>
    <w:p w:rsidR="00E456CD" w:rsidRDefault="00000000">
      <w:pPr>
        <w:pStyle w:val="Normal9"/>
        <w:widowControl w:val="0"/>
        <w:spacing w:line="260" w:lineRule="atLeast"/>
        <w:ind w:left="400"/>
        <w:jc w:val="both"/>
      </w:pPr>
      <w:bookmarkStart w:id="1947" w:name="Bookmark_para_29_4"/>
      <w:bookmarkEnd w:id="1947"/>
      <w:r>
        <w:rPr>
          <w:rFonts w:ascii="Arial" w:eastAsia="Arial" w:hAnsi="Arial" w:cs="Arial"/>
          <w:color w:val="000000"/>
          <w:sz w:val="20"/>
        </w:rPr>
        <w:t>THE WITNESS: I'll try to answer that. Ascension Healthcare is our parent sponsor of this ministry.</w:t>
      </w:r>
    </w:p>
    <w:p w:rsidR="00E456CD" w:rsidRDefault="00000000">
      <w:pPr>
        <w:pStyle w:val="Normal9"/>
        <w:widowControl w:val="0"/>
        <w:spacing w:line="260" w:lineRule="atLeast"/>
        <w:ind w:left="400"/>
        <w:jc w:val="both"/>
      </w:pPr>
      <w:bookmarkStart w:id="1948" w:name="Bookmark_para_30_4"/>
      <w:bookmarkEnd w:id="1948"/>
      <w:r>
        <w:rPr>
          <w:rFonts w:ascii="Arial" w:eastAsia="Arial" w:hAnsi="Arial" w:cs="Arial"/>
          <w:color w:val="000000"/>
          <w:sz w:val="20"/>
        </w:rPr>
        <w:t>BY MS. BARNES: What does that mean, sponsor?</w:t>
      </w:r>
    </w:p>
    <w:p w:rsidR="00E456CD" w:rsidRDefault="00000000">
      <w:pPr>
        <w:pStyle w:val="Normal9"/>
        <w:widowControl w:val="0"/>
        <w:spacing w:line="260" w:lineRule="atLeast"/>
        <w:ind w:left="400"/>
        <w:jc w:val="both"/>
      </w:pPr>
      <w:bookmarkStart w:id="1949" w:name="Bookmark_para_31_4"/>
      <w:bookmarkEnd w:id="1949"/>
      <w:r>
        <w:rPr>
          <w:rFonts w:ascii="Arial" w:eastAsia="Arial" w:hAnsi="Arial" w:cs="Arial"/>
          <w:color w:val="000000"/>
          <w:sz w:val="20"/>
        </w:rPr>
        <w:t>MR. FOLEY: Object to form.</w:t>
      </w:r>
    </w:p>
    <w:p w:rsidR="00E456CD" w:rsidRDefault="00000000">
      <w:pPr>
        <w:pStyle w:val="Normal9"/>
        <w:widowControl w:val="0"/>
        <w:spacing w:before="200" w:line="260" w:lineRule="atLeast"/>
        <w:ind w:left="400"/>
        <w:jc w:val="both"/>
      </w:pPr>
      <w:bookmarkStart w:id="1950" w:name="Bookmark_para_32_4"/>
      <w:bookmarkEnd w:id="1950"/>
      <w:r>
        <w:rPr>
          <w:rFonts w:ascii="Arial" w:eastAsia="Arial" w:hAnsi="Arial" w:cs="Arial"/>
          <w:color w:val="000000"/>
          <w:sz w:val="20"/>
        </w:rPr>
        <w:t>THE WITNESS: Ascension Healthcare has multiple hospitals in multiple states across the country. That is, again, our - as far as I understand it, our [**14]  parent ownership structure.</w:t>
      </w:r>
    </w:p>
    <w:p w:rsidR="00E456CD" w:rsidRDefault="00000000">
      <w:pPr>
        <w:pStyle w:val="Normal9"/>
        <w:widowControl w:val="0"/>
        <w:spacing w:line="260" w:lineRule="atLeast"/>
        <w:ind w:left="400"/>
        <w:jc w:val="both"/>
      </w:pPr>
      <w:bookmarkStart w:id="1951" w:name="Bookmark_para_33_3"/>
      <w:bookmarkEnd w:id="1951"/>
      <w:r>
        <w:rPr>
          <w:rFonts w:ascii="Arial" w:eastAsia="Arial" w:hAnsi="Arial" w:cs="Arial"/>
          <w:color w:val="000000"/>
          <w:sz w:val="20"/>
        </w:rPr>
        <w:t>BY MS. BARNES: Okay. And is Ascension a religious organization?</w:t>
      </w:r>
    </w:p>
    <w:p w:rsidR="00E456CD" w:rsidRDefault="00000000">
      <w:pPr>
        <w:pStyle w:val="Normal9"/>
        <w:widowControl w:val="0"/>
        <w:spacing w:line="260" w:lineRule="atLeast"/>
        <w:ind w:left="400"/>
        <w:jc w:val="both"/>
      </w:pPr>
      <w:bookmarkStart w:id="1952" w:name="Bookmark_para_34_2"/>
      <w:bookmarkEnd w:id="1952"/>
      <w:r>
        <w:rPr>
          <w:rFonts w:ascii="Arial" w:eastAsia="Arial" w:hAnsi="Arial" w:cs="Arial"/>
          <w:color w:val="000000"/>
          <w:sz w:val="20"/>
        </w:rPr>
        <w:t>A Yes.</w:t>
      </w:r>
    </w:p>
    <w:p w:rsidR="00E456CD" w:rsidRDefault="00000000">
      <w:pPr>
        <w:pStyle w:val="Normal9"/>
        <w:widowControl w:val="0"/>
        <w:spacing w:line="260" w:lineRule="atLeast"/>
        <w:ind w:left="400"/>
        <w:jc w:val="both"/>
      </w:pPr>
      <w:bookmarkStart w:id="1953" w:name="Bookmark_para_35_2"/>
      <w:bookmarkEnd w:id="1953"/>
      <w:r>
        <w:rPr>
          <w:rFonts w:ascii="Arial" w:eastAsia="Arial" w:hAnsi="Arial" w:cs="Arial"/>
          <w:color w:val="000000"/>
          <w:sz w:val="20"/>
        </w:rPr>
        <w:t>Q What type of religious organization?</w:t>
      </w:r>
    </w:p>
    <w:p w:rsidR="00E456CD" w:rsidRDefault="00000000">
      <w:pPr>
        <w:pStyle w:val="Normal9"/>
        <w:widowControl w:val="0"/>
        <w:spacing w:line="260" w:lineRule="atLeast"/>
        <w:ind w:left="400"/>
        <w:jc w:val="both"/>
      </w:pPr>
      <w:bookmarkStart w:id="1954" w:name="Bookmark_para_36_2"/>
      <w:bookmarkEnd w:id="1954"/>
      <w:r>
        <w:rPr>
          <w:rFonts w:ascii="Arial" w:eastAsia="Arial" w:hAnsi="Arial" w:cs="Arial"/>
          <w:color w:val="000000"/>
          <w:sz w:val="20"/>
        </w:rPr>
        <w:t>A It's a mission of the Roman Catholic Church.</w:t>
      </w:r>
    </w:p>
    <w:p w:rsidR="00E456CD" w:rsidRDefault="00000000">
      <w:pPr>
        <w:pStyle w:val="Normal9"/>
        <w:widowControl w:val="0"/>
        <w:spacing w:line="260" w:lineRule="atLeast"/>
        <w:ind w:left="400"/>
        <w:jc w:val="both"/>
      </w:pPr>
      <w:bookmarkStart w:id="1955" w:name="Bookmark_para_37_2"/>
      <w:bookmarkEnd w:id="1955"/>
      <w:r>
        <w:rPr>
          <w:rFonts w:ascii="Arial" w:eastAsia="Arial" w:hAnsi="Arial" w:cs="Arial"/>
          <w:color w:val="000000"/>
          <w:sz w:val="20"/>
        </w:rPr>
        <w:t>Q A mission?</w:t>
      </w:r>
    </w:p>
    <w:p w:rsidR="00E456CD" w:rsidRDefault="00000000">
      <w:pPr>
        <w:pStyle w:val="Normal9"/>
        <w:widowControl w:val="0"/>
        <w:spacing w:line="260" w:lineRule="atLeast"/>
        <w:ind w:left="400"/>
        <w:jc w:val="both"/>
      </w:pPr>
      <w:bookmarkStart w:id="1956" w:name="Bookmark_para_38_2"/>
      <w:bookmarkEnd w:id="1956"/>
      <w:r>
        <w:rPr>
          <w:rFonts w:ascii="Arial" w:eastAsia="Arial" w:hAnsi="Arial" w:cs="Arial"/>
          <w:color w:val="000000"/>
          <w:sz w:val="20"/>
        </w:rPr>
        <w:t>A Um-hum.</w:t>
      </w:r>
    </w:p>
    <w:p w:rsidR="00E456CD" w:rsidRDefault="00000000">
      <w:pPr>
        <w:pStyle w:val="Normal9"/>
        <w:widowControl w:val="0"/>
        <w:spacing w:line="260" w:lineRule="atLeast"/>
        <w:ind w:left="400"/>
        <w:jc w:val="both"/>
      </w:pPr>
      <w:bookmarkStart w:id="1957" w:name="Bookmark_para_39_2"/>
      <w:bookmarkEnd w:id="1957"/>
      <w:r>
        <w:rPr>
          <w:rFonts w:ascii="Arial" w:eastAsia="Arial" w:hAnsi="Arial" w:cs="Arial"/>
          <w:color w:val="000000"/>
          <w:sz w:val="20"/>
        </w:rPr>
        <w:t>Q So is it - is it -</w:t>
      </w:r>
    </w:p>
    <w:p w:rsidR="00E456CD" w:rsidRDefault="00000000">
      <w:pPr>
        <w:pStyle w:val="Normal9"/>
        <w:widowControl w:val="0"/>
        <w:spacing w:line="260" w:lineRule="atLeast"/>
        <w:ind w:left="400"/>
        <w:jc w:val="both"/>
      </w:pPr>
      <w:bookmarkStart w:id="1958" w:name="Bookmark_para_40_2"/>
      <w:bookmarkEnd w:id="1958"/>
      <w:r>
        <w:rPr>
          <w:rFonts w:ascii="Arial" w:eastAsia="Arial" w:hAnsi="Arial" w:cs="Arial"/>
          <w:color w:val="000000"/>
          <w:sz w:val="20"/>
        </w:rPr>
        <w:t>A A ministry, I should have said. I ministry of the Roman Catholic Church.</w:t>
      </w:r>
    </w:p>
    <w:p w:rsidR="00E456CD" w:rsidRDefault="00000000">
      <w:pPr>
        <w:pStyle w:val="Normal9"/>
        <w:widowControl w:val="0"/>
        <w:spacing w:line="260" w:lineRule="atLeast"/>
        <w:ind w:left="400"/>
        <w:jc w:val="both"/>
      </w:pPr>
      <w:bookmarkStart w:id="1959" w:name="Bookmark_para_41_2"/>
      <w:bookmarkEnd w:id="1959"/>
      <w:r>
        <w:rPr>
          <w:rFonts w:ascii="Arial" w:eastAsia="Arial" w:hAnsi="Arial" w:cs="Arial"/>
          <w:color w:val="000000"/>
          <w:sz w:val="20"/>
        </w:rPr>
        <w:t>Q So is it - does it follow the principles of the Catholic church, when you say "ministry"?</w:t>
      </w:r>
    </w:p>
    <w:p w:rsidR="00E456CD" w:rsidRDefault="00000000">
      <w:pPr>
        <w:pStyle w:val="Normal9"/>
        <w:widowControl w:val="0"/>
        <w:spacing w:line="260" w:lineRule="atLeast"/>
        <w:ind w:left="400"/>
        <w:jc w:val="both"/>
      </w:pPr>
      <w:bookmarkStart w:id="1960" w:name="Bookmark_para_42_1"/>
      <w:bookmarkEnd w:id="1960"/>
      <w:r>
        <w:rPr>
          <w:rFonts w:ascii="Arial" w:eastAsia="Arial" w:hAnsi="Arial" w:cs="Arial"/>
          <w:color w:val="000000"/>
          <w:sz w:val="20"/>
        </w:rPr>
        <w:t>MR. FOLEY: I'll object to form and foundation. I think this is far afield of -</w:t>
      </w:r>
    </w:p>
    <w:p w:rsidR="00E456CD" w:rsidRDefault="00000000">
      <w:pPr>
        <w:pStyle w:val="Normal9"/>
        <w:widowControl w:val="0"/>
        <w:spacing w:line="260" w:lineRule="atLeast"/>
        <w:ind w:left="400"/>
        <w:jc w:val="both"/>
      </w:pPr>
      <w:bookmarkStart w:id="1961" w:name="Bookmark_para_43_1"/>
      <w:bookmarkEnd w:id="1961"/>
      <w:r>
        <w:rPr>
          <w:rFonts w:ascii="Arial" w:eastAsia="Arial" w:hAnsi="Arial" w:cs="Arial"/>
          <w:color w:val="000000"/>
          <w:sz w:val="20"/>
        </w:rPr>
        <w:t>THE WITNESS: Yeah, this is beyond my knowledge and expertise.</w:t>
      </w:r>
    </w:p>
    <w:p w:rsidR="00E456CD" w:rsidRDefault="00000000">
      <w:pPr>
        <w:pStyle w:val="Normal9"/>
        <w:widowControl w:val="0"/>
        <w:spacing w:line="260" w:lineRule="atLeast"/>
        <w:ind w:left="400"/>
        <w:jc w:val="both"/>
      </w:pPr>
      <w:bookmarkStart w:id="1962" w:name="Bookmark_para_44_1"/>
      <w:bookmarkEnd w:id="1962"/>
      <w:r>
        <w:rPr>
          <w:rFonts w:ascii="Arial" w:eastAsia="Arial" w:hAnsi="Arial" w:cs="Arial"/>
          <w:color w:val="000000"/>
          <w:sz w:val="20"/>
        </w:rPr>
        <w:t>MR. FOLEY: - his knowledge. But if you can answer, go ahead.</w:t>
      </w:r>
    </w:p>
    <w:p w:rsidR="00E456CD" w:rsidRDefault="00000000">
      <w:pPr>
        <w:pStyle w:val="Normal9"/>
        <w:widowControl w:val="0"/>
        <w:spacing w:line="260" w:lineRule="atLeast"/>
        <w:ind w:left="400"/>
        <w:jc w:val="both"/>
      </w:pPr>
      <w:bookmarkStart w:id="1963" w:name="Bookmark_para_45_1"/>
      <w:bookmarkEnd w:id="1963"/>
      <w:r>
        <w:rPr>
          <w:rFonts w:ascii="Arial" w:eastAsia="Arial" w:hAnsi="Arial" w:cs="Arial"/>
          <w:color w:val="000000"/>
          <w:sz w:val="20"/>
        </w:rPr>
        <w:t>THE WITNESS: As far as I know, yes. I guess I don't really understand the question.</w:t>
      </w:r>
    </w:p>
    <w:p w:rsidR="00E456CD" w:rsidRDefault="00000000">
      <w:pPr>
        <w:pStyle w:val="Normal9"/>
        <w:widowControl w:val="0"/>
        <w:spacing w:line="260" w:lineRule="atLeast"/>
        <w:ind w:left="400"/>
        <w:jc w:val="both"/>
      </w:pPr>
      <w:bookmarkStart w:id="1964" w:name="Bookmark_para_46_1"/>
      <w:bookmarkEnd w:id="1964"/>
      <w:r>
        <w:rPr>
          <w:rFonts w:ascii="Arial" w:eastAsia="Arial" w:hAnsi="Arial" w:cs="Arial"/>
          <w:color w:val="000000"/>
          <w:sz w:val="20"/>
        </w:rPr>
        <w:t>BY MS. BARNES: What does it mean to be a ministry, I guess? I'm trying to understand it as well.</w:t>
      </w:r>
    </w:p>
    <w:p w:rsidR="00E456CD" w:rsidRDefault="00000000">
      <w:pPr>
        <w:pStyle w:val="Normal9"/>
        <w:widowControl w:val="0"/>
        <w:spacing w:line="260" w:lineRule="atLeast"/>
        <w:ind w:left="400"/>
        <w:jc w:val="both"/>
      </w:pPr>
      <w:bookmarkStart w:id="1965" w:name="Bookmark_para_47_1"/>
      <w:bookmarkEnd w:id="1965"/>
      <w:r>
        <w:rPr>
          <w:rFonts w:ascii="Arial" w:eastAsia="Arial" w:hAnsi="Arial" w:cs="Arial"/>
          <w:color w:val="000000"/>
          <w:sz w:val="20"/>
        </w:rPr>
        <w:t>A Well, we're a not for profit in the ministry of providing healthcare.</w:t>
      </w:r>
    </w:p>
    <w:p w:rsidR="00E456CD" w:rsidRDefault="00000000">
      <w:pPr>
        <w:pStyle w:val="Normal9"/>
        <w:widowControl w:val="0"/>
        <w:spacing w:line="260" w:lineRule="atLeast"/>
        <w:jc w:val="both"/>
      </w:pPr>
      <w:r>
        <w:rPr>
          <w:rFonts w:ascii="Arial" w:eastAsia="Arial" w:hAnsi="Arial" w:cs="Arial"/>
          <w:color w:val="000000"/>
          <w:sz w:val="20"/>
        </w:rPr>
        <w:t>Fry Dep. at 13-15.</w:t>
      </w:r>
    </w:p>
    <w:p w:rsidR="00E456CD" w:rsidRDefault="00000000">
      <w:pPr>
        <w:pStyle w:val="Normal9"/>
        <w:widowControl w:val="0"/>
        <w:spacing w:before="200" w:line="260" w:lineRule="atLeast"/>
        <w:jc w:val="both"/>
      </w:pPr>
      <w:bookmarkStart w:id="1966" w:name="Bookmark_para_48_1"/>
      <w:bookmarkEnd w:id="1966"/>
      <w:r>
        <w:rPr>
          <w:rFonts w:ascii="Arial" w:eastAsia="Arial" w:hAnsi="Arial" w:cs="Arial"/>
          <w:color w:val="000000"/>
          <w:sz w:val="20"/>
        </w:rPr>
        <w:t>This brief exchange was with a witness who obviously did not understand the issue or identify the exemption, let alone try to assert the exemption. It is not comparable to a lawyer's statement that the party intends to assert a defense. The exchange did not put Reed on fair notice that the hospital would be asserting the religious exemption and [**15]  that she needed to spend the time and money to conduct full-bore discovery on whether the hospital could satisfy the ADA's religious exemption.</w:t>
      </w:r>
    </w:p>
    <w:p w:rsidR="00E456CD" w:rsidRDefault="00000000">
      <w:pPr>
        <w:pStyle w:val="Normal9"/>
        <w:widowControl w:val="0"/>
        <w:spacing w:before="200" w:line="260" w:lineRule="atLeast"/>
        <w:jc w:val="both"/>
      </w:pPr>
      <w:bookmarkStart w:id="1967" w:name="Bookmark_para_49_1"/>
      <w:bookmarkEnd w:id="1967"/>
      <w:r>
        <w:rPr>
          <w:rFonts w:ascii="Arial" w:eastAsia="Arial" w:hAnsi="Arial" w:cs="Arial"/>
          <w:color w:val="000000"/>
          <w:sz w:val="20"/>
        </w:rPr>
        <w:t xml:space="preserve"> [*481]  The district court also thought that Reed knew when she filed suit that the hospital was at least nominally associated with the Catholic faith. </w:t>
      </w:r>
      <w:bookmarkStart w:id="1968" w:name="Bookmark_LNHNREFclscc11_4"/>
      <w:bookmarkEnd w:id="1968"/>
      <w:r>
        <w:rPr>
          <w:rFonts w:ascii="Arial" w:eastAsia="Arial" w:hAnsi="Arial" w:cs="Arial"/>
          <w:color w:val="000000"/>
          <w:sz w:val="20"/>
        </w:rPr>
        <w:t>Nominal association told plaintiff and tells us nothing about the availability of the religious exemption. The statutory test is "control." 42 U.S.C. § 12187. Countless entities have names that are associated with religions but are not subject to religious control.</w:t>
      </w:r>
    </w:p>
    <w:p w:rsidR="00E456CD" w:rsidRDefault="00000000">
      <w:pPr>
        <w:pStyle w:val="Normal9"/>
        <w:widowControl w:val="0"/>
        <w:spacing w:before="200" w:line="260" w:lineRule="atLeast"/>
        <w:jc w:val="both"/>
      </w:pPr>
      <w:bookmarkStart w:id="1969" w:name="Bookmark_para_50_1"/>
      <w:bookmarkEnd w:id="1969"/>
      <w:r>
        <w:rPr>
          <w:rFonts w:ascii="Arial" w:eastAsia="Arial" w:hAnsi="Arial" w:cs="Arial"/>
          <w:color w:val="000000"/>
          <w:sz w:val="20"/>
        </w:rPr>
        <w:t>Finally, the district court noted that Reed's response to the hospital's motion for summary judgment showed that she had studied the hospital's corporate structure and governing documents (or at least those submitted by the hospital). We have a limited record before us on this issue.</w:t>
      </w:r>
      <w:r>
        <w:rPr>
          <w:rFonts w:ascii="Arial" w:eastAsia="Arial" w:hAnsi="Arial" w:cs="Arial"/>
          <w:vertAlign w:val="superscript"/>
        </w:rPr>
        <w:footnoteReference w:customMarkFollows="1" w:id="80"/>
        <w:t>2</w:t>
      </w:r>
      <w:r>
        <w:rPr>
          <w:rFonts w:ascii="Arial" w:eastAsia="Arial" w:hAnsi="Arial" w:cs="Arial"/>
          <w:color w:val="000000"/>
          <w:sz w:val="20"/>
        </w:rPr>
        <w:t xml:space="preserve"> The structure appears to be as follows: the hospital's sole corporate member is Columbia St. Mary's Inc. In turn, Columbia St. Mary's Inc. is "sponsored by" its two corporate members: Ascension Health (a Catholic national health system) and Columbia Health System, Inc. (a non-sectarian community health system). Ascension Health is a subsidiary of Ascension Health Alliance, which [**16]  is a subsidiary of Ascension Health Ministries. The Congregation of Consecrated Life and Societies of Apostolic Life of the Vatican conferred public juridic personality on Ascension Health Ministries in June 2011. Ascension Health Ministries' governing documents state that it shall be governed in accordance with canon law. Thus, the hospital is subject to two lines of control: (1) a Catholic one (Ascension Health Ministries —&gt; Ascension Health Alliance —&gt; Ascension Health —&gt; Columbia St. Mary's Inc. —&gt; the hospital); and (2) a non-sectarian one (Columbia Health System —&gt; Columbia St. Mary's Inc. —&gt; the hospital).</w:t>
      </w:r>
    </w:p>
    <w:p w:rsidR="00E456CD" w:rsidRDefault="00000000">
      <w:pPr>
        <w:pStyle w:val="Normal9"/>
        <w:widowControl w:val="0"/>
        <w:spacing w:before="200" w:line="260" w:lineRule="atLeast"/>
        <w:jc w:val="both"/>
      </w:pPr>
      <w:bookmarkStart w:id="1971" w:name="Bookmark_para_51_1"/>
      <w:bookmarkEnd w:id="1971"/>
      <w:r>
        <w:rPr>
          <w:rFonts w:ascii="Arial" w:eastAsia="Arial" w:hAnsi="Arial" w:cs="Arial"/>
          <w:color w:val="000000"/>
          <w:sz w:val="20"/>
        </w:rPr>
        <w:t>The hospital's bylaws reflect these two lines of control: they say that the hospital "shall be and remain a Catholic facility or institution" but also that the hospital will "respect the nonsectarian traditions and values of Columbia Health System." Similarly reflecting these two lines of control but reversing the emphasis, the bylaws of Columbia St. Mary's Inc. (the hospital's sole corporate member) say that it "shall not be a Catholic facility or institution" but that it will not perform medical procedures inconsistent with Catholic ethical directives. Columbia St. Mary's [**17]  Inc.'s bylaws reserve certain powers to both Ascension Health and Columbia Health System.</w:t>
      </w:r>
      <w:r>
        <w:rPr>
          <w:rFonts w:ascii="Arial" w:eastAsia="Arial" w:hAnsi="Arial" w:cs="Arial"/>
          <w:vertAlign w:val="superscript"/>
        </w:rPr>
        <w:footnoteReference w:customMarkFollows="1" w:id="81"/>
        <w:t>3</w:t>
      </w:r>
      <w:r>
        <w:rPr>
          <w:rFonts w:ascii="Arial" w:eastAsia="Arial" w:hAnsi="Arial" w:cs="Arial"/>
          <w:color w:val="000000"/>
          <w:sz w:val="20"/>
        </w:rPr>
        <w:t xml:space="preserve"> Columbia St. Mary's Inc.'s officers and board members "serve ex officio" as the hospital's officers and board members. Important for the issue of control, the board members are recommended by Columbia St. Mary's Inc.'s existing board for appointment by Ascension Health and are intended to "be broadly representative of the communities served." Relying on this corporate structure as disclosed by the hospital in its summary judgment materials, the district court determined that the hospital was sufficiently controlled by the Catholic Church as to fall within Title III's religious exemption and to make it immune to Reed's ADA claims.</w:t>
      </w:r>
    </w:p>
    <w:p w:rsidR="00E456CD" w:rsidRDefault="00000000">
      <w:pPr>
        <w:pStyle w:val="Normal9"/>
        <w:widowControl w:val="0"/>
        <w:spacing w:before="120" w:line="260" w:lineRule="atLeast"/>
      </w:pPr>
      <w:r>
        <w:rPr>
          <w:rFonts w:ascii="Arial" w:eastAsia="Arial" w:hAnsi="Arial" w:cs="Arial"/>
          <w:color w:val="000000"/>
          <w:sz w:val="20"/>
        </w:rPr>
        <w:t xml:space="preserve">4. </w:t>
      </w:r>
      <w:r>
        <w:rPr>
          <w:rFonts w:ascii="Arial" w:eastAsia="Arial" w:hAnsi="Arial" w:cs="Arial"/>
          <w:i/>
          <w:color w:val="000000"/>
          <w:sz w:val="20"/>
        </w:rPr>
        <w:t>Abuse of Discretion</w:t>
      </w:r>
    </w:p>
    <w:p w:rsidR="00E456CD" w:rsidRDefault="00000000">
      <w:pPr>
        <w:pStyle w:val="Normal9"/>
        <w:widowControl w:val="0"/>
        <w:spacing w:before="200" w:line="260" w:lineRule="atLeast"/>
        <w:jc w:val="both"/>
      </w:pPr>
      <w:bookmarkStart w:id="1973" w:name="Bookmark_para_52_1"/>
      <w:bookmarkEnd w:id="1973"/>
      <w:r>
        <w:rPr>
          <w:rFonts w:ascii="Arial" w:eastAsia="Arial" w:hAnsi="Arial" w:cs="Arial"/>
          <w:color w:val="000000"/>
          <w:sz w:val="20"/>
        </w:rPr>
        <w:t>We express no opinion on whether, after full discovery and fair litigation of the issue on a more complete record, the  [*482]  hospital might fit within the exemption for entities controlled by religious organizations. Instead, we find that the district court abused its discretion by considering this affirmative defense at all.</w:t>
      </w:r>
    </w:p>
    <w:p w:rsidR="00E456CD" w:rsidRDefault="00000000">
      <w:pPr>
        <w:pStyle w:val="Normal9"/>
        <w:widowControl w:val="0"/>
        <w:spacing w:before="200" w:line="260" w:lineRule="atLeast"/>
        <w:jc w:val="both"/>
      </w:pPr>
      <w:bookmarkStart w:id="1974" w:name="Bookmark_para_53_1"/>
      <w:bookmarkEnd w:id="1974"/>
      <w:r>
        <w:rPr>
          <w:rFonts w:ascii="Arial" w:eastAsia="Arial" w:hAnsi="Arial" w:cs="Arial"/>
          <w:color w:val="000000"/>
          <w:sz w:val="20"/>
        </w:rPr>
        <w:t>Several factors point in this direction. First, the defendant hospital has offered no excuse or explanation for failing to plead the [**18]  defense in it answers or for raising the defense so late. Without a credible excuse for the delay, the hospital's late invocation of the defense looks like a straight ambush of the plaintiff when it was too late for her to put together a comprehensive rebuttal. Second, the religious-exemption defense should not ordinarily depend on discovery from the plaintiff, as will often be the case with other affirmative defenses such as statutes of limitations, estoppels, waivers, and others. Instead, the religious-exemption defense will ordinarily depend on facts within the knowledge and control of the defendant itself. Third, the defendant did not deploy this defense until after discovery had closed, meaning both parties had already invested a good deal of time and money in the case on the legitimate expectation that they knew what the issues were. Allowing a last-minute defense that introduces such new factual and legal issues after discovery has closed raises the costs of litigation and allows the party that was at least negligent in failing to plead its defense to take unfair advantage of its opposing party. Fourth, the district court's rationale for allowing the defense to be raised so [**19]  late simply does not withstand scrutiny. In this case, a few facts relevant to this potential affirmative defense came up briefly in one deposition. As we explained above, that cannot be reasonably treated as fair notice that the hospital would actually assert the defense and that the plaintiff would need to spend the time and money needed to meet that defense. The plaintiff was entitled to rely on Rule 8(c) and the hospital's silence in its pleadings.</w:t>
      </w:r>
    </w:p>
    <w:p w:rsidR="00E456CD" w:rsidRDefault="00000000">
      <w:pPr>
        <w:pStyle w:val="Normal9"/>
        <w:widowControl w:val="0"/>
        <w:spacing w:before="200" w:line="260" w:lineRule="atLeast"/>
        <w:jc w:val="both"/>
      </w:pPr>
      <w:bookmarkStart w:id="1975" w:name="Bookmark_para_54_1"/>
      <w:bookmarkStart w:id="1976" w:name="Bookmark_I14W2R5HF8J000745BJ000CG"/>
      <w:bookmarkStart w:id="1977" w:name="Bookmark_I5VDCGTJ2D6N8N0050000400"/>
      <w:bookmarkEnd w:id="1975"/>
      <w:bookmarkEnd w:id="1976"/>
      <w:bookmarkEnd w:id="1977"/>
      <w:r>
        <w:rPr>
          <w:rFonts w:ascii="Arial" w:eastAsia="Arial" w:hAnsi="Arial" w:cs="Arial"/>
          <w:color w:val="000000"/>
          <w:sz w:val="20"/>
        </w:rPr>
        <w:t xml:space="preserve">The situation here is similar to that in </w:t>
      </w:r>
      <w:r>
        <w:rPr>
          <w:rFonts w:ascii="Arial" w:eastAsia="Arial" w:hAnsi="Arial" w:cs="Arial"/>
          <w:i/>
          <w:color w:val="000000"/>
          <w:sz w:val="20"/>
        </w:rPr>
        <w:t>Venters v. City of Delphi</w:t>
      </w:r>
      <w:r>
        <w:rPr>
          <w:rFonts w:ascii="Arial" w:eastAsia="Arial" w:hAnsi="Arial" w:cs="Arial"/>
          <w:color w:val="000000"/>
          <w:sz w:val="20"/>
        </w:rPr>
        <w:t xml:space="preserve">, where we concluded that the defendants waived their statute of limitations affirmative defense. </w:t>
      </w:r>
      <w:bookmarkStart w:id="1978" w:name="Bookmark_I5VDCGTJ2D6N8N0040000400"/>
      <w:bookmarkEnd w:id="1978"/>
      <w:r>
        <w:rPr>
          <w:rFonts w:ascii="Arial" w:eastAsia="Arial" w:hAnsi="Arial" w:cs="Arial"/>
          <w:color w:val="000000"/>
          <w:sz w:val="20"/>
        </w:rPr>
        <w:t xml:space="preserve">123 F.3d 956, 967-69 (7th Cir. 1997). </w:t>
      </w:r>
      <w:bookmarkStart w:id="1979" w:name="Bookmark_I5VDCGTJ28T4270020000400"/>
      <w:bookmarkEnd w:id="1979"/>
      <w:r>
        <w:rPr>
          <w:rFonts w:ascii="Arial" w:eastAsia="Arial" w:hAnsi="Arial" w:cs="Arial"/>
          <w:color w:val="000000"/>
          <w:sz w:val="20"/>
        </w:rPr>
        <w:t xml:space="preserve">There, the defendants failed to include the defense in their answers to the original and amended complaints. We could "discern no justification for the delay" when they asserted the defense for the first time in their reply memorandum in support of their motion for summary judgment. </w:t>
      </w:r>
      <w:bookmarkStart w:id="1980" w:name="Bookmark_I5VDCGTJ28T4270020000400_2"/>
      <w:bookmarkStart w:id="1981" w:name="Bookmark_I5VDCGTJ28T4270010000400"/>
      <w:bookmarkEnd w:id="1980"/>
      <w:bookmarkEnd w:id="1981"/>
      <w:r>
        <w:rPr>
          <w:rFonts w:ascii="Arial" w:eastAsia="Arial" w:hAnsi="Arial" w:cs="Arial"/>
          <w:i/>
          <w:color w:val="000000"/>
          <w:sz w:val="20"/>
        </w:rPr>
        <w:t>Id.</w:t>
      </w:r>
      <w:r>
        <w:rPr>
          <w:rFonts w:ascii="Arial" w:eastAsia="Arial" w:hAnsi="Arial" w:cs="Arial"/>
          <w:color w:val="000000"/>
          <w:sz w:val="20"/>
        </w:rPr>
        <w:t xml:space="preserve"> at 968. While a difference here is that Reed was at least given notice of the defense in the motion for summary judgment itself and could attempt to respond, she was still at a serious disadvantage. </w:t>
      </w:r>
      <w:bookmarkStart w:id="1982" w:name="Bookmark_I14W2R5HK3P000745BJ000CH"/>
      <w:bookmarkStart w:id="1983" w:name="Bookmark_I5VDCGTJ28T4270040000400"/>
      <w:bookmarkEnd w:id="1982"/>
      <w:bookmarkEnd w:id="1983"/>
      <w:r>
        <w:rPr>
          <w:rFonts w:ascii="Arial" w:eastAsia="Arial" w:hAnsi="Arial" w:cs="Arial"/>
          <w:color w:val="000000"/>
          <w:sz w:val="20"/>
        </w:rPr>
        <w:t xml:space="preserve">That notice came after the parties had completed discovery. As in </w:t>
      </w:r>
      <w:r>
        <w:rPr>
          <w:rFonts w:ascii="Arial" w:eastAsia="Arial" w:hAnsi="Arial" w:cs="Arial"/>
          <w:i/>
          <w:color w:val="000000"/>
          <w:sz w:val="20"/>
        </w:rPr>
        <w:t>Venters</w:t>
      </w:r>
      <w:r>
        <w:rPr>
          <w:rFonts w:ascii="Arial" w:eastAsia="Arial" w:hAnsi="Arial" w:cs="Arial"/>
          <w:color w:val="000000"/>
          <w:sz w:val="20"/>
        </w:rPr>
        <w:t xml:space="preserve">, we "cannot overlook the failure to [**20]  comply with Rule 8(c) in this context. Intentionally or not, [plaintiff] was bushwacked." </w:t>
      </w:r>
      <w:bookmarkStart w:id="1984" w:name="Bookmark_I5VDCGTJ28T4270030000400"/>
      <w:bookmarkEnd w:id="1984"/>
      <w:r>
        <w:rPr>
          <w:rFonts w:ascii="Arial" w:eastAsia="Arial" w:hAnsi="Arial" w:cs="Arial"/>
          <w:i/>
          <w:color w:val="000000"/>
          <w:sz w:val="20"/>
        </w:rPr>
        <w:t>Id.</w:t>
      </w:r>
      <w:r>
        <w:rPr>
          <w:rFonts w:ascii="Arial" w:eastAsia="Arial" w:hAnsi="Arial" w:cs="Arial"/>
          <w:color w:val="000000"/>
          <w:sz w:val="20"/>
        </w:rPr>
        <w:t xml:space="preserve"> at 969. Put simply, "it was not [plaintiff's] obligation to raise the defense, and </w:t>
      </w:r>
      <w:bookmarkStart w:id="1985" w:name="Bookmark_LNHNREFclscc12_4"/>
      <w:bookmarkEnd w:id="1985"/>
      <w:r>
        <w:rPr>
          <w:rFonts w:ascii="Arial" w:eastAsia="Arial" w:hAnsi="Arial" w:cs="Arial"/>
          <w:color w:val="000000"/>
          <w:sz w:val="20"/>
        </w:rPr>
        <w:t xml:space="preserve">if Rule 8(c) is not to become a nullity, we must not countenance attempts to invoke such defenses at the eleventh hour, without excuse and without adequate notice to the plaintiff." </w:t>
      </w:r>
      <w:r>
        <w:rPr>
          <w:rFonts w:ascii="Arial" w:eastAsia="Arial" w:hAnsi="Arial" w:cs="Arial"/>
          <w:i/>
          <w:color w:val="000000"/>
          <w:sz w:val="20"/>
        </w:rPr>
        <w:t>Id.</w:t>
      </w:r>
      <w:r>
        <w:rPr>
          <w:rFonts w:ascii="Arial" w:eastAsia="Arial" w:hAnsi="Arial" w:cs="Arial"/>
          <w:vertAlign w:val="superscript"/>
        </w:rPr>
        <w:footnoteReference w:customMarkFollows="1" w:id="82"/>
        <w:t>4</w:t>
      </w:r>
    </w:p>
    <w:p w:rsidR="00E456CD" w:rsidRDefault="00000000">
      <w:pPr>
        <w:pStyle w:val="Normal9"/>
        <w:widowControl w:val="0"/>
        <w:spacing w:before="200" w:line="260" w:lineRule="atLeast"/>
        <w:jc w:val="both"/>
      </w:pPr>
      <w:bookmarkStart w:id="1990" w:name="Bookmark_para_55_1"/>
      <w:bookmarkEnd w:id="1990"/>
      <w:r>
        <w:rPr>
          <w:rFonts w:ascii="Arial" w:eastAsia="Arial" w:hAnsi="Arial" w:cs="Arial"/>
          <w:color w:val="000000"/>
          <w:sz w:val="20"/>
        </w:rPr>
        <w:t xml:space="preserve">Finally, the prejudice to Reed from the delayed assertion of the defense is especially acute here because the relevant law and facts simply are not clear. </w:t>
      </w:r>
      <w:bookmarkStart w:id="1991" w:name="Bookmark_I5VDCGTJ2SF8D00030000400"/>
      <w:bookmarkStart w:id="1992" w:name="Bookmark_LNHNREFclscc13_1"/>
      <w:bookmarkEnd w:id="1991"/>
      <w:bookmarkEnd w:id="1992"/>
      <w:r>
        <w:rPr>
          <w:rFonts w:ascii="Arial" w:eastAsia="Arial" w:hAnsi="Arial" w:cs="Arial"/>
          <w:color w:val="000000"/>
          <w:sz w:val="20"/>
        </w:rPr>
        <w:t xml:space="preserve">The ADA does not define what it means to be considered  [*483]  a "religious organization" or to be "controlled by a religious organization." See 42 U.S.C. § 12187. To our knowledge, no federal appellate court has yet construed this religious exemption. Several district courts have—including the veteran judge who decided this case. See </w:t>
      </w:r>
      <w:bookmarkStart w:id="1993" w:name="Bookmark_I5VDCGTJ2SF8D00020000400"/>
      <w:bookmarkEnd w:id="1993"/>
      <w:r>
        <w:rPr>
          <w:rFonts w:ascii="Arial" w:eastAsia="Arial" w:hAnsi="Arial" w:cs="Arial"/>
          <w:i/>
          <w:color w:val="000000"/>
          <w:sz w:val="20"/>
        </w:rPr>
        <w:t>Rose v. Cahee</w:t>
      </w:r>
      <w:r>
        <w:rPr>
          <w:rFonts w:ascii="Arial" w:eastAsia="Arial" w:hAnsi="Arial" w:cs="Arial"/>
          <w:color w:val="000000"/>
          <w:sz w:val="20"/>
        </w:rPr>
        <w:t>, 727 F. Supp. 2d 728, 747 (E.D. Wis. 2010).</w:t>
      </w:r>
      <w:r>
        <w:rPr>
          <w:rFonts w:ascii="Arial" w:eastAsia="Arial" w:hAnsi="Arial" w:cs="Arial"/>
          <w:vertAlign w:val="superscript"/>
        </w:rPr>
        <w:footnoteReference w:customMarkFollows="1" w:id="83"/>
        <w:t>5</w:t>
      </w:r>
      <w:r>
        <w:rPr>
          <w:rFonts w:ascii="Arial" w:eastAsia="Arial" w:hAnsi="Arial" w:cs="Arial"/>
          <w:color w:val="000000"/>
          <w:sz w:val="20"/>
        </w:rPr>
        <w:t xml:space="preserve"> These district court decisions show that the issue can be complex, both factually and legally. These decisions have cited and relied on the following Department of Justice interpretation of the religious exemption:</w:t>
      </w:r>
    </w:p>
    <w:p w:rsidR="00E456CD" w:rsidRDefault="00000000">
      <w:pPr>
        <w:pStyle w:val="Normal9"/>
        <w:widowControl w:val="0"/>
        <w:spacing w:before="200" w:line="260" w:lineRule="atLeast"/>
        <w:ind w:left="400"/>
        <w:jc w:val="both"/>
      </w:pPr>
      <w:bookmarkStart w:id="2004" w:name="Bookmark_para_56_1"/>
      <w:bookmarkEnd w:id="2004"/>
      <w:r>
        <w:rPr>
          <w:rFonts w:ascii="Arial" w:eastAsia="Arial" w:hAnsi="Arial" w:cs="Arial"/>
          <w:color w:val="000000"/>
          <w:sz w:val="20"/>
        </w:rPr>
        <w:t>The ADA's exemption of religious organizations and religious entities controlled by religious organizations is very broad, encompassing a wide variety of situations. [**21]  Religious organizations and entities controlled by religious organizations have no obligations under the ADA. Even when a religious organization carries out activities that would otherwise make it a public accommodation, the religious organization is exempt from ADA coverage. Thus, if a church itself operates a day care center, a nursing home, a private school, or a diocesan school system, the operations of the center, home, school, or schools would not be subject to the requirements of the ADA or this part. The religious entity would not lose its exemption merely because the services provided were open to the general public. The test is whether the church or other religious organization operates the public accommodation, not which individuals receive the public accommodation's services.</w:t>
      </w:r>
    </w:p>
    <w:p w:rsidR="00E456CD" w:rsidRDefault="00000000">
      <w:pPr>
        <w:pStyle w:val="Normal9"/>
        <w:widowControl w:val="0"/>
        <w:spacing w:before="200" w:line="260" w:lineRule="atLeast"/>
        <w:ind w:left="400"/>
        <w:jc w:val="both"/>
      </w:pPr>
      <w:bookmarkStart w:id="2005" w:name="Bookmark_para_57_1"/>
      <w:bookmarkEnd w:id="2005"/>
      <w:r>
        <w:rPr>
          <w:rFonts w:ascii="Arial" w:eastAsia="Arial" w:hAnsi="Arial" w:cs="Arial"/>
          <w:color w:val="000000"/>
          <w:sz w:val="20"/>
        </w:rPr>
        <w:t xml:space="preserve">Religious entities that are controlled by religious organizations are also exempt from the ADA's requirements. Many religious organizations in the United States use lay boards and other secular or corporate mechanisms to operate schools and an array of social services. The use of a lay board or other mechanism does not itself remove the ADA's religious exemption. Thus, a parochial school, having religious [**22]  doctrine in its curriculum and sponsored by a religious order, could be exempt either as a religious organization or as an entity controlled by a religious organization, even if it has a lay board. </w:t>
      </w:r>
      <w:r>
        <w:rPr>
          <w:rFonts w:ascii="Arial" w:eastAsia="Arial" w:hAnsi="Arial" w:cs="Arial"/>
          <w:i/>
          <w:color w:val="000000"/>
          <w:sz w:val="20"/>
        </w:rPr>
        <w:t>The test remains a factual one - whether the church or other religious organization controls the operations of the school or of the service or whether the school or service is itself a religious organization</w:t>
      </w:r>
      <w:r>
        <w:rPr>
          <w:rFonts w:ascii="Arial" w:eastAsia="Arial" w:hAnsi="Arial" w:cs="Arial"/>
          <w:color w:val="000000"/>
          <w:sz w:val="20"/>
        </w:rPr>
        <w:t>.</w:t>
      </w:r>
    </w:p>
    <w:p w:rsidR="00E456CD" w:rsidRDefault="00000000">
      <w:pPr>
        <w:pStyle w:val="Normal9"/>
        <w:widowControl w:val="0"/>
        <w:spacing w:before="200" w:line="260" w:lineRule="atLeast"/>
        <w:jc w:val="both"/>
      </w:pPr>
      <w:r>
        <w:rPr>
          <w:rFonts w:ascii="Arial" w:eastAsia="Arial" w:hAnsi="Arial" w:cs="Arial"/>
          <w:color w:val="000000"/>
          <w:sz w:val="20"/>
        </w:rPr>
        <w:t> [*484]  28 C.F.R. ch. 1., pt. 36, App'x C (emphasis added).</w:t>
      </w:r>
    </w:p>
    <w:p w:rsidR="00E456CD" w:rsidRDefault="00000000">
      <w:pPr>
        <w:pStyle w:val="Normal9"/>
        <w:widowControl w:val="0"/>
        <w:spacing w:before="200" w:line="260" w:lineRule="atLeast"/>
        <w:jc w:val="both"/>
      </w:pPr>
      <w:bookmarkStart w:id="2006" w:name="Bookmark_para_58_1"/>
      <w:bookmarkEnd w:id="2006"/>
      <w:r>
        <w:rPr>
          <w:rFonts w:ascii="Arial" w:eastAsia="Arial" w:hAnsi="Arial" w:cs="Arial"/>
          <w:color w:val="000000"/>
          <w:sz w:val="20"/>
        </w:rPr>
        <w:t>For this appeal, the critical points are that the law governing the hospital's affirmative defense is still highly contestable and its application may well depend on a host of facts that would need to be explored in some depth. Before summary judgment briefing, plaintiff Reed had no notice that she needed to prepare to meet the defense.</w:t>
      </w:r>
    </w:p>
    <w:p w:rsidR="00E456CD" w:rsidRDefault="00000000">
      <w:pPr>
        <w:pStyle w:val="Normal9"/>
        <w:widowControl w:val="0"/>
        <w:spacing w:before="200" w:line="260" w:lineRule="atLeast"/>
        <w:jc w:val="both"/>
      </w:pPr>
      <w:bookmarkStart w:id="2007" w:name="Bookmark_para_59_1"/>
      <w:bookmarkEnd w:id="2007"/>
      <w:r>
        <w:rPr>
          <w:rFonts w:ascii="Arial" w:eastAsia="Arial" w:hAnsi="Arial" w:cs="Arial"/>
          <w:color w:val="000000"/>
          <w:sz w:val="20"/>
        </w:rPr>
        <w:t>We have considered the possibility of a response less drastic than treating the hospital's religious-exemption defense as forfeited. One possibility would be to allow the parties to pursue further discovery on that issue and to have the hospital pay for plaintiff's reasonable costs and attorney fees for that process. In this [**23]  case, however, the hospital has offered no credible excuse for its delay, and the normal rule is forfeiture of unpleaded defenses. The remedy of reopening discovery would also impose additional delay on Reed. We see no mitigating factors here that would favor anything other than enforcement of Rule 8(c) as written and treating the defense as forfeited. We therefore reverse summary judgment for the hospital on the ADA claims.</w:t>
      </w:r>
    </w:p>
    <w:p w:rsidR="00E456CD" w:rsidRDefault="00000000">
      <w:pPr>
        <w:pStyle w:val="Normal9"/>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Rehabilitation Act Claims</w:t>
      </w:r>
    </w:p>
    <w:p w:rsidR="00E456CD" w:rsidRDefault="00000000">
      <w:pPr>
        <w:pStyle w:val="Normal9"/>
        <w:widowControl w:val="0"/>
        <w:spacing w:before="120" w:line="260" w:lineRule="atLeast"/>
      </w:pPr>
      <w:r>
        <w:rPr>
          <w:rFonts w:ascii="Arial" w:eastAsia="Arial" w:hAnsi="Arial" w:cs="Arial"/>
          <w:color w:val="000000"/>
          <w:sz w:val="20"/>
        </w:rPr>
        <w:t xml:space="preserve">1. </w:t>
      </w:r>
      <w:r>
        <w:rPr>
          <w:rFonts w:ascii="Arial" w:eastAsia="Arial" w:hAnsi="Arial" w:cs="Arial"/>
          <w:i/>
          <w:color w:val="000000"/>
          <w:sz w:val="20"/>
        </w:rPr>
        <w:t>Legal Standard</w:t>
      </w:r>
    </w:p>
    <w:p w:rsidR="00E456CD" w:rsidRDefault="00000000">
      <w:pPr>
        <w:pStyle w:val="Normal9"/>
        <w:widowControl w:val="0"/>
        <w:spacing w:before="200" w:line="260" w:lineRule="atLeast"/>
        <w:jc w:val="both"/>
      </w:pPr>
      <w:bookmarkStart w:id="2008" w:name="Bookmark_para_60_1"/>
      <w:bookmarkStart w:id="2009" w:name="Bookmark_I14W2R5JFB8000745BJ000CK"/>
      <w:bookmarkStart w:id="2010" w:name="Bookmark_I5VDCGTJ2HM6CG0050000400"/>
      <w:bookmarkEnd w:id="2008"/>
      <w:bookmarkEnd w:id="2009"/>
      <w:bookmarkEnd w:id="2010"/>
      <w:r>
        <w:rPr>
          <w:rFonts w:ascii="Arial" w:eastAsia="Arial" w:hAnsi="Arial" w:cs="Arial"/>
          <w:color w:val="000000"/>
          <w:sz w:val="20"/>
        </w:rPr>
        <w:t xml:space="preserve">We now turn to the merits of Reed's Rehabilitation Act claims. Section 504 of the Rehabilitation Act provides: "No otherwise qualified individual with a disability ... shall, solely by reason of her or his disability, be excluded from the participation in, be denied the benefits of, or be subjected to discrimination under any program or activity receiving Federal financial assistance[.]" 29 U.S.C. § 794(a). </w:t>
      </w:r>
      <w:bookmarkStart w:id="2011" w:name="Bookmark_LNHNREFclscc14_0"/>
      <w:bookmarkEnd w:id="2011"/>
      <w:r>
        <w:rPr>
          <w:rFonts w:ascii="Arial" w:eastAsia="Arial" w:hAnsi="Arial" w:cs="Arial"/>
          <w:color w:val="000000"/>
          <w:sz w:val="20"/>
        </w:rPr>
        <w:t xml:space="preserve">Four elements must be satisfied to establish a violation of Section 504: (1) the plaintiff must be a handicapped individual as defined by the Act; (2) the plaintiff must be "otherwise qualified" for participation in the program; (3) the program must receive federal financial assistance; and (4) the plaintiff must have been "denied the benefits of the program solely [**24]  because of his handicap." See </w:t>
      </w:r>
      <w:bookmarkStart w:id="2012" w:name="Bookmark_I5VDCGTJ2HM6CG0040000400"/>
      <w:bookmarkEnd w:id="2012"/>
      <w:r>
        <w:rPr>
          <w:rFonts w:ascii="Arial" w:eastAsia="Arial" w:hAnsi="Arial" w:cs="Arial"/>
          <w:i/>
          <w:color w:val="000000"/>
          <w:sz w:val="20"/>
        </w:rPr>
        <w:t>Mallett v. Wisconsin Div. of Voc. Rehabilitation</w:t>
      </w:r>
      <w:r>
        <w:rPr>
          <w:rFonts w:ascii="Arial" w:eastAsia="Arial" w:hAnsi="Arial" w:cs="Arial"/>
          <w:color w:val="000000"/>
          <w:sz w:val="20"/>
        </w:rPr>
        <w:t xml:space="preserve">, 130 F.3d 1245, 1257 (7th Cir. 1997). The hospital contests only this fourth element of sole cause. </w:t>
      </w:r>
      <w:bookmarkStart w:id="2013" w:name="Bookmark_I5VDCGTJ2D6N8P0020000400"/>
      <w:bookmarkEnd w:id="2013"/>
      <w:r>
        <w:rPr>
          <w:rFonts w:ascii="Arial" w:eastAsia="Arial" w:hAnsi="Arial" w:cs="Arial"/>
          <w:color w:val="000000"/>
          <w:sz w:val="20"/>
        </w:rPr>
        <w:t xml:space="preserve">The ADA and the Rehabilitation Act are otherwise very similar, but the Rehabilitation Act prohibits discrimination only if it is "solely by reason of" a person's disability. The ADA permits mixed-motive claims. See </w:t>
      </w:r>
      <w:bookmarkStart w:id="2014" w:name="Bookmark_I5VDCGTJ2D6N8P0010000400"/>
      <w:bookmarkEnd w:id="2014"/>
      <w:r>
        <w:rPr>
          <w:rFonts w:ascii="Arial" w:eastAsia="Arial" w:hAnsi="Arial" w:cs="Arial"/>
          <w:i/>
          <w:color w:val="000000"/>
          <w:sz w:val="20"/>
        </w:rPr>
        <w:t>Whitaker v. Wisconsin Dep't of Health Servs.</w:t>
      </w:r>
      <w:r>
        <w:rPr>
          <w:rFonts w:ascii="Arial" w:eastAsia="Arial" w:hAnsi="Arial" w:cs="Arial"/>
          <w:color w:val="000000"/>
          <w:sz w:val="20"/>
        </w:rPr>
        <w:t>, 849 F.3d 681, 684 (7th Cir. 2017).</w:t>
      </w:r>
    </w:p>
    <w:p w:rsidR="00E456CD" w:rsidRDefault="00000000">
      <w:pPr>
        <w:pStyle w:val="Normal9"/>
        <w:widowControl w:val="0"/>
        <w:spacing w:before="200" w:line="260" w:lineRule="atLeast"/>
        <w:jc w:val="both"/>
      </w:pPr>
      <w:bookmarkStart w:id="2015" w:name="Bookmark_para_61_1"/>
      <w:bookmarkStart w:id="2016" w:name="Bookmark_I14W2R5JMF4000745BJ000CM"/>
      <w:bookmarkStart w:id="2017" w:name="Bookmark_I5VDCGTJ2D6N8P0040000400"/>
      <w:bookmarkStart w:id="2018" w:name="Bookmark_LNHNREFclscc15"/>
      <w:bookmarkEnd w:id="2015"/>
      <w:bookmarkEnd w:id="2016"/>
      <w:bookmarkEnd w:id="2017"/>
      <w:bookmarkEnd w:id="2018"/>
      <w:r>
        <w:rPr>
          <w:rFonts w:ascii="Arial" w:eastAsia="Arial" w:hAnsi="Arial" w:cs="Arial"/>
          <w:color w:val="000000"/>
          <w:sz w:val="20"/>
        </w:rPr>
        <w:t xml:space="preserve">A plaintiff suing under the Rehabilitation Act can assert that she was intentionally discriminated against or that the defendant failed to afford her a reasonable accommodation for her disability. </w:t>
      </w:r>
      <w:bookmarkStart w:id="2019" w:name="Bookmark_I5VDCGTJ2SF8D10010000400"/>
      <w:bookmarkEnd w:id="2019"/>
      <w:r>
        <w:rPr>
          <w:rFonts w:ascii="Arial" w:eastAsia="Arial" w:hAnsi="Arial" w:cs="Arial"/>
          <w:color w:val="000000"/>
          <w:sz w:val="20"/>
        </w:rPr>
        <w:t xml:space="preserve">The Rehabilitation Act does not contain an explicit accommodation requirement, but the Supreme Court has located a duty to accommodate in the statute generally. </w:t>
      </w:r>
      <w:bookmarkStart w:id="2020" w:name="Bookmark_I5VDCGTJ2SF8D10050000400"/>
      <w:bookmarkEnd w:id="2020"/>
      <w:r>
        <w:rPr>
          <w:rFonts w:ascii="Arial" w:eastAsia="Arial" w:hAnsi="Arial" w:cs="Arial"/>
          <w:color w:val="000000"/>
          <w:sz w:val="20"/>
        </w:rPr>
        <w:t xml:space="preserve">We have written that in </w:t>
      </w:r>
      <w:bookmarkStart w:id="2021" w:name="Bookmark_I5VDCGTJ2D6N8P0030000400"/>
      <w:bookmarkEnd w:id="2021"/>
      <w:r>
        <w:rPr>
          <w:rFonts w:ascii="Arial" w:eastAsia="Arial" w:hAnsi="Arial" w:cs="Arial"/>
          <w:i/>
          <w:color w:val="000000"/>
          <w:sz w:val="20"/>
        </w:rPr>
        <w:t>Alexander v. Choate</w:t>
      </w:r>
      <w:r>
        <w:rPr>
          <w:rFonts w:ascii="Arial" w:eastAsia="Arial" w:hAnsi="Arial" w:cs="Arial"/>
          <w:color w:val="000000"/>
          <w:sz w:val="20"/>
        </w:rPr>
        <w:t>, 469 U.S. 287, 105 S. Ct. 712, 83 L. Ed. 2d 661 (1985),</w:t>
      </w:r>
    </w:p>
    <w:p w:rsidR="00E456CD" w:rsidRDefault="00000000">
      <w:pPr>
        <w:pStyle w:val="Normal9"/>
        <w:widowControl w:val="0"/>
        <w:spacing w:before="200" w:line="260" w:lineRule="atLeast"/>
        <w:ind w:left="400"/>
        <w:jc w:val="both"/>
      </w:pPr>
      <w:bookmarkStart w:id="2022" w:name="Bookmark_para_62_1"/>
      <w:bookmarkStart w:id="2023" w:name="Bookmark_I5VDCGTJ2SF8D10050000400_2"/>
      <w:bookmarkStart w:id="2024" w:name="Bookmark_I5VDCGTJ2SF8D10010000400_2"/>
      <w:bookmarkStart w:id="2025" w:name="Bookmark_I14W2R5JTJ0000745BJ000CN"/>
      <w:bookmarkStart w:id="2026" w:name="Bookmark_I5VDCGTJ28T4280020000400"/>
      <w:bookmarkEnd w:id="2022"/>
      <w:bookmarkEnd w:id="2023"/>
      <w:bookmarkEnd w:id="2024"/>
      <w:bookmarkEnd w:id="2025"/>
      <w:bookmarkEnd w:id="2026"/>
      <w:r>
        <w:rPr>
          <w:rFonts w:ascii="Arial" w:eastAsia="Arial" w:hAnsi="Arial" w:cs="Arial"/>
          <w:color w:val="000000"/>
          <w:sz w:val="20"/>
        </w:rPr>
        <w:t xml:space="preserve">the Court explained that "'a refusal to modify an existing program might become unreasonable and discriminatory.'" </w:t>
      </w:r>
      <w:bookmarkStart w:id="2027" w:name="Bookmark_I5VDCGTJ2D6N8P0050000400"/>
      <w:bookmarkEnd w:id="2027"/>
      <w:r>
        <w:rPr>
          <w:rFonts w:ascii="Arial" w:eastAsia="Arial" w:hAnsi="Arial" w:cs="Arial"/>
          <w:i/>
          <w:color w:val="000000"/>
          <w:sz w:val="20"/>
        </w:rPr>
        <w:t>Id.</w:t>
      </w:r>
      <w:r>
        <w:rPr>
          <w:rFonts w:ascii="Arial" w:eastAsia="Arial" w:hAnsi="Arial" w:cs="Arial"/>
          <w:color w:val="000000"/>
          <w:sz w:val="20"/>
        </w:rPr>
        <w:t xml:space="preserve"> at 300 (quoting </w:t>
      </w:r>
      <w:bookmarkStart w:id="2028" w:name="Bookmark_I5VDCGTJ2SF8D10020000400"/>
      <w:bookmarkEnd w:id="2028"/>
      <w:r>
        <w:rPr>
          <w:rFonts w:ascii="Arial" w:eastAsia="Arial" w:hAnsi="Arial" w:cs="Arial"/>
          <w:i/>
          <w:color w:val="000000"/>
          <w:sz w:val="20"/>
        </w:rPr>
        <w:t>Southeastern Cmty. Coll. v. Davis</w:t>
      </w:r>
      <w:r>
        <w:rPr>
          <w:rFonts w:ascii="Arial" w:eastAsia="Arial" w:hAnsi="Arial" w:cs="Arial"/>
          <w:color w:val="000000"/>
          <w:sz w:val="20"/>
        </w:rPr>
        <w:t xml:space="preserve">, 442 U.S. 397, 413, 99 S. Ct. 2361, 60 L. Ed. 2d 980 (1979)). </w:t>
      </w:r>
      <w:bookmarkStart w:id="2029" w:name="Bookmark_I5VDCGTJ28T4280020000400_2"/>
      <w:bookmarkEnd w:id="2029"/>
      <w:r>
        <w:rPr>
          <w:rFonts w:ascii="Arial" w:eastAsia="Arial" w:hAnsi="Arial" w:cs="Arial"/>
          <w:color w:val="000000"/>
          <w:sz w:val="20"/>
        </w:rPr>
        <w:t xml:space="preserve">The Rehabilitation Act's promise of "meaningful access" to state benefits, according to the Court, means that "reasonable accommodations in the grantee's program or benefit may have to be made." </w:t>
      </w:r>
      <w:bookmarkStart w:id="2030" w:name="Bookmark_I5VDCGTJ2SF8D10040000400"/>
      <w:bookmarkEnd w:id="2030"/>
      <w:r>
        <w:rPr>
          <w:rFonts w:ascii="Arial" w:eastAsia="Arial" w:hAnsi="Arial" w:cs="Arial"/>
          <w:i/>
          <w:color w:val="000000"/>
          <w:sz w:val="20"/>
        </w:rPr>
        <w:t>Id.</w:t>
      </w:r>
      <w:r>
        <w:rPr>
          <w:rFonts w:ascii="Arial" w:eastAsia="Arial" w:hAnsi="Arial" w:cs="Arial"/>
          <w:color w:val="000000"/>
          <w:sz w:val="20"/>
        </w:rPr>
        <w:t xml:space="preserve"> at 301.</w:t>
      </w:r>
    </w:p>
    <w:p w:rsidR="00E456CD" w:rsidRDefault="00000000">
      <w:pPr>
        <w:pStyle w:val="Normal9"/>
        <w:widowControl w:val="0"/>
        <w:spacing w:before="200" w:line="260" w:lineRule="atLeast"/>
        <w:jc w:val="both"/>
      </w:pPr>
      <w:bookmarkStart w:id="2031" w:name="Bookmark_I5VDCGTJ28T4280020000400_3"/>
      <w:bookmarkStart w:id="2032" w:name="Bookmark_I5VDCGTJ28T4280010000400"/>
      <w:bookmarkEnd w:id="2031"/>
      <w:bookmarkEnd w:id="2032"/>
      <w:r>
        <w:rPr>
          <w:rFonts w:ascii="Arial" w:eastAsia="Arial" w:hAnsi="Arial" w:cs="Arial"/>
          <w:i/>
          <w:color w:val="000000"/>
          <w:sz w:val="20"/>
        </w:rPr>
        <w:t>Wisconsin Community Services, Inc. v. City of Milwaukee</w:t>
      </w:r>
      <w:r>
        <w:rPr>
          <w:rFonts w:ascii="Arial" w:eastAsia="Arial" w:hAnsi="Arial" w:cs="Arial"/>
          <w:color w:val="000000"/>
          <w:sz w:val="20"/>
        </w:rPr>
        <w:t xml:space="preserve">, 465 F.3d 737, 747 (7th Cir. 2006). </w:t>
      </w:r>
      <w:bookmarkStart w:id="2033" w:name="Bookmark_I5VDCGTJ28T4280040000400"/>
      <w:bookmarkEnd w:id="2033"/>
      <w:r>
        <w:rPr>
          <w:rFonts w:ascii="Arial" w:eastAsia="Arial" w:hAnsi="Arial" w:cs="Arial"/>
          <w:color w:val="000000"/>
          <w:sz w:val="20"/>
        </w:rPr>
        <w:t>We explained further:</w:t>
      </w:r>
    </w:p>
    <w:p w:rsidR="00E456CD" w:rsidRDefault="00000000">
      <w:pPr>
        <w:pStyle w:val="Normal9"/>
        <w:widowControl w:val="0"/>
        <w:spacing w:before="200" w:line="260" w:lineRule="atLeast"/>
        <w:ind w:left="400"/>
        <w:jc w:val="both"/>
      </w:pPr>
      <w:bookmarkStart w:id="2034" w:name="Bookmark_para_63_1"/>
      <w:bookmarkStart w:id="2035" w:name="Bookmark_I5VDCGTJ28T4280040000400_2"/>
      <w:bookmarkEnd w:id="2034"/>
      <w:bookmarkEnd w:id="2035"/>
      <w:r>
        <w:rPr>
          <w:rFonts w:ascii="Arial" w:eastAsia="Arial" w:hAnsi="Arial" w:cs="Arial"/>
          <w:color w:val="000000"/>
          <w:sz w:val="20"/>
        </w:rPr>
        <w:t xml:space="preserve"> [*485]  Following </w:t>
      </w:r>
      <w:r>
        <w:rPr>
          <w:rFonts w:ascii="Arial" w:eastAsia="Arial" w:hAnsi="Arial" w:cs="Arial"/>
          <w:i/>
          <w:color w:val="000000"/>
          <w:sz w:val="20"/>
        </w:rPr>
        <w:t>Choate</w:t>
      </w:r>
      <w:r>
        <w:rPr>
          <w:rFonts w:ascii="Arial" w:eastAsia="Arial" w:hAnsi="Arial" w:cs="Arial"/>
          <w:color w:val="000000"/>
          <w:sz w:val="20"/>
        </w:rPr>
        <w:t xml:space="preserve">, several courts of appeals have adopted the view that the Rehabilitation Act requires public entities to modify federally assisted programs if such [**25]  a modification is necessary to ensure that the disabled have equal access to the benefits of that program. </w:t>
      </w:r>
      <w:bookmarkStart w:id="2036" w:name="Bookmark_I14W2R5KD48000745BJ000CS"/>
      <w:bookmarkStart w:id="2037" w:name="Bookmark_I5VDCGTJ2HM6CH0010000400"/>
      <w:bookmarkEnd w:id="2036"/>
      <w:bookmarkEnd w:id="2037"/>
      <w:r>
        <w:rPr>
          <w:rFonts w:ascii="Arial" w:eastAsia="Arial" w:hAnsi="Arial" w:cs="Arial"/>
          <w:i/>
          <w:color w:val="000000"/>
          <w:sz w:val="20"/>
        </w:rPr>
        <w:t xml:space="preserve">See, e.g., </w:t>
      </w:r>
      <w:bookmarkStart w:id="2038" w:name="Bookmark_I5VDCGTJ28T4280030000400"/>
      <w:bookmarkEnd w:id="2038"/>
      <w:r>
        <w:rPr>
          <w:rFonts w:ascii="Arial" w:eastAsia="Arial" w:hAnsi="Arial" w:cs="Arial"/>
          <w:i/>
          <w:color w:val="000000"/>
          <w:sz w:val="20"/>
        </w:rPr>
        <w:t>Henrietta D. v. Bloomberg</w:t>
      </w:r>
      <w:r>
        <w:rPr>
          <w:rFonts w:ascii="Arial" w:eastAsia="Arial" w:hAnsi="Arial" w:cs="Arial"/>
          <w:color w:val="000000"/>
          <w:sz w:val="20"/>
        </w:rPr>
        <w:t xml:space="preserve">, 331 F.3d 261, 274-75 (2d Cir. 2003). </w:t>
      </w:r>
      <w:bookmarkStart w:id="2039" w:name="Bookmark_I5VDCGTJ2HM6CH0010000400_2"/>
      <w:bookmarkEnd w:id="2039"/>
      <w:r>
        <w:rPr>
          <w:rFonts w:ascii="Arial" w:eastAsia="Arial" w:hAnsi="Arial" w:cs="Arial"/>
          <w:color w:val="000000"/>
          <w:sz w:val="20"/>
        </w:rPr>
        <w:t xml:space="preserve">These circuits, including ours, also follow the corollary principle implicit in the </w:t>
      </w:r>
      <w:r>
        <w:rPr>
          <w:rFonts w:ascii="Arial" w:eastAsia="Arial" w:hAnsi="Arial" w:cs="Arial"/>
          <w:i/>
          <w:color w:val="000000"/>
          <w:sz w:val="20"/>
        </w:rPr>
        <w:t>Choate</w:t>
      </w:r>
      <w:r>
        <w:rPr>
          <w:rFonts w:ascii="Arial" w:eastAsia="Arial" w:hAnsi="Arial" w:cs="Arial"/>
          <w:color w:val="000000"/>
          <w:sz w:val="20"/>
        </w:rPr>
        <w:t xml:space="preserve"> decision that the Rehabilitation Act helps disabled individuals obtain access to benefits only when they would have difficulty obtaining those benefits "by reason of" their disabilities, and not because of some quality that they share generally with the public.</w:t>
      </w:r>
    </w:p>
    <w:p w:rsidR="00E456CD" w:rsidRDefault="00000000">
      <w:pPr>
        <w:pStyle w:val="Normal9"/>
        <w:widowControl w:val="0"/>
        <w:spacing w:before="200" w:line="260" w:lineRule="atLeast"/>
        <w:jc w:val="both"/>
      </w:pPr>
      <w:bookmarkStart w:id="2040" w:name="Bookmark_I5VDCGTJ2HM6CH0010000400_3"/>
      <w:bookmarkStart w:id="2041" w:name="Bookmark_I5VDCGTJ28T4280050000400"/>
      <w:bookmarkEnd w:id="2040"/>
      <w:bookmarkEnd w:id="2041"/>
      <w:r>
        <w:rPr>
          <w:rFonts w:ascii="Arial" w:eastAsia="Arial" w:hAnsi="Arial" w:cs="Arial"/>
          <w:i/>
          <w:color w:val="000000"/>
          <w:sz w:val="20"/>
        </w:rPr>
        <w:t>Id.</w:t>
      </w:r>
      <w:r>
        <w:rPr>
          <w:rFonts w:ascii="Arial" w:eastAsia="Arial" w:hAnsi="Arial" w:cs="Arial"/>
          <w:color w:val="000000"/>
          <w:sz w:val="20"/>
        </w:rPr>
        <w:t xml:space="preserve"> at 748.</w:t>
      </w:r>
    </w:p>
    <w:p w:rsidR="00E456CD" w:rsidRDefault="00000000">
      <w:pPr>
        <w:pStyle w:val="Normal9"/>
        <w:widowControl w:val="0"/>
        <w:spacing w:before="120" w:line="260" w:lineRule="atLeast"/>
      </w:pPr>
      <w:r>
        <w:rPr>
          <w:rFonts w:ascii="Arial" w:eastAsia="Arial" w:hAnsi="Arial" w:cs="Arial"/>
          <w:color w:val="000000"/>
          <w:sz w:val="20"/>
        </w:rPr>
        <w:t xml:space="preserve">2. </w:t>
      </w:r>
      <w:r>
        <w:rPr>
          <w:rFonts w:ascii="Arial" w:eastAsia="Arial" w:hAnsi="Arial" w:cs="Arial"/>
          <w:i/>
          <w:color w:val="000000"/>
          <w:sz w:val="20"/>
        </w:rPr>
        <w:t>Analysis of the Rehabilitation Act Claims</w:t>
      </w:r>
    </w:p>
    <w:p w:rsidR="00E456CD" w:rsidRDefault="00000000">
      <w:pPr>
        <w:pStyle w:val="Normal9"/>
        <w:widowControl w:val="0"/>
        <w:spacing w:before="200" w:line="260" w:lineRule="atLeast"/>
        <w:jc w:val="both"/>
      </w:pPr>
      <w:bookmarkStart w:id="2042" w:name="Bookmark_para_64_1"/>
      <w:bookmarkStart w:id="2043" w:name="Bookmark_I5VDCGTJ2HM6CH0030000400"/>
      <w:bookmarkStart w:id="2044" w:name="Bookmark_LNHNREFclscc16"/>
      <w:bookmarkEnd w:id="2042"/>
      <w:bookmarkEnd w:id="2043"/>
      <w:bookmarkEnd w:id="2044"/>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the district court's grant of summary judgment on the merits. </w:t>
      </w:r>
      <w:bookmarkStart w:id="2045" w:name="Bookmark_I5VDCGTJ2HM6CH0020000400"/>
      <w:bookmarkEnd w:id="2045"/>
      <w:r>
        <w:rPr>
          <w:rFonts w:ascii="Arial" w:eastAsia="Arial" w:hAnsi="Arial" w:cs="Arial"/>
          <w:i/>
          <w:color w:val="000000"/>
          <w:sz w:val="20"/>
        </w:rPr>
        <w:t>Whitaker</w:t>
      </w:r>
      <w:r>
        <w:rPr>
          <w:rFonts w:ascii="Arial" w:eastAsia="Arial" w:hAnsi="Arial" w:cs="Arial"/>
          <w:color w:val="000000"/>
          <w:sz w:val="20"/>
        </w:rPr>
        <w:t>, 849 F.3d at 684. Summary judgment is proper when the moving party shows that there is no genuine dispute as to any material fact and that it is entitled to judgment as a matter of law. Fed. R. Civ. P. 56(a).</w:t>
      </w:r>
    </w:p>
    <w:p w:rsidR="00E456CD" w:rsidRDefault="00000000">
      <w:pPr>
        <w:pStyle w:val="Normal9"/>
        <w:widowControl w:val="0"/>
        <w:spacing w:before="200" w:line="260" w:lineRule="atLeast"/>
        <w:jc w:val="both"/>
      </w:pPr>
      <w:bookmarkStart w:id="2046" w:name="Bookmark_para_65_1"/>
      <w:bookmarkEnd w:id="2046"/>
      <w:r>
        <w:rPr>
          <w:rFonts w:ascii="Arial" w:eastAsia="Arial" w:hAnsi="Arial" w:cs="Arial"/>
          <w:color w:val="000000"/>
          <w:sz w:val="20"/>
        </w:rPr>
        <w:t xml:space="preserve">We reverse the dismissal of Reed's intentional discrimination claim, which is based only on the seclusion-room incident. The district court determined that the undisputed facts show that the "seclusion incident" was motivated at least in part by factors other than Reed's disability. </w:t>
      </w:r>
      <w:bookmarkStart w:id="2047" w:name="Bookmark_I5VDCGTJ2HM6CH0050000400"/>
      <w:bookmarkEnd w:id="2047"/>
      <w:r>
        <w:rPr>
          <w:rFonts w:ascii="Arial" w:eastAsia="Arial" w:hAnsi="Arial" w:cs="Arial"/>
          <w:color w:val="000000"/>
          <w:sz w:val="20"/>
        </w:rPr>
        <w:t xml:space="preserve">The court stated that Reed "admits that she spilled her coffee and thereafter fell to the floor screaming. She further concedes that Miller told her [**26]  that she could not remain on the floor in the middle of the hallway. (Docket # 55 ¶ 43)." </w:t>
      </w:r>
      <w:bookmarkStart w:id="2048" w:name="Bookmark_I5VDCGTJ2HM6CH0040000400"/>
      <w:bookmarkEnd w:id="2048"/>
      <w:r>
        <w:rPr>
          <w:rFonts w:ascii="Arial" w:eastAsia="Arial" w:hAnsi="Arial" w:cs="Arial"/>
          <w:i/>
          <w:color w:val="000000"/>
          <w:sz w:val="20"/>
        </w:rPr>
        <w:t>Reed</w:t>
      </w:r>
      <w:r>
        <w:rPr>
          <w:rFonts w:ascii="Arial" w:eastAsia="Arial" w:hAnsi="Arial" w:cs="Arial"/>
          <w:color w:val="000000"/>
          <w:sz w:val="20"/>
        </w:rPr>
        <w:t>, 236 F. Supp. at 1106.</w:t>
      </w:r>
    </w:p>
    <w:p w:rsidR="00E456CD" w:rsidRDefault="00000000">
      <w:pPr>
        <w:pStyle w:val="Normal9"/>
        <w:widowControl w:val="0"/>
        <w:spacing w:before="200" w:line="260" w:lineRule="atLeast"/>
        <w:jc w:val="both"/>
      </w:pPr>
      <w:bookmarkStart w:id="2049" w:name="Bookmark_para_66_1"/>
      <w:bookmarkEnd w:id="2049"/>
      <w:r>
        <w:rPr>
          <w:rFonts w:ascii="Arial" w:eastAsia="Arial" w:hAnsi="Arial" w:cs="Arial"/>
          <w:color w:val="000000"/>
          <w:sz w:val="20"/>
        </w:rPr>
        <w:t>The district court either misconstrued or exaggerated Reed's concessions. Reed has not conceded any of the reasons Miller cited for taking her to the seclusion room. The district court did not include a record citation for its assertion that Reed admitted she fell to the floor "screaming." We have not seen such an admission in the record. Reed admits that she spilled coffee and was on the floor of the hallway. She specifically denies she was screaming. See Dkt. 55, ¶¶ 38-45, citing Reed Affidavit, Ex. A, Dkt. 55-26. According to the district court, this disturbance at least partially motivated the hospital staff to put her in seclusion.</w:t>
      </w:r>
    </w:p>
    <w:p w:rsidR="00E456CD" w:rsidRDefault="00000000">
      <w:pPr>
        <w:pStyle w:val="Normal9"/>
        <w:widowControl w:val="0"/>
        <w:spacing w:before="200" w:line="260" w:lineRule="atLeast"/>
        <w:jc w:val="both"/>
      </w:pPr>
      <w:bookmarkStart w:id="2050" w:name="Bookmark_para_67_1"/>
      <w:bookmarkEnd w:id="2050"/>
      <w:r>
        <w:rPr>
          <w:rFonts w:ascii="Arial" w:eastAsia="Arial" w:hAnsi="Arial" w:cs="Arial"/>
          <w:color w:val="000000"/>
          <w:sz w:val="20"/>
        </w:rPr>
        <w:t>The undisputed facts show that Reed spilled coffee on herself and was on the floor of the hallway. We agree with the district court that Miller was responding to this situation (and not solely to Reed's disabilities) when he picked her up off the floor. So far, so good. But Miller himself testified that, at that point, he started to take Reed back to her own room (not the seclusion room). It was only during the walk to her room that, because of her screaming, the [**27]  decision was made to take her to the seclusion room. Thus, a jury could find that nothing Reed has conceded (spilling coffee and lying on the floor) led Miller to take her to the seclusion room. Spilling the coffee and lying on the floor prompted Miller only to take Reed back to her own room. It was the action that Reed specifically denies (screaming during the walk) that Miller says led him and Fry to take Reed to the seclusion room. Reed has not conceded that she did anything disruptive during the walk to her room, when hospital staff decided to take her to the seclusion room. The material facts that led to her being placed in seclusion are disputed. Crediting Reed's version of the event, a reasonable jury could find that the hospital intentionally discriminated against  [*486]  Reed solely on the basis of her disability.</w:t>
      </w:r>
      <w:r>
        <w:rPr>
          <w:rFonts w:ascii="Arial" w:eastAsia="Arial" w:hAnsi="Arial" w:cs="Arial"/>
          <w:vertAlign w:val="superscript"/>
        </w:rPr>
        <w:footnoteReference w:customMarkFollows="1" w:id="84"/>
        <w:t>6</w:t>
      </w:r>
    </w:p>
    <w:p w:rsidR="00E456CD" w:rsidRDefault="00000000">
      <w:pPr>
        <w:pStyle w:val="Normal9"/>
        <w:widowControl w:val="0"/>
        <w:spacing w:before="200" w:line="260" w:lineRule="atLeast"/>
        <w:jc w:val="both"/>
      </w:pPr>
      <w:bookmarkStart w:id="2066" w:name="Bookmark_para_68_1"/>
      <w:bookmarkEnd w:id="2066"/>
      <w:r>
        <w:rPr>
          <w:rFonts w:ascii="Arial" w:eastAsia="Arial" w:hAnsi="Arial" w:cs="Arial"/>
          <w:color w:val="000000"/>
          <w:sz w:val="20"/>
        </w:rPr>
        <w:t>We also reverse the dismissal of Reed's reasonable accommodation claim. This claim is based on all of the allegations Reed asserts in her complaint (seclusion-room incident; withholding Dynavox; security escort off the premises; and denial of requests to use telephone, to see a chaplain, and to see medical records). While medical professionals certainly are entitled [**28]  to discretion in managing their patients, the hospital has not argued that it withheld the Dynavox in the exercise of professional judgment to treat Reed's mental illness. Withholding the Dynavox in particular may support a viable failure-to-accommodate claim under the Rehabilitation Act, subject to the considerations discussed above in note 6.</w:t>
      </w:r>
    </w:p>
    <w:p w:rsidR="00E456CD" w:rsidRDefault="00000000">
      <w:pPr>
        <w:pStyle w:val="Normal9"/>
        <w:widowControl w:val="0"/>
        <w:spacing w:before="200" w:line="260" w:lineRule="atLeast"/>
        <w:jc w:val="both"/>
      </w:pPr>
      <w:bookmarkStart w:id="2067" w:name="Bookmark_para_69_1"/>
      <w:bookmarkEnd w:id="2067"/>
      <w:r>
        <w:rPr>
          <w:rFonts w:ascii="Arial" w:eastAsia="Arial" w:hAnsi="Arial" w:cs="Arial"/>
          <w:color w:val="000000"/>
          <w:sz w:val="20"/>
        </w:rPr>
        <w:t>The district court's grant of summary judgment in favor of the hospital is REVERSED and the case is REMANDED for proceedings consistent with this opinion. On remand, Circuit Rule 36 shall apply.</w:t>
      </w:r>
    </w:p>
    <w:p w:rsidR="00E456CD" w:rsidRDefault="00E456CD">
      <w:pPr>
        <w:pStyle w:val="Normal9"/>
      </w:pPr>
    </w:p>
    <w:p w:rsidR="00E456CD" w:rsidRDefault="00000000">
      <w:pPr>
        <w:pStyle w:val="Normal9"/>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8076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45822916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4BA38" id="Line 2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0"/>
        <w:sectPr w:rsidR="00E456CD">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gutter="0"/>
          <w:cols w:space="720"/>
          <w:titlePg/>
        </w:sectPr>
      </w:pPr>
    </w:p>
    <w:p w:rsidR="00E456CD" w:rsidRDefault="00E456CD">
      <w:pPr>
        <w:pStyle w:val="Normal10"/>
      </w:pPr>
    </w:p>
    <w:p w:rsidR="00E456CD" w:rsidRDefault="00000000">
      <w:pPr>
        <w:pStyle w:val="Heading19"/>
        <w:keepNext w:val="0"/>
        <w:widowControl w:val="0"/>
        <w:spacing w:after="200" w:line="340" w:lineRule="atLeast"/>
        <w:jc w:val="center"/>
      </w:pPr>
      <w:r>
        <w:rPr>
          <w:rFonts w:eastAsia="Arial"/>
          <w:color w:val="000000"/>
          <w:sz w:val="28"/>
        </w:rPr>
        <w:t>Gati v. W. Ky. Univ.</w:t>
      </w:r>
    </w:p>
    <w:p w:rsidR="00E456CD" w:rsidRDefault="00000000">
      <w:pPr>
        <w:pStyle w:val="Normal10"/>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10"/>
        <w:widowControl w:val="0"/>
        <w:spacing w:before="120" w:line="260" w:lineRule="atLeast"/>
        <w:jc w:val="center"/>
      </w:pPr>
      <w:r>
        <w:rPr>
          <w:rFonts w:ascii="Arial" w:eastAsia="Arial" w:hAnsi="Arial" w:cs="Arial"/>
          <w:color w:val="000000"/>
          <w:sz w:val="20"/>
        </w:rPr>
        <w:t>January 29, 2019, Filed</w:t>
      </w:r>
    </w:p>
    <w:p w:rsidR="00E456CD" w:rsidRDefault="00000000">
      <w:pPr>
        <w:pStyle w:val="Normal10"/>
        <w:widowControl w:val="0"/>
        <w:spacing w:before="120" w:line="260" w:lineRule="atLeast"/>
        <w:jc w:val="center"/>
      </w:pPr>
      <w:r>
        <w:rPr>
          <w:rFonts w:ascii="Arial" w:eastAsia="Arial" w:hAnsi="Arial" w:cs="Arial"/>
          <w:color w:val="000000"/>
          <w:sz w:val="20"/>
        </w:rPr>
        <w:t>File Name: 19a0048n.06</w:t>
      </w:r>
    </w:p>
    <w:p w:rsidR="00E456CD" w:rsidRDefault="00000000">
      <w:pPr>
        <w:pStyle w:val="Normal10"/>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Case No. 18-5732</w:t>
      </w:r>
    </w:p>
    <w:p w:rsidR="00E456CD" w:rsidRDefault="00E456CD">
      <w:pPr>
        <w:pStyle w:val="Normal10"/>
        <w:widowControl w:val="0"/>
        <w:spacing w:line="240" w:lineRule="atLeast"/>
        <w:jc w:val="both"/>
      </w:pPr>
      <w:bookmarkStart w:id="2068" w:name="Bookmark_11"/>
      <w:bookmarkEnd w:id="2068"/>
    </w:p>
    <w:p w:rsidR="00E456CD" w:rsidRDefault="00000000">
      <w:pPr>
        <w:pStyle w:val="Normal10"/>
        <w:widowControl w:val="0"/>
        <w:spacing w:before="200" w:line="240" w:lineRule="atLeast"/>
      </w:pPr>
      <w:bookmarkStart w:id="2069" w:name="Reporter_9"/>
      <w:bookmarkEnd w:id="2069"/>
      <w:r>
        <w:rPr>
          <w:rFonts w:ascii="Arial" w:eastAsia="Arial" w:hAnsi="Arial" w:cs="Arial"/>
          <w:b/>
          <w:color w:val="000000"/>
          <w:sz w:val="18"/>
        </w:rPr>
        <w:t>Reporter</w:t>
      </w:r>
    </w:p>
    <w:p w:rsidR="00E456CD" w:rsidRDefault="00000000">
      <w:pPr>
        <w:pStyle w:val="Normal10"/>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762 Fed. Appx. 246 *; 2019 U.S. App. LEXIS 2931 **; 2019 FED App. 0048N (6th Cir.)</w:t>
      </w:r>
    </w:p>
    <w:p w:rsidR="00E456CD" w:rsidRDefault="00000000">
      <w:pPr>
        <w:pStyle w:val="Normal10"/>
        <w:widowControl w:val="0"/>
        <w:spacing w:before="120" w:line="260" w:lineRule="atLeast"/>
      </w:pPr>
      <w:r>
        <w:rPr>
          <w:rFonts w:ascii="Arial" w:eastAsia="Arial" w:hAnsi="Arial" w:cs="Arial"/>
          <w:color w:val="000000"/>
          <w:sz w:val="20"/>
        </w:rPr>
        <w:t>JASON GATI, Plaintiff-Appellant, v. WESTERN KENTUCKY UNIVERSITY; CRISSY PRIDDY, in her individual capacity and in her official capacity as Assistant Director of Graduate Admissions; BILL KLINE, in his individual capacity and in his official capacity as Head of the Department of Counseling and Student Affairs, Defendants-Appellees.</w:t>
      </w:r>
    </w:p>
    <w:p w:rsidR="00E456CD" w:rsidRDefault="00000000">
      <w:pPr>
        <w:pStyle w:val="Normal10"/>
        <w:widowControl w:val="0"/>
        <w:spacing w:before="240" w:line="260" w:lineRule="atLeast"/>
        <w:jc w:val="both"/>
      </w:pPr>
      <w:bookmarkStart w:id="2070" w:name="Notice_3"/>
      <w:bookmarkEnd w:id="2070"/>
      <w:r>
        <w:rPr>
          <w:rFonts w:ascii="Arial" w:eastAsia="Arial" w:hAnsi="Arial" w:cs="Arial"/>
          <w:b/>
          <w:color w:val="000000"/>
          <w:sz w:val="20"/>
        </w:rPr>
        <w:t>Notice:</w:t>
      </w:r>
      <w:r>
        <w:rPr>
          <w:rFonts w:ascii="Arial" w:eastAsia="Arial" w:hAnsi="Arial" w:cs="Arial"/>
          <w:color w:val="000000"/>
          <w:sz w:val="20"/>
        </w:rPr>
        <w:t> </w:t>
      </w:r>
      <w:bookmarkStart w:id="2071" w:name="Bookmark_para_1_9"/>
      <w:bookmarkEnd w:id="2071"/>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10"/>
        <w:widowControl w:val="0"/>
        <w:spacing w:before="240" w:line="260" w:lineRule="atLeast"/>
        <w:jc w:val="both"/>
      </w:pPr>
      <w:bookmarkStart w:id="2072" w:name="Prior_History_9"/>
      <w:bookmarkEnd w:id="2072"/>
      <w:r>
        <w:rPr>
          <w:rFonts w:ascii="Arial" w:eastAsia="Arial" w:hAnsi="Arial" w:cs="Arial"/>
          <w:b/>
          <w:color w:val="000000"/>
          <w:sz w:val="20"/>
        </w:rPr>
        <w:t>Prior History:</w:t>
      </w:r>
      <w:r>
        <w:rPr>
          <w:rFonts w:ascii="Arial" w:eastAsia="Arial" w:hAnsi="Arial" w:cs="Arial"/>
          <w:color w:val="000000"/>
          <w:sz w:val="20"/>
        </w:rPr>
        <w:t> </w:t>
      </w:r>
      <w:bookmarkStart w:id="2073" w:name="Bookmark_para_2_9"/>
      <w:bookmarkEnd w:id="2073"/>
      <w:r>
        <w:rPr>
          <w:rFonts w:ascii="Arial" w:eastAsia="Arial" w:hAnsi="Arial" w:cs="Arial"/>
          <w:color w:val="000000"/>
          <w:sz w:val="20"/>
        </w:rPr>
        <w:t> [**1] ON APPEAL FROM THE UNITED STATES DISTRICT COURT FOR THE WESTERN DISTRICT OF KENTUCKY.</w:t>
      </w:r>
    </w:p>
    <w:p w:rsidR="00E456CD" w:rsidRDefault="00000000">
      <w:pPr>
        <w:pStyle w:val="Normal10"/>
        <w:widowControl w:val="0"/>
        <w:spacing w:before="120" w:line="260" w:lineRule="atLeast"/>
      </w:pPr>
      <w:r>
        <w:rPr>
          <w:rFonts w:ascii="Arial" w:eastAsia="Arial" w:hAnsi="Arial" w:cs="Arial"/>
          <w:color w:val="000000"/>
          <w:sz w:val="20"/>
        </w:rPr>
        <w:t>Gati v. W. Ky. Univ., 283 F. Supp. 3d 616, 2017 U.S. Dist. LEXIS 158723 (W.D. Ky., Sept. 27, 2017)</w:t>
      </w:r>
    </w:p>
    <w:p w:rsidR="00E456CD" w:rsidRDefault="00000000">
      <w:pPr>
        <w:pStyle w:val="Normal10"/>
        <w:widowControl w:val="0"/>
        <w:spacing w:before="240" w:line="260" w:lineRule="atLeast"/>
      </w:pPr>
      <w:bookmarkStart w:id="2074" w:name="Counsel_9"/>
      <w:bookmarkEnd w:id="2074"/>
      <w:r>
        <w:rPr>
          <w:rFonts w:ascii="Arial" w:eastAsia="Arial" w:hAnsi="Arial" w:cs="Arial"/>
          <w:b/>
          <w:color w:val="000000"/>
          <w:sz w:val="20"/>
        </w:rPr>
        <w:t>Counsel:</w:t>
      </w:r>
      <w:r>
        <w:rPr>
          <w:rFonts w:ascii="Arial" w:eastAsia="Arial" w:hAnsi="Arial" w:cs="Arial"/>
          <w:color w:val="000000"/>
          <w:sz w:val="20"/>
        </w:rPr>
        <w:t> For JASON D. GATI, Plaintiff - Appellant: Garry Richard Adams, Jr., Law Office, Louisville, KY.</w:t>
      </w:r>
    </w:p>
    <w:p w:rsidR="00E456CD" w:rsidRDefault="00000000">
      <w:pPr>
        <w:pStyle w:val="Normal10"/>
        <w:widowControl w:val="0"/>
        <w:spacing w:before="120" w:line="260" w:lineRule="atLeast"/>
      </w:pPr>
      <w:r>
        <w:rPr>
          <w:rFonts w:ascii="Arial" w:eastAsia="Arial" w:hAnsi="Arial" w:cs="Arial"/>
          <w:color w:val="000000"/>
          <w:sz w:val="20"/>
        </w:rPr>
        <w:t>For WESTERN KENTUCKY UNIVERSITY, CRISSY PRIDDY, in her Individual capacity and in her official capacity as Assistant Director of Graduate Admissions, BILL KLINE, in his individual capacity as Head of the Department of Counseling and Student Affairs, Defendants - Appellees: Thomas N. Kerrick, Ena V. Demir, Kerrick Bachert, Bowling Green, KY.</w:t>
      </w:r>
    </w:p>
    <w:p w:rsidR="00E456CD" w:rsidRDefault="00000000">
      <w:pPr>
        <w:pStyle w:val="Normal10"/>
        <w:widowControl w:val="0"/>
        <w:spacing w:before="240" w:line="260" w:lineRule="atLeast"/>
      </w:pPr>
      <w:bookmarkStart w:id="2075" w:name="Judges_9"/>
      <w:bookmarkEnd w:id="2075"/>
      <w:r>
        <w:rPr>
          <w:rFonts w:ascii="Arial" w:eastAsia="Arial" w:hAnsi="Arial" w:cs="Arial"/>
          <w:b/>
          <w:color w:val="000000"/>
          <w:sz w:val="20"/>
        </w:rPr>
        <w:t>Judges:</w:t>
      </w:r>
      <w:r>
        <w:rPr>
          <w:rFonts w:ascii="Arial" w:eastAsia="Arial" w:hAnsi="Arial" w:cs="Arial"/>
          <w:color w:val="000000"/>
          <w:sz w:val="20"/>
        </w:rPr>
        <w:t> BEFORE: SILER, COOK, and BUSH, Circuit Judges.</w:t>
      </w:r>
    </w:p>
    <w:p w:rsidR="00E456CD" w:rsidRDefault="00000000">
      <w:pPr>
        <w:pStyle w:val="Normal10"/>
        <w:widowControl w:val="0"/>
        <w:spacing w:before="240" w:line="260" w:lineRule="atLeast"/>
      </w:pPr>
      <w:bookmarkStart w:id="2076" w:name="Opinion_by_6"/>
      <w:bookmarkEnd w:id="2076"/>
      <w:r>
        <w:rPr>
          <w:rFonts w:ascii="Arial" w:eastAsia="Arial" w:hAnsi="Arial" w:cs="Arial"/>
          <w:b/>
          <w:color w:val="000000"/>
          <w:sz w:val="20"/>
        </w:rPr>
        <w:t>Opinion by:</w:t>
      </w:r>
      <w:r>
        <w:rPr>
          <w:rFonts w:ascii="Arial" w:eastAsia="Arial" w:hAnsi="Arial" w:cs="Arial"/>
          <w:color w:val="000000"/>
          <w:sz w:val="20"/>
        </w:rPr>
        <w:t> COOK</w:t>
      </w:r>
    </w:p>
    <w:p w:rsidR="00E456CD" w:rsidRDefault="00000000">
      <w:pPr>
        <w:pStyle w:val="Normal10"/>
        <w:keepNext/>
        <w:widowControl w:val="0"/>
        <w:spacing w:before="240" w:line="340" w:lineRule="atLeast"/>
      </w:pPr>
      <w:bookmarkStart w:id="2077" w:name="Opinion_9"/>
      <w:bookmarkEnd w:id="2077"/>
      <w:r>
        <w:rPr>
          <w:rFonts w:ascii="Arial" w:eastAsia="Arial" w:hAnsi="Arial" w:cs="Arial"/>
          <w:b/>
          <w:color w:val="000000"/>
          <w:sz w:val="28"/>
        </w:rPr>
        <w:t>Opinion</w:t>
      </w:r>
    </w:p>
    <w:p w:rsidR="00E456CD" w:rsidRDefault="00E22289">
      <w:pPr>
        <w:pStyle w:val="Normal10"/>
        <w:spacing w:line="60" w:lineRule="exact"/>
      </w:pPr>
      <w:r>
        <w:rPr>
          <w:noProof/>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08992673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0D5B25" id="Line 2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0"/>
      </w:pPr>
    </w:p>
    <w:p w:rsidR="00E456CD" w:rsidRDefault="00000000">
      <w:pPr>
        <w:pStyle w:val="Normal10"/>
        <w:widowControl w:val="0"/>
        <w:spacing w:before="200" w:line="260" w:lineRule="atLeast"/>
        <w:jc w:val="both"/>
      </w:pPr>
      <w:bookmarkStart w:id="2078" w:name="Bookmark_para_3_9"/>
      <w:bookmarkEnd w:id="2078"/>
      <w:r>
        <w:rPr>
          <w:rFonts w:ascii="Arial" w:eastAsia="Arial" w:hAnsi="Arial" w:cs="Arial"/>
          <w:color w:val="000000"/>
          <w:sz w:val="20"/>
        </w:rPr>
        <w:t> [*248]  COOK, Circuit Judge. While serving in the army, Jason Gati suffered a spinal injury that prevents him from sitting for more than an hour a time. After his medical discharge, he used GI Bill educational benefits to enroll in Western Kentucky University's Mental Health Counseling Program. When he discovered that he could not complete his degree by taking classes only at the satellite campus fifteen minutes from his home, he requested  [*249]  accommodations: that WKU permit him to participate in the classes remotely using Interactive Television technology, or offer the classes at his local, satellite campus. The university [**2]  dismissed both requests as unreasonable. Gati then sued the university for disability discrimination, and two of its officers for violating state tort and contract law. The district court granted WKU summary judgment. For the reasons that follow, we AFFIRM.</w:t>
      </w:r>
    </w:p>
    <w:p w:rsidR="00E456CD" w:rsidRDefault="00000000">
      <w:pPr>
        <w:pStyle w:val="Normal10"/>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rsidR="00E456CD" w:rsidRDefault="00000000">
      <w:pPr>
        <w:pStyle w:val="Normal10"/>
        <w:widowControl w:val="0"/>
        <w:spacing w:before="200" w:line="260" w:lineRule="atLeast"/>
        <w:jc w:val="both"/>
      </w:pPr>
      <w:bookmarkStart w:id="2079" w:name="Bookmark_para_4_9"/>
      <w:bookmarkEnd w:id="2079"/>
      <w:r>
        <w:rPr>
          <w:rFonts w:ascii="Arial" w:eastAsia="Arial" w:hAnsi="Arial" w:cs="Arial"/>
          <w:color w:val="000000"/>
          <w:sz w:val="20"/>
        </w:rPr>
        <w:t>About six years after Gati's discharge from the army, he met with WKU's Graduate Admissions Counselor Crissy Priddy to discuss his enrollment in the university's Masters in Education for Mental Health Counseling.</w:t>
      </w:r>
      <w:r>
        <w:rPr>
          <w:rFonts w:ascii="Arial" w:eastAsia="Arial" w:hAnsi="Arial" w:cs="Arial"/>
          <w:vertAlign w:val="superscript"/>
        </w:rPr>
        <w:footnoteReference w:customMarkFollows="1" w:id="85"/>
        <w:t>1</w:t>
      </w:r>
      <w:r>
        <w:rPr>
          <w:rFonts w:ascii="Arial" w:eastAsia="Arial" w:hAnsi="Arial" w:cs="Arial"/>
          <w:color w:val="000000"/>
          <w:sz w:val="20"/>
        </w:rPr>
        <w:t xml:space="preserve"> Gati contends that, from the very beginning, Priddy misled him, asserting that Gati could complete the program in its entirety at the university's satellite campus in Elizabethtown—just a few minutes from Gati's home. Priddy remembers things differently, alleging that she gave Gati the same information she provides every potential student: each university department sets its own schedules and chooses to offer its classes in different formats. But as Gati later discovered, no student could complete the Mental Health Counseling program without taking at least a few clinical courses in person at WKU's main campus at Bowling Green—an hour and a half away.</w:t>
      </w:r>
    </w:p>
    <w:p w:rsidR="00E456CD" w:rsidRDefault="00000000">
      <w:pPr>
        <w:pStyle w:val="Normal10"/>
        <w:widowControl w:val="0"/>
        <w:spacing w:before="200" w:line="260" w:lineRule="atLeast"/>
        <w:jc w:val="both"/>
      </w:pPr>
      <w:bookmarkStart w:id="2081" w:name="Bookmark_para_5_9"/>
      <w:bookmarkEnd w:id="2081"/>
      <w:r>
        <w:rPr>
          <w:rFonts w:ascii="Arial" w:eastAsia="Arial" w:hAnsi="Arial" w:cs="Arial"/>
          <w:color w:val="000000"/>
          <w:sz w:val="20"/>
        </w:rPr>
        <w:t>After successfully completing two semesters, Gati discovered that the [**3]  Elizabethtown campus didn't offer the courses necessary for him to remain a full-time student. This presented a problem, as taking part-time status would jeopardize his GI Bill funding and his spinal injury prevented him from traveling the hour-and-a-half to WKU's main campus in Bowling Green.</w:t>
      </w:r>
    </w:p>
    <w:p w:rsidR="00E456CD" w:rsidRDefault="00000000">
      <w:pPr>
        <w:pStyle w:val="Normal10"/>
        <w:widowControl w:val="0"/>
        <w:spacing w:before="200" w:line="260" w:lineRule="atLeast"/>
        <w:jc w:val="both"/>
      </w:pPr>
      <w:bookmarkStart w:id="2082" w:name="Bookmark_para_6_9"/>
      <w:bookmarkEnd w:id="2082"/>
      <w:r>
        <w:rPr>
          <w:rFonts w:ascii="Arial" w:eastAsia="Arial" w:hAnsi="Arial" w:cs="Arial"/>
          <w:color w:val="000000"/>
          <w:sz w:val="20"/>
        </w:rPr>
        <w:t>He reached out to the university staff for a solution. Most immediately, Gati needed to register for a Fall 2011 counseling techniques course that the university no longer offered at Elizabethtown. After exchanging emails with Department Head Bill Kline, Ph.D. and coordinating with Student Disability Services, he registered for a new section of a previously-full class at the Glasgow satellite campus. But Vice President for Student Affairs Howard Bailey warned Gati that if he took classes exclusively at Elizabethtown, he wouldn't earn enough credits to graduate until December 2017 because "the course offerings at the Elizabethtown site are not designed for fulltime students."</w:t>
      </w:r>
    </w:p>
    <w:p w:rsidR="00E456CD" w:rsidRDefault="00000000">
      <w:pPr>
        <w:pStyle w:val="Normal10"/>
        <w:widowControl w:val="0"/>
        <w:spacing w:before="200" w:line="260" w:lineRule="atLeast"/>
        <w:jc w:val="both"/>
      </w:pPr>
      <w:bookmarkStart w:id="2083" w:name="Bookmark_para_7_9"/>
      <w:bookmarkEnd w:id="2083"/>
      <w:r>
        <w:rPr>
          <w:rFonts w:ascii="Arial" w:eastAsia="Arial" w:hAnsi="Arial" w:cs="Arial"/>
          <w:color w:val="000000"/>
          <w:sz w:val="20"/>
        </w:rPr>
        <w:t>Bailey also responded to Gati's formal grievance letter to the university requesting priority registration for class selection and permission to participate in the main campus classes through Interactive Television (ITV) or [**4]  other "alternative class delivery" methods because his disability prevented him from commuting to the university's main campus. The university would grant him the former, Bailey explained, but not the latter—department faculty determined that they couldn't teach clinical counseling over ITV without jeopardizing the academic integrity of the program. The professors stressed the need for small classes where students practice body language, posture, communication, and establishing rapport, and where they receive immediate feedback from their peers. ITV would not deliver the same experience. Bailey recommended that Gati move into oncampus housing at Bowling Green to complete the required courses.</w:t>
      </w:r>
    </w:p>
    <w:p w:rsidR="00E456CD" w:rsidRDefault="00000000">
      <w:pPr>
        <w:pStyle w:val="Normal10"/>
        <w:widowControl w:val="0"/>
        <w:spacing w:before="200" w:line="260" w:lineRule="atLeast"/>
        <w:jc w:val="both"/>
      </w:pPr>
      <w:bookmarkStart w:id="2084" w:name="Bookmark_para_8_9"/>
      <w:bookmarkEnd w:id="2084"/>
      <w:r>
        <w:rPr>
          <w:rFonts w:ascii="Arial" w:eastAsia="Arial" w:hAnsi="Arial" w:cs="Arial"/>
          <w:color w:val="000000"/>
          <w:sz w:val="20"/>
        </w:rPr>
        <w:t> [*250]  Gati sued. He alleged that the university violated the American with Disabilities Act (ADA), 42 U.S.C. §§ 12101-12213, the Rehabilitation Act, 29 U.S.C. § 794, and Kentucky's Civil Rights Act (KCRA), KRS §§ 342-344. He also sued Dr. Kline and Priddy in their official and individual capacities for aiding and abetting the university's disability discrimination. Finally, he sued Priddy in her official and individual capacity for promissory estoppel, fraud, and tortious interference with contractual relations. The district court granted the university's [**5]  motion for summary judgment and denied Gati's motion to alter or amend the judgment. Gati appeals.</w:t>
      </w:r>
    </w:p>
    <w:p w:rsidR="00E456CD" w:rsidRDefault="00000000">
      <w:pPr>
        <w:pStyle w:val="Normal10"/>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rsidR="00E456CD" w:rsidRDefault="00000000">
      <w:pPr>
        <w:pStyle w:val="Normal10"/>
        <w:widowControl w:val="0"/>
        <w:spacing w:before="200" w:line="260" w:lineRule="atLeast"/>
        <w:jc w:val="both"/>
      </w:pPr>
      <w:bookmarkStart w:id="2085" w:name="Bookmark_para_9_9"/>
      <w:bookmarkStart w:id="2086" w:name="Bookmark_I5VB7SMY2N1PVW0020000400"/>
      <w:bookmarkStart w:id="2087" w:name="Bookmark_LNHNREFclscc1_7"/>
      <w:bookmarkEnd w:id="2085"/>
      <w:bookmarkEnd w:id="2086"/>
      <w:bookmarkEnd w:id="2087"/>
      <w:r>
        <w:rPr>
          <w:rFonts w:ascii="Arial" w:eastAsia="Arial" w:hAnsi="Arial" w:cs="Arial"/>
          <w:color w:val="000000"/>
          <w:sz w:val="20"/>
        </w:rPr>
        <w:t xml:space="preserve">"We review a district court's grant of summary judgment de novo," </w:t>
      </w:r>
      <w:bookmarkStart w:id="2088" w:name="Bookmark_I5VB7SMY2N1PVW0010000400"/>
      <w:bookmarkEnd w:id="2088"/>
      <w:r>
        <w:rPr>
          <w:rFonts w:ascii="Arial" w:eastAsia="Arial" w:hAnsi="Arial" w:cs="Arial"/>
          <w:i/>
          <w:color w:val="000000"/>
          <w:sz w:val="20"/>
        </w:rPr>
        <w:t>Michael v. Caterpillar Fin. Servs. Corp.</w:t>
      </w:r>
      <w:r>
        <w:rPr>
          <w:rFonts w:ascii="Arial" w:eastAsia="Arial" w:hAnsi="Arial" w:cs="Arial"/>
          <w:color w:val="000000"/>
          <w:sz w:val="20"/>
        </w:rPr>
        <w:t xml:space="preserve">, 496 F.3d 584, 593 (6th Cir. 2007), viewing the entire record in a light most favorable to the party opposing summary judgment and drawing all reasonable inferences in that party's favor, </w:t>
      </w:r>
      <w:bookmarkStart w:id="2089" w:name="Bookmark_I5VB7SMY2N1PVW0030000400"/>
      <w:bookmarkEnd w:id="2089"/>
      <w:r>
        <w:rPr>
          <w:rFonts w:ascii="Arial" w:eastAsia="Arial" w:hAnsi="Arial" w:cs="Arial"/>
          <w:i/>
          <w:color w:val="000000"/>
          <w:sz w:val="20"/>
        </w:rPr>
        <w:t>Matsushita Elec. Indus. Co. v. Zenith Radio Corp.</w:t>
      </w:r>
      <w:r>
        <w:rPr>
          <w:rFonts w:ascii="Arial" w:eastAsia="Arial" w:hAnsi="Arial" w:cs="Arial"/>
          <w:color w:val="000000"/>
          <w:sz w:val="20"/>
        </w:rPr>
        <w:t xml:space="preserve">, 475 U.S. 574, 587, 106 S. Ct. 1348, 89 L. Ed. 2d 538 (1986). </w:t>
      </w:r>
      <w:bookmarkStart w:id="2090" w:name="Bookmark_LNHNREFclscc2_7"/>
      <w:bookmarkEnd w:id="2090"/>
      <w:r>
        <w:rPr>
          <w:rFonts w:ascii="Arial" w:eastAsia="Arial" w:hAnsi="Arial" w:cs="Arial"/>
          <w:color w:val="000000"/>
          <w:sz w:val="20"/>
        </w:rPr>
        <w:t>An entry of summary judgment stands only if "the movant shows that there is no genuine dispute as to any material fact and the movant is entitled to judgment as a matter of law." Fed. R. Civ. P. 56(a).</w:t>
      </w:r>
    </w:p>
    <w:p w:rsidR="00E456CD" w:rsidRDefault="00000000">
      <w:pPr>
        <w:pStyle w:val="Normal10"/>
        <w:widowControl w:val="0"/>
        <w:spacing w:before="240" w:line="260" w:lineRule="atLeast"/>
      </w:pPr>
      <w:r>
        <w:br/>
      </w:r>
      <w:r>
        <w:rPr>
          <w:rFonts w:ascii="Arial" w:eastAsia="Arial" w:hAnsi="Arial" w:cs="Arial"/>
          <w:b/>
          <w:color w:val="000000"/>
          <w:sz w:val="20"/>
        </w:rPr>
        <w:t>A. Claims against Western Kentucky University</w:t>
      </w:r>
    </w:p>
    <w:p w:rsidR="00E456CD" w:rsidRDefault="00000000">
      <w:pPr>
        <w:pStyle w:val="Normal10"/>
        <w:widowControl w:val="0"/>
        <w:spacing w:before="200" w:line="260" w:lineRule="atLeast"/>
        <w:jc w:val="both"/>
      </w:pPr>
      <w:bookmarkStart w:id="2091" w:name="Bookmark_para_10_9"/>
      <w:bookmarkStart w:id="2092" w:name="Bookmark_I5VB7SMY2SF86P0010000400"/>
      <w:bookmarkEnd w:id="2091"/>
      <w:bookmarkEnd w:id="2092"/>
      <w:r>
        <w:rPr>
          <w:rFonts w:ascii="Arial" w:eastAsia="Arial" w:hAnsi="Arial" w:cs="Arial"/>
          <w:color w:val="000000"/>
          <w:sz w:val="20"/>
        </w:rPr>
        <w:t xml:space="preserve">Gati asserts violations of </w:t>
      </w:r>
      <w:bookmarkStart w:id="2093" w:name="Bookmark_LNHNREFclscc3_6"/>
      <w:bookmarkEnd w:id="2093"/>
      <w:r>
        <w:rPr>
          <w:rFonts w:ascii="Arial" w:eastAsia="Arial" w:hAnsi="Arial" w:cs="Arial"/>
          <w:color w:val="000000"/>
          <w:sz w:val="20"/>
        </w:rPr>
        <w:t xml:space="preserve">the ADA, Rehabilitation Act, and KCRA, all of which we analyze under the same burden-shifting framework. </w:t>
      </w:r>
      <w:bookmarkStart w:id="2094" w:name="Bookmark_I5VB7SMY2SF86P0050000400"/>
      <w:bookmarkEnd w:id="2094"/>
      <w:r>
        <w:rPr>
          <w:rFonts w:ascii="Arial" w:eastAsia="Arial" w:hAnsi="Arial" w:cs="Arial"/>
          <w:i/>
          <w:color w:val="000000"/>
          <w:sz w:val="20"/>
        </w:rPr>
        <w:t xml:space="preserve">See </w:t>
      </w:r>
      <w:bookmarkStart w:id="2095" w:name="Bookmark_I5VB7SMY2N1PVW0050000400"/>
      <w:bookmarkEnd w:id="2095"/>
      <w:r>
        <w:rPr>
          <w:rFonts w:ascii="Arial" w:eastAsia="Arial" w:hAnsi="Arial" w:cs="Arial"/>
          <w:i/>
          <w:color w:val="000000"/>
          <w:sz w:val="20"/>
        </w:rPr>
        <w:t>Jakubowski v. Christ Hosp., Inc.</w:t>
      </w:r>
      <w:r>
        <w:rPr>
          <w:rFonts w:ascii="Arial" w:eastAsia="Arial" w:hAnsi="Arial" w:cs="Arial"/>
          <w:color w:val="000000"/>
          <w:sz w:val="20"/>
        </w:rPr>
        <w:t xml:space="preserve">, 627 F.3d 195, 201 (6th Cir. 2010); </w:t>
      </w:r>
      <w:bookmarkStart w:id="2096" w:name="Bookmark_I5VB7SMY2SF86P0020000400"/>
      <w:bookmarkEnd w:id="2096"/>
      <w:r>
        <w:rPr>
          <w:rFonts w:ascii="Arial" w:eastAsia="Arial" w:hAnsi="Arial" w:cs="Arial"/>
          <w:i/>
          <w:color w:val="000000"/>
          <w:sz w:val="20"/>
        </w:rPr>
        <w:t>Banks v. Bosch Rexroth Corp.</w:t>
      </w:r>
      <w:r>
        <w:rPr>
          <w:rFonts w:ascii="Arial" w:eastAsia="Arial" w:hAnsi="Arial" w:cs="Arial"/>
          <w:color w:val="000000"/>
          <w:sz w:val="20"/>
        </w:rPr>
        <w:t xml:space="preserve">, 610 F. App'x 519, 526 (6th Cir. 2015) ("[T]he KCRA's language parallels that of the ADA and Kentucky courts interpret the KCRA consistently with the federal statute." (citations omitted)). "[B]ecause the purpose, scope, and governing standards of the acts are largely the same, cases construing one statute are instructive in construing the other," and we therefore discuss them concurrently. </w:t>
      </w:r>
      <w:bookmarkStart w:id="2097" w:name="Bookmark_I5VB7SMY2SF86P0050000400_2"/>
      <w:bookmarkStart w:id="2098" w:name="Bookmark_I5VB7SMY2SF86P0040000400"/>
      <w:bookmarkEnd w:id="2097"/>
      <w:bookmarkEnd w:id="2098"/>
      <w:r>
        <w:rPr>
          <w:rFonts w:ascii="Arial" w:eastAsia="Arial" w:hAnsi="Arial" w:cs="Arial"/>
          <w:i/>
          <w:color w:val="000000"/>
          <w:sz w:val="20"/>
        </w:rPr>
        <w:t>Doe v. Woodford Cty. Bd. of Educ.</w:t>
      </w:r>
      <w:r>
        <w:rPr>
          <w:rFonts w:ascii="Arial" w:eastAsia="Arial" w:hAnsi="Arial" w:cs="Arial"/>
          <w:color w:val="000000"/>
          <w:sz w:val="20"/>
        </w:rPr>
        <w:t>, 213 F.3d 921, 925 (6th Cir. 2000) (internal quotation omitted).</w:t>
      </w:r>
    </w:p>
    <w:p w:rsidR="00E456CD" w:rsidRDefault="00000000">
      <w:pPr>
        <w:pStyle w:val="Normal10"/>
        <w:widowControl w:val="0"/>
        <w:spacing w:before="200" w:line="260" w:lineRule="atLeast"/>
        <w:jc w:val="both"/>
      </w:pPr>
      <w:bookmarkStart w:id="2099" w:name="Bookmark_para_11_9"/>
      <w:bookmarkStart w:id="2100" w:name="Bookmark_I2SK0SFRXS4000VMH5W00001"/>
      <w:bookmarkStart w:id="2101" w:name="Bookmark_I5VB7SMY2SF86R0020000400"/>
      <w:bookmarkStart w:id="2102" w:name="Bookmark_I2SK0SFSJM4000VMH5W00002"/>
      <w:bookmarkStart w:id="2103" w:name="Bookmark_I5VB7SMY2SF86R0040000400"/>
      <w:bookmarkStart w:id="2104" w:name="Bookmark_LNHNREFclscc4_6"/>
      <w:bookmarkEnd w:id="2099"/>
      <w:bookmarkEnd w:id="2100"/>
      <w:bookmarkEnd w:id="2101"/>
      <w:bookmarkEnd w:id="2102"/>
      <w:bookmarkEnd w:id="2103"/>
      <w:bookmarkEnd w:id="2104"/>
      <w:r>
        <w:rPr>
          <w:rFonts w:ascii="Arial" w:eastAsia="Arial" w:hAnsi="Arial" w:cs="Arial"/>
          <w:color w:val="000000"/>
          <w:sz w:val="20"/>
        </w:rPr>
        <w:t xml:space="preserve">These laws require a plaintiff to make out a prima facie case of discrimination, showing that: "(1) she has a disability; (2) she [**6]  is otherwise qualified; and (3) she was being excluded from participation in, denied the benefits of, or subjected to discrimination under the program because of her disability." </w:t>
      </w:r>
      <w:bookmarkStart w:id="2105" w:name="Bookmark_I5VB7SMY2SF86R0010000400"/>
      <w:bookmarkEnd w:id="2105"/>
      <w:r>
        <w:rPr>
          <w:rFonts w:ascii="Arial" w:eastAsia="Arial" w:hAnsi="Arial" w:cs="Arial"/>
          <w:i/>
          <w:color w:val="000000"/>
          <w:sz w:val="20"/>
        </w:rPr>
        <w:t>Anderson v. City of Blue Ash</w:t>
      </w:r>
      <w:r>
        <w:rPr>
          <w:rFonts w:ascii="Arial" w:eastAsia="Arial" w:hAnsi="Arial" w:cs="Arial"/>
          <w:color w:val="000000"/>
          <w:sz w:val="20"/>
        </w:rPr>
        <w:t xml:space="preserve">, 798 F.3d 338, 357 (6th Cir. 2015) (footnote omitted). A disabled person satisfies the "otherwise qualified" requirement if she can meet a program's necessary requirements with reasonable accommodation. </w:t>
      </w:r>
      <w:bookmarkStart w:id="2106" w:name="Bookmark_I5VB7SMY2SF86R0030000400"/>
      <w:bookmarkEnd w:id="2106"/>
      <w:r>
        <w:rPr>
          <w:rFonts w:ascii="Arial" w:eastAsia="Arial" w:hAnsi="Arial" w:cs="Arial"/>
          <w:i/>
          <w:color w:val="000000"/>
          <w:sz w:val="20"/>
        </w:rPr>
        <w:t>Kaltenberger v. Ohio Coll. of Podiatric Med.</w:t>
      </w:r>
      <w:r>
        <w:rPr>
          <w:rFonts w:ascii="Arial" w:eastAsia="Arial" w:hAnsi="Arial" w:cs="Arial"/>
          <w:color w:val="000000"/>
          <w:sz w:val="20"/>
        </w:rPr>
        <w:t>, 162 F.3d 432, 435 (6th Cir. 1998). Here, the debate centers on whether Gati proposed reasonable accommodations for his disability that the university failed to implement.</w:t>
      </w:r>
    </w:p>
    <w:p w:rsidR="00E456CD" w:rsidRDefault="00000000">
      <w:pPr>
        <w:pStyle w:val="Normal10"/>
        <w:widowControl w:val="0"/>
        <w:spacing w:before="200" w:line="260" w:lineRule="atLeast"/>
        <w:jc w:val="both"/>
      </w:pPr>
      <w:bookmarkStart w:id="2107" w:name="Bookmark_para_12_8"/>
      <w:bookmarkStart w:id="2108" w:name="Bookmark_I5VB7SMY2HM6650010000400"/>
      <w:bookmarkStart w:id="2109" w:name="Bookmark_I5VB7SMY2HM6650030000400"/>
      <w:bookmarkStart w:id="2110" w:name="Bookmark_LNHNREFclscc5_6"/>
      <w:bookmarkEnd w:id="2107"/>
      <w:bookmarkEnd w:id="2108"/>
      <w:bookmarkEnd w:id="2109"/>
      <w:bookmarkEnd w:id="2110"/>
      <w:r>
        <w:rPr>
          <w:rFonts w:ascii="Arial" w:eastAsia="Arial" w:hAnsi="Arial" w:cs="Arial"/>
          <w:color w:val="000000"/>
          <w:sz w:val="20"/>
        </w:rPr>
        <w:t xml:space="preserve">Though discrimination statutes guarantee disabled students "equality of opportunity" and "full participation" in society, 42 U.S.C. § 12101(a)(7), they do not require an educational institution to lower or substantially modify its standards to do so, </w:t>
      </w:r>
      <w:bookmarkStart w:id="2111" w:name="Bookmark_I5VB7SMY2SF86R0050000400"/>
      <w:bookmarkEnd w:id="2111"/>
      <w:r>
        <w:rPr>
          <w:rFonts w:ascii="Arial" w:eastAsia="Arial" w:hAnsi="Arial" w:cs="Arial"/>
          <w:i/>
          <w:color w:val="000000"/>
          <w:sz w:val="20"/>
        </w:rPr>
        <w:t>Southeastern Community Coll. v. Davis</w:t>
      </w:r>
      <w:r>
        <w:rPr>
          <w:rFonts w:ascii="Arial" w:eastAsia="Arial" w:hAnsi="Arial" w:cs="Arial"/>
          <w:color w:val="000000"/>
          <w:sz w:val="20"/>
        </w:rPr>
        <w:t xml:space="preserve">, 442 U.S. 397, 413, 99 S. Ct. 2361, 60 L. Ed. 2d 980 (1979). They mandate only </w:t>
      </w:r>
      <w:r>
        <w:rPr>
          <w:rFonts w:ascii="Arial" w:eastAsia="Arial" w:hAnsi="Arial" w:cs="Arial"/>
          <w:i/>
          <w:color w:val="000000"/>
          <w:sz w:val="20"/>
        </w:rPr>
        <w:t>reasonable</w:t>
      </w:r>
      <w:r>
        <w:rPr>
          <w:rFonts w:ascii="Arial" w:eastAsia="Arial" w:hAnsi="Arial" w:cs="Arial"/>
          <w:color w:val="000000"/>
          <w:sz w:val="20"/>
        </w:rPr>
        <w:t xml:space="preserve">—not fundamental or substantial—adjustments. </w:t>
      </w:r>
      <w:bookmarkStart w:id="2112" w:name="Bookmark_I5VB7SMY2HM6650050000400"/>
      <w:bookmarkStart w:id="2113" w:name="Bookmark_I5VB7SMY2HM6650020000400"/>
      <w:bookmarkEnd w:id="2112"/>
      <w:bookmarkEnd w:id="2113"/>
      <w:r>
        <w:rPr>
          <w:rFonts w:ascii="Arial" w:eastAsia="Arial" w:hAnsi="Arial" w:cs="Arial"/>
          <w:i/>
          <w:color w:val="000000"/>
          <w:sz w:val="20"/>
        </w:rPr>
        <w:t>Alexander v. Choate</w:t>
      </w:r>
      <w:r>
        <w:rPr>
          <w:rFonts w:ascii="Arial" w:eastAsia="Arial" w:hAnsi="Arial" w:cs="Arial"/>
          <w:color w:val="000000"/>
          <w:sz w:val="20"/>
        </w:rPr>
        <w:t xml:space="preserve">, 469 U.S. 287, 300, 105 S. Ct. 712, 83 L. Ed. 2d 661 (1985). </w:t>
      </w:r>
      <w:bookmarkStart w:id="2114" w:name="Bookmark_I5VB7SMY2HM6650050000400_2"/>
      <w:bookmarkEnd w:id="2114"/>
      <w:r>
        <w:rPr>
          <w:rFonts w:ascii="Arial" w:eastAsia="Arial" w:hAnsi="Arial" w:cs="Arial"/>
          <w:color w:val="000000"/>
          <w:sz w:val="20"/>
        </w:rPr>
        <w:t xml:space="preserve">In evaluating whether an accommodation exceeds the bounds of reasonableness and begins to fundamentally alter a school's educational offerings, we acknowledge that the "federal judiciary is ill equipped to evaluate the proper emphasis and content of a school's curriculum"  [*251]  and should afford a university's judgment and discretion great respect. </w:t>
      </w:r>
      <w:bookmarkStart w:id="2115" w:name="Bookmark_I5VB7SMY2D6N3C0020000400"/>
      <w:bookmarkStart w:id="2116" w:name="Bookmark_I5VB7SMY2HM6650040000400"/>
      <w:bookmarkEnd w:id="2115"/>
      <w:bookmarkEnd w:id="2116"/>
      <w:r>
        <w:rPr>
          <w:rFonts w:ascii="Arial" w:eastAsia="Arial" w:hAnsi="Arial" w:cs="Arial"/>
          <w:i/>
          <w:color w:val="000000"/>
          <w:sz w:val="20"/>
        </w:rPr>
        <w:t>Kaltenberger</w:t>
      </w:r>
      <w:r>
        <w:rPr>
          <w:rFonts w:ascii="Arial" w:eastAsia="Arial" w:hAnsi="Arial" w:cs="Arial"/>
          <w:color w:val="000000"/>
          <w:sz w:val="20"/>
        </w:rPr>
        <w:t xml:space="preserve">, 162 F.3d at 436. </w:t>
      </w:r>
      <w:bookmarkStart w:id="2117" w:name="Bookmark_I5VB7SMY2D6N3C0020000400_2"/>
      <w:bookmarkEnd w:id="2117"/>
      <w:r>
        <w:rPr>
          <w:rFonts w:ascii="Arial" w:eastAsia="Arial" w:hAnsi="Arial" w:cs="Arial"/>
          <w:color w:val="000000"/>
          <w:sz w:val="20"/>
        </w:rPr>
        <w:t xml:space="preserve">In assessing the importance of academic requirements in health [**7]  care programs especially, where "the conferral of a degree places the school's imprimatur upon the student as qualified to" practice, the judiciary ought only reluctantly intervene. </w:t>
      </w:r>
      <w:bookmarkStart w:id="2118" w:name="Bookmark_I5VB7SMY2D6N3C0010000400"/>
      <w:bookmarkEnd w:id="2118"/>
      <w:r>
        <w:rPr>
          <w:rFonts w:ascii="Arial" w:eastAsia="Arial" w:hAnsi="Arial" w:cs="Arial"/>
          <w:i/>
          <w:color w:val="000000"/>
          <w:sz w:val="20"/>
        </w:rPr>
        <w:t>Id.</w:t>
      </w:r>
      <w:r>
        <w:rPr>
          <w:rFonts w:ascii="Arial" w:eastAsia="Arial" w:hAnsi="Arial" w:cs="Arial"/>
          <w:color w:val="000000"/>
          <w:sz w:val="20"/>
        </w:rPr>
        <w:t xml:space="preserve"> at 437 (quotation omitted).</w:t>
      </w:r>
    </w:p>
    <w:p w:rsidR="00E456CD" w:rsidRDefault="00000000">
      <w:pPr>
        <w:pStyle w:val="Normal10"/>
        <w:widowControl w:val="0"/>
        <w:spacing w:before="200" w:line="260" w:lineRule="atLeast"/>
        <w:jc w:val="both"/>
      </w:pPr>
      <w:bookmarkStart w:id="2119" w:name="Bookmark_para_13_7"/>
      <w:bookmarkEnd w:id="2119"/>
      <w:r>
        <w:rPr>
          <w:rFonts w:ascii="Arial" w:eastAsia="Arial" w:hAnsi="Arial" w:cs="Arial"/>
          <w:color w:val="000000"/>
          <w:sz w:val="20"/>
        </w:rPr>
        <w:t>Gati contends that he successfully established his prima facie case because he proposed two reasonable accommodations: (1) taking classes using ITV technology, and (2) WKU conducting his required counseling classes at the Elizabethtown campus. He argues that the university failed to show that it seriously considered the feasibility, cost, and academic effect of these accommodations, and failed to suggest any reasonable accommodations of its own. In response, the university asserts that both proposed accommodations would fundamentally and academically alter the counseling program, and instead recommended that Gati move into on-campus housing at the university's main Bowling Green campus to access the required classes. Agreeing, the district court awarded the university summary judgment. We similarly conclude that no rational jury could find Gati's proposed accommodations to be reasonable.</w:t>
      </w:r>
    </w:p>
    <w:p w:rsidR="00E456CD" w:rsidRDefault="00000000">
      <w:pPr>
        <w:pStyle w:val="Normal10"/>
        <w:widowControl w:val="0"/>
        <w:spacing w:before="200" w:line="260" w:lineRule="atLeast"/>
        <w:jc w:val="both"/>
      </w:pPr>
      <w:bookmarkStart w:id="2120" w:name="Bookmark_para_14_7"/>
      <w:bookmarkStart w:id="2121" w:name="Bookmark_I2SK0SFSXTV000VMH5W00003"/>
      <w:bookmarkStart w:id="2122" w:name="Bookmark_I5VB7SMY2D6N3C0040000400"/>
      <w:bookmarkEnd w:id="2120"/>
      <w:bookmarkEnd w:id="2121"/>
      <w:bookmarkEnd w:id="2122"/>
      <w:r>
        <w:rPr>
          <w:rFonts w:ascii="Arial" w:eastAsia="Arial" w:hAnsi="Arial" w:cs="Arial"/>
          <w:i/>
          <w:color w:val="000000"/>
          <w:sz w:val="20"/>
        </w:rPr>
        <w:t>Taking courses remotely</w:t>
      </w:r>
      <w:r>
        <w:rPr>
          <w:rFonts w:ascii="Arial" w:eastAsia="Arial" w:hAnsi="Arial" w:cs="Arial"/>
          <w:color w:val="000000"/>
          <w:sz w:val="20"/>
        </w:rPr>
        <w:t xml:space="preserve">. Gati challenges the university's assessment that ITV was not a reasonable [**8]  accommodation, arguing that the university failed to do its homework and "show that it seriously considered the feasibility, cost, and effect on the Mental Health Counseling Program." But Gati misunderstands the prima facie analysis; as </w:t>
      </w:r>
      <w:bookmarkStart w:id="2123" w:name="Bookmark_LNHNREFclscc6_6"/>
      <w:bookmarkEnd w:id="2123"/>
      <w:r>
        <w:rPr>
          <w:rFonts w:ascii="Arial" w:eastAsia="Arial" w:hAnsi="Arial" w:cs="Arial"/>
          <w:color w:val="000000"/>
          <w:sz w:val="20"/>
        </w:rPr>
        <w:t xml:space="preserve">plaintiff, Gati bears the initial "burden of proposing an accommodation and </w:t>
      </w:r>
      <w:r>
        <w:rPr>
          <w:rFonts w:ascii="Arial" w:eastAsia="Arial" w:hAnsi="Arial" w:cs="Arial"/>
          <w:i/>
          <w:color w:val="000000"/>
          <w:sz w:val="20"/>
        </w:rPr>
        <w:t>proving that it is reasonable</w:t>
      </w:r>
      <w:r>
        <w:rPr>
          <w:rFonts w:ascii="Arial" w:eastAsia="Arial" w:hAnsi="Arial" w:cs="Arial"/>
          <w:color w:val="000000"/>
          <w:sz w:val="20"/>
        </w:rPr>
        <w:t xml:space="preserve">." </w:t>
      </w:r>
      <w:bookmarkStart w:id="2124" w:name="Bookmark_I5VB7SMY2D6N3C0030000400"/>
      <w:bookmarkEnd w:id="2124"/>
      <w:r>
        <w:rPr>
          <w:rFonts w:ascii="Arial" w:eastAsia="Arial" w:hAnsi="Arial" w:cs="Arial"/>
          <w:i/>
          <w:color w:val="000000"/>
          <w:sz w:val="20"/>
        </w:rPr>
        <w:t>Jakubowski</w:t>
      </w:r>
      <w:r>
        <w:rPr>
          <w:rFonts w:ascii="Arial" w:eastAsia="Arial" w:hAnsi="Arial" w:cs="Arial"/>
          <w:color w:val="000000"/>
          <w:sz w:val="20"/>
        </w:rPr>
        <w:t xml:space="preserve">, 627 F.3d at 202 (emphasis added). Conclusively stating that an accommodation is reasonable does not so make it. Moreover, WKU's faculty certainly did not find these proposals reasonable. </w:t>
      </w:r>
      <w:r>
        <w:rPr>
          <w:rFonts w:ascii="Arial" w:eastAsia="Arial" w:hAnsi="Arial" w:cs="Arial"/>
          <w:i/>
          <w:color w:val="000000"/>
          <w:sz w:val="20"/>
        </w:rPr>
        <w:t>See</w:t>
      </w:r>
      <w:r>
        <w:rPr>
          <w:rFonts w:ascii="Arial" w:eastAsia="Arial" w:hAnsi="Arial" w:cs="Arial"/>
          <w:color w:val="000000"/>
          <w:sz w:val="20"/>
        </w:rPr>
        <w:t xml:space="preserve"> R. 37-1, PageID 676. </w:t>
      </w:r>
      <w:bookmarkStart w:id="2125" w:name="Bookmark_I5VB7SMY2HM6660010000400"/>
      <w:bookmarkEnd w:id="2125"/>
      <w:r>
        <w:rPr>
          <w:rFonts w:ascii="Arial" w:eastAsia="Arial" w:hAnsi="Arial" w:cs="Arial"/>
          <w:color w:val="000000"/>
          <w:sz w:val="20"/>
        </w:rPr>
        <w:t xml:space="preserve">After investigating Gati's accommodation request, the university's Vice President for Student Affairs summarized the faculty's response: "[a] primary component of the curriculum in the Mental Health Counseling Program is experiential" and necessitates "classroom interaction between students and instructor. This methodology is not possible in an ITV setting and is why the courses in this program have never been offered via ITV." </w:t>
      </w:r>
      <w:bookmarkStart w:id="2126" w:name="Bookmark_LNHNREFclscc7_6"/>
      <w:bookmarkEnd w:id="2126"/>
      <w:r>
        <w:rPr>
          <w:rFonts w:ascii="Arial" w:eastAsia="Arial" w:hAnsi="Arial" w:cs="Arial"/>
          <w:color w:val="000000"/>
          <w:sz w:val="20"/>
        </w:rPr>
        <w:t xml:space="preserve">Right or wrong, we must credit the university's academic decision with the widest range of deference. </w:t>
      </w:r>
      <w:bookmarkStart w:id="2127" w:name="Bookmark_I5VB7SMY2D6N3C0050000400"/>
      <w:bookmarkEnd w:id="2127"/>
      <w:r>
        <w:rPr>
          <w:rFonts w:ascii="Arial" w:eastAsia="Arial" w:hAnsi="Arial" w:cs="Arial"/>
          <w:i/>
          <w:color w:val="000000"/>
          <w:sz w:val="20"/>
        </w:rPr>
        <w:t>Kaltenberger</w:t>
      </w:r>
      <w:r>
        <w:rPr>
          <w:rFonts w:ascii="Arial" w:eastAsia="Arial" w:hAnsi="Arial" w:cs="Arial"/>
          <w:color w:val="000000"/>
          <w:sz w:val="20"/>
        </w:rPr>
        <w:t>, 162 F.3d at 436.</w:t>
      </w:r>
    </w:p>
    <w:p w:rsidR="00E456CD" w:rsidRDefault="00000000">
      <w:pPr>
        <w:pStyle w:val="Normal10"/>
        <w:widowControl w:val="0"/>
        <w:spacing w:before="200" w:line="260" w:lineRule="atLeast"/>
        <w:jc w:val="both"/>
      </w:pPr>
      <w:bookmarkStart w:id="2128" w:name="Bookmark_para_15_7"/>
      <w:bookmarkEnd w:id="2128"/>
      <w:r>
        <w:rPr>
          <w:rFonts w:ascii="Arial" w:eastAsia="Arial" w:hAnsi="Arial" w:cs="Arial"/>
          <w:i/>
          <w:color w:val="000000"/>
          <w:sz w:val="20"/>
        </w:rPr>
        <w:t>Holding counseling classes at the Elizabethtown location</w:t>
      </w:r>
      <w:r>
        <w:rPr>
          <w:rFonts w:ascii="Arial" w:eastAsia="Arial" w:hAnsi="Arial" w:cs="Arial"/>
          <w:color w:val="000000"/>
          <w:sz w:val="20"/>
        </w:rPr>
        <w:t xml:space="preserve">. Gati argues that offering the required counseling classes at Elizabethtown [**9]  accords with the university's initial assurances that he could complete his entire degree locally and ensure that the class sizes remain small. In response, the university proffered testimony that it faces an instructor shortage—accreditation standards limit faculty course loads to three classes per semester, and its seven full-time faculty members could not teach all the classes currently offered at the main campus </w:t>
      </w:r>
      <w:r>
        <w:rPr>
          <w:rFonts w:ascii="Arial" w:eastAsia="Arial" w:hAnsi="Arial" w:cs="Arial"/>
          <w:i/>
          <w:color w:val="000000"/>
          <w:sz w:val="20"/>
        </w:rPr>
        <w:t>and</w:t>
      </w:r>
      <w:r>
        <w:rPr>
          <w:rFonts w:ascii="Arial" w:eastAsia="Arial" w:hAnsi="Arial" w:cs="Arial"/>
          <w:color w:val="000000"/>
          <w:sz w:val="20"/>
        </w:rPr>
        <w:t xml:space="preserve"> teach at Elizabethtown. Witnesses explained that the university wanted the counseling program to maintain its accreditation, and the program couldn't if instructors needed to offer mandatory clinical courses at the university's satellite campuses. Dr. Kline also explained that Elizabethtown simply "didn't have sufficient demand" for the program.</w:t>
      </w:r>
    </w:p>
    <w:p w:rsidR="00E456CD" w:rsidRDefault="00000000">
      <w:pPr>
        <w:pStyle w:val="Normal10"/>
        <w:widowControl w:val="0"/>
        <w:spacing w:before="200" w:line="260" w:lineRule="atLeast"/>
        <w:jc w:val="both"/>
      </w:pPr>
      <w:bookmarkStart w:id="2129" w:name="Bookmark_para_16_7"/>
      <w:bookmarkEnd w:id="2129"/>
      <w:r>
        <w:rPr>
          <w:rFonts w:ascii="Arial" w:eastAsia="Arial" w:hAnsi="Arial" w:cs="Arial"/>
          <w:color w:val="000000"/>
          <w:sz w:val="20"/>
        </w:rPr>
        <w:t xml:space="preserve">Instead of moving the courses to him, the university recommended that Gati move to them and temporarily live in campus housing at Bowling Green. Gati rejected this accommodation, responding that it's unreasonable for the university to ask  [*252]  a married, "grown man" to simply "pick up his life" and move to Bowling Green for a few semesters. </w:t>
      </w:r>
      <w:bookmarkStart w:id="2130" w:name="Bookmark_I5VB7SMY2HM6660030000400"/>
      <w:bookmarkEnd w:id="2130"/>
      <w:r>
        <w:rPr>
          <w:rFonts w:ascii="Arial" w:eastAsia="Arial" w:hAnsi="Arial" w:cs="Arial"/>
          <w:color w:val="000000"/>
          <w:sz w:val="20"/>
        </w:rPr>
        <w:t xml:space="preserve">Appellant Br. at 30. But as we have explained in the employment context, </w:t>
      </w:r>
      <w:bookmarkStart w:id="2131" w:name="Bookmark_LNHNREFclscc8_6"/>
      <w:bookmarkEnd w:id="2131"/>
      <w:r>
        <w:rPr>
          <w:rFonts w:ascii="Arial" w:eastAsia="Arial" w:hAnsi="Arial" w:cs="Arial"/>
          <w:color w:val="000000"/>
          <w:sz w:val="20"/>
        </w:rPr>
        <w:t xml:space="preserve">"an employee cannot [**10]  force her employer to provide a specific accommodation if the employer offers another reasonable accommodation. If an employee rejects a reasonable accommodation," </w:t>
      </w:r>
      <w:bookmarkStart w:id="2132" w:name="Bookmark_I5VB7SMY2HM6660020000400"/>
      <w:bookmarkEnd w:id="2132"/>
      <w:r>
        <w:rPr>
          <w:rFonts w:ascii="Arial" w:eastAsia="Arial" w:hAnsi="Arial" w:cs="Arial"/>
          <w:i/>
          <w:color w:val="000000"/>
          <w:sz w:val="20"/>
        </w:rPr>
        <w:t>Talley v. Family Dollar Stores of Ohio, Inc.</w:t>
      </w:r>
      <w:r>
        <w:rPr>
          <w:rFonts w:ascii="Arial" w:eastAsia="Arial" w:hAnsi="Arial" w:cs="Arial"/>
          <w:color w:val="000000"/>
          <w:sz w:val="20"/>
        </w:rPr>
        <w:t>, 542 F.3d 1099, 1108 (6th Cir. 2008) (citations omitted), he is no longer a "qualified individual" as a matter of law, 42 U.S.C. § 12111(8).</w:t>
      </w:r>
    </w:p>
    <w:p w:rsidR="00E456CD" w:rsidRDefault="00000000">
      <w:pPr>
        <w:pStyle w:val="Normal10"/>
        <w:widowControl w:val="0"/>
        <w:spacing w:before="200" w:line="260" w:lineRule="atLeast"/>
        <w:jc w:val="both"/>
      </w:pPr>
      <w:bookmarkStart w:id="2133" w:name="Bookmark_para_17_6"/>
      <w:bookmarkStart w:id="2134" w:name="Bookmark_I5VB7SMY2HM6660050000400"/>
      <w:bookmarkEnd w:id="2133"/>
      <w:bookmarkEnd w:id="2134"/>
      <w:r>
        <w:rPr>
          <w:rFonts w:ascii="Arial" w:eastAsia="Arial" w:hAnsi="Arial" w:cs="Arial"/>
          <w:i/>
          <w:color w:val="000000"/>
          <w:sz w:val="20"/>
        </w:rPr>
        <w:t>Flawed interactive accommodation process</w:t>
      </w:r>
      <w:r>
        <w:rPr>
          <w:rFonts w:ascii="Arial" w:eastAsia="Arial" w:hAnsi="Arial" w:cs="Arial"/>
          <w:color w:val="000000"/>
          <w:sz w:val="20"/>
        </w:rPr>
        <w:t xml:space="preserve">. Gati also argues that the university's failure to engage in the ADA's required interactive process mandates reversal. </w:t>
      </w:r>
      <w:bookmarkStart w:id="2135" w:name="Bookmark_LNHNREFclscc9_5"/>
      <w:bookmarkEnd w:id="2135"/>
      <w:r>
        <w:rPr>
          <w:rFonts w:ascii="Arial" w:eastAsia="Arial" w:hAnsi="Arial" w:cs="Arial"/>
          <w:color w:val="000000"/>
          <w:sz w:val="20"/>
        </w:rPr>
        <w:t xml:space="preserve">"Even if such an interactive process is required in an academic setting," </w:t>
      </w:r>
      <w:bookmarkStart w:id="2136" w:name="Bookmark_I5VB7SMY2HM6660040000400"/>
      <w:bookmarkEnd w:id="2136"/>
      <w:r>
        <w:rPr>
          <w:rFonts w:ascii="Arial" w:eastAsia="Arial" w:hAnsi="Arial" w:cs="Arial"/>
          <w:i/>
          <w:color w:val="000000"/>
          <w:sz w:val="20"/>
        </w:rPr>
        <w:t>Mershon v. St. Louis Univ.</w:t>
      </w:r>
      <w:r>
        <w:rPr>
          <w:rFonts w:ascii="Arial" w:eastAsia="Arial" w:hAnsi="Arial" w:cs="Arial"/>
          <w:color w:val="000000"/>
          <w:sz w:val="20"/>
        </w:rPr>
        <w:t xml:space="preserve">, 442 F.3d 1069, 1078 (8th Cir. 2006) (quotation omitted), this process is not an end in itself—it is a means to find a disabled person a reasonable accommodation, </w:t>
      </w:r>
      <w:r>
        <w:rPr>
          <w:rFonts w:ascii="Arial" w:eastAsia="Arial" w:hAnsi="Arial" w:cs="Arial"/>
          <w:i/>
          <w:color w:val="000000"/>
          <w:sz w:val="20"/>
        </w:rPr>
        <w:t xml:space="preserve">see </w:t>
      </w:r>
      <w:bookmarkStart w:id="2137" w:name="Bookmark_I5VB7SMY28T3VY0010000400"/>
      <w:bookmarkEnd w:id="2137"/>
      <w:r>
        <w:rPr>
          <w:rFonts w:ascii="Arial" w:eastAsia="Arial" w:hAnsi="Arial" w:cs="Arial"/>
          <w:i/>
          <w:color w:val="000000"/>
          <w:sz w:val="20"/>
        </w:rPr>
        <w:t>Kleiber v. Honda of Am. Mfg. Inc.</w:t>
      </w:r>
      <w:r>
        <w:rPr>
          <w:rFonts w:ascii="Arial" w:eastAsia="Arial" w:hAnsi="Arial" w:cs="Arial"/>
          <w:color w:val="000000"/>
          <w:sz w:val="20"/>
        </w:rPr>
        <w:t xml:space="preserve">, 485 F.3d 862, 871 (6th Cir. 2007) ("The purpose of this process is to identify the precise limitations resulting from the disability and potential reasonable accommodations that could overcome those limitations." (internal quotations omitted)); </w:t>
      </w:r>
      <w:r>
        <w:rPr>
          <w:rFonts w:ascii="Arial" w:eastAsia="Arial" w:hAnsi="Arial" w:cs="Arial"/>
          <w:i/>
          <w:color w:val="000000"/>
          <w:sz w:val="20"/>
        </w:rPr>
        <w:t xml:space="preserve">see also </w:t>
      </w:r>
      <w:bookmarkStart w:id="2138" w:name="Bookmark_I5VB7SMY28T3VY0030000400"/>
      <w:bookmarkEnd w:id="2138"/>
      <w:r>
        <w:rPr>
          <w:rFonts w:ascii="Arial" w:eastAsia="Arial" w:hAnsi="Arial" w:cs="Arial"/>
          <w:i/>
          <w:color w:val="000000"/>
          <w:sz w:val="20"/>
        </w:rPr>
        <w:t>E.E.O.C. v. Ford Motor Co.</w:t>
      </w:r>
      <w:r>
        <w:rPr>
          <w:rFonts w:ascii="Arial" w:eastAsia="Arial" w:hAnsi="Arial" w:cs="Arial"/>
          <w:color w:val="000000"/>
          <w:sz w:val="20"/>
        </w:rPr>
        <w:t xml:space="preserve">, 782 F.3d 753, 766 (6th Cir. 2015); </w:t>
      </w:r>
      <w:bookmarkStart w:id="2139" w:name="Bookmark_I5VB7SMY28T3VY0050000400"/>
      <w:bookmarkEnd w:id="2139"/>
      <w:r>
        <w:rPr>
          <w:rFonts w:ascii="Arial" w:eastAsia="Arial" w:hAnsi="Arial" w:cs="Arial"/>
          <w:i/>
          <w:color w:val="000000"/>
          <w:sz w:val="20"/>
        </w:rPr>
        <w:t>Brumley v. United Parcel Serv., Inc.</w:t>
      </w:r>
      <w:r>
        <w:rPr>
          <w:rFonts w:ascii="Arial" w:eastAsia="Arial" w:hAnsi="Arial" w:cs="Arial"/>
          <w:color w:val="000000"/>
          <w:sz w:val="20"/>
        </w:rPr>
        <w:t>, 909 F.3d 834, 840-41 (6th Cir. 2018). Thus, an employer violates the ADA when his unwillingness to engage in a good faith interactive process leads to a failure to reasonably accommodate an employee. Here, it wasn't any failure to properly engage in the interactive process that led to the university not accommodating Gati's disability. Negotiations broke down when Gati refused to consider the university's [**11]  proposed accommodation and transferred to another school.</w:t>
      </w:r>
    </w:p>
    <w:p w:rsidR="00E456CD" w:rsidRDefault="00000000">
      <w:pPr>
        <w:pStyle w:val="Normal10"/>
        <w:widowControl w:val="0"/>
        <w:spacing w:before="200" w:line="260" w:lineRule="atLeast"/>
        <w:jc w:val="both"/>
      </w:pPr>
      <w:bookmarkStart w:id="2140" w:name="Bookmark_para_18_6"/>
      <w:bookmarkStart w:id="2141" w:name="Bookmark_I2SK0SFT91J000VMH5W00004"/>
      <w:bookmarkStart w:id="2142" w:name="Bookmark_I5VB7SMY2D6N3D0030000400"/>
      <w:bookmarkEnd w:id="2140"/>
      <w:bookmarkEnd w:id="2141"/>
      <w:bookmarkEnd w:id="2142"/>
      <w:r>
        <w:rPr>
          <w:rFonts w:ascii="Arial" w:eastAsia="Arial" w:hAnsi="Arial" w:cs="Arial"/>
          <w:color w:val="000000"/>
          <w:sz w:val="20"/>
        </w:rPr>
        <w:t xml:space="preserve">Finally, </w:t>
      </w:r>
      <w:bookmarkStart w:id="2143" w:name="Bookmark_LNHNREFclscc10_5"/>
      <w:bookmarkEnd w:id="2143"/>
      <w:r>
        <w:rPr>
          <w:rFonts w:ascii="Arial" w:eastAsia="Arial" w:hAnsi="Arial" w:cs="Arial"/>
          <w:color w:val="000000"/>
          <w:sz w:val="20"/>
        </w:rPr>
        <w:t xml:space="preserve">a "failure to engage in the interactive process is only an independent violation of the ADA if the plaintiff establishes a prima facie showing that he proposed a reasonable accommodation." </w:t>
      </w:r>
      <w:bookmarkStart w:id="2144" w:name="Bookmark_I5VB7SMY2D6N3D0020000400"/>
      <w:bookmarkEnd w:id="2144"/>
      <w:r>
        <w:rPr>
          <w:rFonts w:ascii="Arial" w:eastAsia="Arial" w:hAnsi="Arial" w:cs="Arial"/>
          <w:i/>
          <w:color w:val="000000"/>
          <w:sz w:val="20"/>
        </w:rPr>
        <w:t>Rorrer v. City of Stow</w:t>
      </w:r>
      <w:r>
        <w:rPr>
          <w:rFonts w:ascii="Arial" w:eastAsia="Arial" w:hAnsi="Arial" w:cs="Arial"/>
          <w:color w:val="000000"/>
          <w:sz w:val="20"/>
        </w:rPr>
        <w:t>, 743 F.3d 1025, 1041 (6th Cir. 2014). As we explained, Gati has not.</w:t>
      </w:r>
    </w:p>
    <w:p w:rsidR="00E456CD" w:rsidRDefault="00000000">
      <w:pPr>
        <w:pStyle w:val="Normal10"/>
        <w:widowControl w:val="0"/>
        <w:spacing w:before="240" w:line="260" w:lineRule="atLeast"/>
      </w:pPr>
      <w:r>
        <w:br/>
      </w:r>
      <w:r>
        <w:rPr>
          <w:rFonts w:ascii="Arial" w:eastAsia="Arial" w:hAnsi="Arial" w:cs="Arial"/>
          <w:b/>
          <w:color w:val="000000"/>
          <w:sz w:val="20"/>
        </w:rPr>
        <w:t>B. Claims against Dr. Kline and Priddy in their Official and Individual Capacities</w:t>
      </w:r>
    </w:p>
    <w:p w:rsidR="00E456CD" w:rsidRDefault="00000000">
      <w:pPr>
        <w:pStyle w:val="Normal10"/>
        <w:widowControl w:val="0"/>
        <w:spacing w:before="200" w:line="260" w:lineRule="atLeast"/>
        <w:jc w:val="both"/>
      </w:pPr>
      <w:bookmarkStart w:id="2145" w:name="Bookmark_para_19_6"/>
      <w:bookmarkEnd w:id="2145"/>
      <w:r>
        <w:rPr>
          <w:rFonts w:ascii="Arial" w:eastAsia="Arial" w:hAnsi="Arial" w:cs="Arial"/>
          <w:color w:val="000000"/>
          <w:sz w:val="20"/>
        </w:rPr>
        <w:t xml:space="preserve">In addition to his claims against WKU, Gati also levies claims against Dr. Kline and Priddy in their official and individual capacities. First, he asserts that Dr. Kline and Priddy aided and abetted the university's disability discrimination. </w:t>
      </w:r>
      <w:r>
        <w:rPr>
          <w:rFonts w:ascii="Arial" w:eastAsia="Arial" w:hAnsi="Arial" w:cs="Arial"/>
          <w:i/>
          <w:color w:val="000000"/>
          <w:sz w:val="20"/>
        </w:rPr>
        <w:t>See</w:t>
      </w:r>
      <w:r>
        <w:rPr>
          <w:rFonts w:ascii="Arial" w:eastAsia="Arial" w:hAnsi="Arial" w:cs="Arial"/>
          <w:color w:val="000000"/>
          <w:sz w:val="20"/>
        </w:rPr>
        <w:t xml:space="preserve"> KRS § 344.280. And second, he sues Priddy under state law for tortious interference with contractual and prospective contractual relations, promissory estoppel, and fraud. In response, Dr. Kline and Priddy assert sovereign immunity on Gati's official-capacity claims, and qualified official immunity on the individual-capacity claims.</w:t>
      </w:r>
    </w:p>
    <w:p w:rsidR="00E456CD" w:rsidRDefault="00000000">
      <w:pPr>
        <w:pStyle w:val="Normal10"/>
        <w:widowControl w:val="0"/>
        <w:spacing w:before="200" w:line="260" w:lineRule="atLeast"/>
        <w:jc w:val="both"/>
      </w:pPr>
      <w:bookmarkStart w:id="2146" w:name="Bookmark_para_20_6"/>
      <w:bookmarkStart w:id="2147" w:name="Bookmark_I5VB7SMY2D6N3D0050000400"/>
      <w:bookmarkEnd w:id="2146"/>
      <w:bookmarkEnd w:id="2147"/>
      <w:r>
        <w:rPr>
          <w:rFonts w:ascii="Arial" w:eastAsia="Arial" w:hAnsi="Arial" w:cs="Arial"/>
          <w:i/>
          <w:color w:val="000000"/>
          <w:sz w:val="20"/>
        </w:rPr>
        <w:t>Aiding and abetting the university's KCRA violation</w:t>
      </w:r>
      <w:r>
        <w:rPr>
          <w:rFonts w:ascii="Arial" w:eastAsia="Arial" w:hAnsi="Arial" w:cs="Arial"/>
          <w:color w:val="000000"/>
          <w:sz w:val="20"/>
        </w:rPr>
        <w:t xml:space="preserve">. </w:t>
      </w:r>
      <w:bookmarkStart w:id="2148" w:name="Bookmark_LNHNREFclscc11_5"/>
      <w:bookmarkEnd w:id="2148"/>
      <w:r>
        <w:rPr>
          <w:rFonts w:ascii="Arial" w:eastAsia="Arial" w:hAnsi="Arial" w:cs="Arial"/>
          <w:color w:val="000000"/>
          <w:sz w:val="20"/>
        </w:rPr>
        <w:t xml:space="preserve">The Eleventh Amendment generally protects states from suit in federal court. </w:t>
      </w:r>
      <w:bookmarkStart w:id="2149" w:name="Bookmark_I5VB7SMY28T3W00020000400"/>
      <w:bookmarkEnd w:id="2149"/>
      <w:r>
        <w:rPr>
          <w:rFonts w:ascii="Arial" w:eastAsia="Arial" w:hAnsi="Arial" w:cs="Arial"/>
          <w:color w:val="000000"/>
          <w:sz w:val="20"/>
        </w:rPr>
        <w:t xml:space="preserve">U.S. Const. amend. XI; </w:t>
      </w:r>
      <w:r>
        <w:rPr>
          <w:rFonts w:ascii="Arial" w:eastAsia="Arial" w:hAnsi="Arial" w:cs="Arial"/>
          <w:i/>
          <w:color w:val="000000"/>
          <w:sz w:val="20"/>
        </w:rPr>
        <w:t xml:space="preserve">see also </w:t>
      </w:r>
      <w:bookmarkStart w:id="2150" w:name="Bookmark_I5VB7SMY2D6N3D0040000400"/>
      <w:bookmarkEnd w:id="2150"/>
      <w:r>
        <w:rPr>
          <w:rFonts w:ascii="Arial" w:eastAsia="Arial" w:hAnsi="Arial" w:cs="Arial"/>
          <w:i/>
          <w:color w:val="000000"/>
          <w:sz w:val="20"/>
        </w:rPr>
        <w:t>Seminole Tribe of Fla. v. Florida</w:t>
      </w:r>
      <w:r>
        <w:rPr>
          <w:rFonts w:ascii="Arial" w:eastAsia="Arial" w:hAnsi="Arial" w:cs="Arial"/>
          <w:color w:val="000000"/>
          <w:sz w:val="20"/>
        </w:rPr>
        <w:t xml:space="preserve">, 517 U.S. 44, 54-55, 116 S. Ct. 1114, 134 L. Ed. 2d 252 (1996). </w:t>
      </w:r>
      <w:bookmarkStart w:id="2151" w:name="Bookmark_I5VB7SMY28T3W00020000400_2"/>
      <w:bookmarkStart w:id="2152" w:name="Bookmark_I5VB7SMY28T3W00040000400"/>
      <w:bookmarkEnd w:id="2151"/>
      <w:bookmarkEnd w:id="2152"/>
      <w:r>
        <w:rPr>
          <w:rFonts w:ascii="Arial" w:eastAsia="Arial" w:hAnsi="Arial" w:cs="Arial"/>
          <w:color w:val="000000"/>
          <w:sz w:val="20"/>
        </w:rPr>
        <w:t xml:space="preserve">A state that removes an action to federal court after already consenting to suit in its own courts cannot invoke Eleventh Amendment immunity. </w:t>
      </w:r>
      <w:bookmarkStart w:id="2153" w:name="Bookmark_I5VB7SMY28T3W00010000400"/>
      <w:bookmarkEnd w:id="2153"/>
      <w:r>
        <w:rPr>
          <w:rFonts w:ascii="Arial" w:eastAsia="Arial" w:hAnsi="Arial" w:cs="Arial"/>
          <w:i/>
          <w:color w:val="000000"/>
          <w:sz w:val="20"/>
        </w:rPr>
        <w:t>Lapides v. Bd. of Regents of Univ. Sys. of Ga.</w:t>
      </w:r>
      <w:r>
        <w:rPr>
          <w:rFonts w:ascii="Arial" w:eastAsia="Arial" w:hAnsi="Arial" w:cs="Arial"/>
          <w:color w:val="000000"/>
          <w:sz w:val="20"/>
        </w:rPr>
        <w:t xml:space="preserve">, 535 U.S. 613, 623-24, 122 S. Ct. 1640, 152 L. Ed. 2d 806 (2002). </w:t>
      </w:r>
      <w:bookmarkStart w:id="2154" w:name="Bookmark_I5VB7SMY28T3W00040000400_2"/>
      <w:bookmarkStart w:id="2155" w:name="Bookmark_LNHNREFclscc12_5"/>
      <w:bookmarkEnd w:id="2154"/>
      <w:bookmarkEnd w:id="2155"/>
      <w:r>
        <w:rPr>
          <w:rFonts w:ascii="Arial" w:eastAsia="Arial" w:hAnsi="Arial" w:cs="Arial"/>
          <w:color w:val="000000"/>
          <w:sz w:val="20"/>
        </w:rPr>
        <w:t xml:space="preserve">In Kentucky, [**12]  sovereign immunity does not protect the Commonwealth against suits alleging a violation of the KCRA. </w:t>
      </w:r>
      <w:r>
        <w:rPr>
          <w:rFonts w:ascii="Arial" w:eastAsia="Arial" w:hAnsi="Arial" w:cs="Arial"/>
          <w:i/>
          <w:color w:val="000000"/>
          <w:sz w:val="20"/>
        </w:rPr>
        <w:t xml:space="preserve">See, e.g., </w:t>
      </w:r>
      <w:bookmarkStart w:id="2156" w:name="Bookmark_I5VB7SMY28T3W00030000400"/>
      <w:bookmarkEnd w:id="2156"/>
      <w:r>
        <w:rPr>
          <w:rFonts w:ascii="Arial" w:eastAsia="Arial" w:hAnsi="Arial" w:cs="Arial"/>
          <w:i/>
          <w:color w:val="000000"/>
          <w:sz w:val="20"/>
        </w:rPr>
        <w:t>Ammerman v. Bd. of Educ. of Nicholas Cty.</w:t>
      </w:r>
      <w:r>
        <w:rPr>
          <w:rFonts w:ascii="Arial" w:eastAsia="Arial" w:hAnsi="Arial" w:cs="Arial"/>
          <w:color w:val="000000"/>
          <w:sz w:val="20"/>
        </w:rPr>
        <w:t>, 30 S.W.3d 793, 797 (Ky. 2000). Thus, because a Kentucky court can hear these claims, so can we.</w:t>
      </w:r>
    </w:p>
    <w:p w:rsidR="00E456CD" w:rsidRDefault="00000000">
      <w:pPr>
        <w:pStyle w:val="Normal10"/>
        <w:widowControl w:val="0"/>
        <w:spacing w:before="200" w:line="260" w:lineRule="atLeast"/>
        <w:jc w:val="both"/>
      </w:pPr>
      <w:bookmarkStart w:id="2157" w:name="Bookmark_para_21_6"/>
      <w:bookmarkEnd w:id="2157"/>
      <w:r>
        <w:rPr>
          <w:rFonts w:ascii="Arial" w:eastAsia="Arial" w:hAnsi="Arial" w:cs="Arial"/>
          <w:color w:val="000000"/>
          <w:sz w:val="20"/>
        </w:rPr>
        <w:t xml:space="preserve"> [*253]  </w:t>
      </w:r>
      <w:bookmarkStart w:id="2158" w:name="Bookmark_I5VB7SMY2SF86S0010000400"/>
      <w:bookmarkEnd w:id="2158"/>
      <w:r>
        <w:rPr>
          <w:rFonts w:ascii="Arial" w:eastAsia="Arial" w:hAnsi="Arial" w:cs="Arial"/>
          <w:color w:val="000000"/>
          <w:sz w:val="20"/>
        </w:rPr>
        <w:t xml:space="preserve">But Gati still cannot prevail here. </w:t>
      </w:r>
      <w:bookmarkStart w:id="2159" w:name="Bookmark_LNHNREFclscc13_2"/>
      <w:bookmarkEnd w:id="2159"/>
      <w:r>
        <w:rPr>
          <w:rFonts w:ascii="Arial" w:eastAsia="Arial" w:hAnsi="Arial" w:cs="Arial"/>
          <w:color w:val="000000"/>
          <w:sz w:val="20"/>
        </w:rPr>
        <w:t xml:space="preserve">Section 344.280 of the KCRA prohibits two or more persons from conspiring "[t]o aid, abet, incite, compel, or coerce a person to engage in any of the acts or practices declared unlawful by this chapter." KRS § 344.280(2). As the district court correctly recognized, Priddy and Dr. Kline cannot be liable in either their official or individual capacity for aiding and abetting the university's discrimination if we conclude that Gati failed to present a prima facie case that the university discriminated. </w:t>
      </w:r>
      <w:r>
        <w:rPr>
          <w:rFonts w:ascii="Arial" w:eastAsia="Arial" w:hAnsi="Arial" w:cs="Arial"/>
          <w:i/>
          <w:color w:val="000000"/>
          <w:sz w:val="20"/>
        </w:rPr>
        <w:t xml:space="preserve">See, e.g., </w:t>
      </w:r>
      <w:bookmarkStart w:id="2160" w:name="Bookmark_I5VB7SMY28T3W00050000400"/>
      <w:bookmarkEnd w:id="2160"/>
      <w:r>
        <w:rPr>
          <w:rFonts w:ascii="Arial" w:eastAsia="Arial" w:hAnsi="Arial" w:cs="Arial"/>
          <w:i/>
          <w:color w:val="000000"/>
          <w:sz w:val="20"/>
        </w:rPr>
        <w:t>CNH Capital Am. LLC v. Hunt Tractor, Inc.</w:t>
      </w:r>
      <w:r>
        <w:rPr>
          <w:rFonts w:ascii="Arial" w:eastAsia="Arial" w:hAnsi="Arial" w:cs="Arial"/>
          <w:color w:val="000000"/>
          <w:sz w:val="20"/>
        </w:rPr>
        <w:t>, 568 F. App'x 461, 472-73 (6th Cir. 2014) (requiring an underlying tort to find defendants guilty of conspiring to commit a fraudulent conveyance).</w:t>
      </w:r>
    </w:p>
    <w:p w:rsidR="00E456CD" w:rsidRDefault="00000000">
      <w:pPr>
        <w:pStyle w:val="Normal10"/>
        <w:widowControl w:val="0"/>
        <w:spacing w:before="200" w:line="260" w:lineRule="atLeast"/>
        <w:jc w:val="both"/>
      </w:pPr>
      <w:bookmarkStart w:id="2161" w:name="Bookmark_para_22_6"/>
      <w:bookmarkEnd w:id="2161"/>
      <w:r>
        <w:rPr>
          <w:rFonts w:ascii="Arial" w:eastAsia="Arial" w:hAnsi="Arial" w:cs="Arial"/>
          <w:i/>
          <w:color w:val="000000"/>
          <w:sz w:val="20"/>
        </w:rPr>
        <w:t>Other state law claims</w:t>
      </w:r>
      <w:r>
        <w:rPr>
          <w:rFonts w:ascii="Arial" w:eastAsia="Arial" w:hAnsi="Arial" w:cs="Arial"/>
          <w:color w:val="000000"/>
          <w:sz w:val="20"/>
        </w:rPr>
        <w:t>. Unlike his aiding and abetting argument, Gati's claims against Priddy in her official and individual capacities for other garden variety state law violations require separate treatment.</w:t>
      </w:r>
    </w:p>
    <w:p w:rsidR="00E456CD" w:rsidRDefault="00000000">
      <w:pPr>
        <w:pStyle w:val="Normal10"/>
        <w:widowControl w:val="0"/>
        <w:spacing w:before="200" w:line="260" w:lineRule="atLeast"/>
        <w:jc w:val="both"/>
      </w:pPr>
      <w:bookmarkStart w:id="2162" w:name="Bookmark_para_23_6"/>
      <w:bookmarkStart w:id="2163" w:name="Bookmark_I2SK0SFTN78000VMH5W00005"/>
      <w:bookmarkStart w:id="2164" w:name="Bookmark_I5VB7SMY2SF86S0030000400"/>
      <w:bookmarkStart w:id="2165" w:name="Bookmark_I5VB7SMY2SF86S0050000400"/>
      <w:bookmarkEnd w:id="2162"/>
      <w:bookmarkEnd w:id="2163"/>
      <w:bookmarkEnd w:id="2164"/>
      <w:bookmarkEnd w:id="2165"/>
      <w:r>
        <w:rPr>
          <w:rFonts w:ascii="Arial" w:eastAsia="Arial" w:hAnsi="Arial" w:cs="Arial"/>
          <w:color w:val="000000"/>
          <w:sz w:val="20"/>
        </w:rPr>
        <w:t xml:space="preserve">The official capacity claims here present at first blush a textbook example of what the Supreme Court in </w:t>
      </w:r>
      <w:r>
        <w:rPr>
          <w:rFonts w:ascii="Arial" w:eastAsia="Arial" w:hAnsi="Arial" w:cs="Arial"/>
          <w:i/>
          <w:color w:val="000000"/>
          <w:sz w:val="20"/>
        </w:rPr>
        <w:t>Pennhurst State School &amp; Hospital v. Halderman</w:t>
      </w:r>
      <w:r>
        <w:rPr>
          <w:rFonts w:ascii="Arial" w:eastAsia="Arial" w:hAnsi="Arial" w:cs="Arial"/>
          <w:color w:val="000000"/>
          <w:sz w:val="20"/>
        </w:rPr>
        <w:t xml:space="preserve"> forbade federal courts from considering: a pendent [**13]  state law claim against a state official in her official capacity. </w:t>
      </w:r>
      <w:bookmarkStart w:id="2166" w:name="Bookmark_I5VB7SMY2SF86S0020000400"/>
      <w:bookmarkEnd w:id="2166"/>
      <w:r>
        <w:rPr>
          <w:rFonts w:ascii="Arial" w:eastAsia="Arial" w:hAnsi="Arial" w:cs="Arial"/>
          <w:color w:val="000000"/>
          <w:sz w:val="20"/>
        </w:rPr>
        <w:t xml:space="preserve">465 U.S. 89, 117-121, 104 S. Ct. 900, 79 L. Ed. 2d 67 (1984). </w:t>
      </w:r>
      <w:bookmarkStart w:id="2167" w:name="Bookmark_I5VB7SMY2HM6670020000400"/>
      <w:bookmarkStart w:id="2168" w:name="Bookmark_LNHNREFclscc14_1"/>
      <w:bookmarkEnd w:id="2167"/>
      <w:bookmarkEnd w:id="2168"/>
      <w:r>
        <w:rPr>
          <w:rFonts w:ascii="Arial" w:eastAsia="Arial" w:hAnsi="Arial" w:cs="Arial"/>
          <w:color w:val="000000"/>
          <w:sz w:val="20"/>
        </w:rPr>
        <w:t xml:space="preserve">"The federal courts are simply not open to such state law challenges to official state action, absent explicit state waiver of the federal court immunity found in the Eleventh Amendment," irrespective of the type of relief sought. </w:t>
      </w:r>
      <w:bookmarkStart w:id="2169" w:name="Bookmark_I5VB7SMY2SF86S0040000400"/>
      <w:bookmarkEnd w:id="2169"/>
      <w:r>
        <w:rPr>
          <w:rFonts w:ascii="Arial" w:eastAsia="Arial" w:hAnsi="Arial" w:cs="Arial"/>
          <w:i/>
          <w:color w:val="000000"/>
          <w:sz w:val="20"/>
        </w:rPr>
        <w:t>Experimental Holdings, Inc. v. Farris</w:t>
      </w:r>
      <w:r>
        <w:rPr>
          <w:rFonts w:ascii="Arial" w:eastAsia="Arial" w:hAnsi="Arial" w:cs="Arial"/>
          <w:color w:val="000000"/>
          <w:sz w:val="20"/>
        </w:rPr>
        <w:t xml:space="preserve">, 503 F.3d 514, 521 (6th Cir. 2007). </w:t>
      </w:r>
      <w:bookmarkStart w:id="2170" w:name="Bookmark_I5VB7SMY2HM6670020000400_2"/>
      <w:bookmarkEnd w:id="2170"/>
      <w:r>
        <w:rPr>
          <w:rFonts w:ascii="Arial" w:eastAsia="Arial" w:hAnsi="Arial" w:cs="Arial"/>
          <w:color w:val="000000"/>
          <w:sz w:val="20"/>
        </w:rPr>
        <w:t xml:space="preserve">"A federal court must examine each claim in a case to see if the court's jurisdiction over that claim is barred by the Eleventh Amendment." </w:t>
      </w:r>
      <w:bookmarkStart w:id="2171" w:name="Bookmark_I5VB7SMY2HM6670010000400"/>
      <w:bookmarkEnd w:id="2171"/>
      <w:r>
        <w:rPr>
          <w:rFonts w:ascii="Arial" w:eastAsia="Arial" w:hAnsi="Arial" w:cs="Arial"/>
          <w:i/>
          <w:color w:val="000000"/>
          <w:sz w:val="20"/>
        </w:rPr>
        <w:t>Pennhurst</w:t>
      </w:r>
      <w:r>
        <w:rPr>
          <w:rFonts w:ascii="Arial" w:eastAsia="Arial" w:hAnsi="Arial" w:cs="Arial"/>
          <w:color w:val="000000"/>
          <w:sz w:val="20"/>
        </w:rPr>
        <w:t>, 465 U.S. at 121.</w:t>
      </w:r>
    </w:p>
    <w:p w:rsidR="00E456CD" w:rsidRDefault="00000000">
      <w:pPr>
        <w:pStyle w:val="Normal10"/>
        <w:widowControl w:val="0"/>
        <w:spacing w:before="200" w:line="260" w:lineRule="atLeast"/>
        <w:jc w:val="both"/>
      </w:pPr>
      <w:bookmarkStart w:id="2172" w:name="Bookmark_para_24_5"/>
      <w:bookmarkStart w:id="2173" w:name="Bookmark_I5VB7SMY2HM6670040000400"/>
      <w:bookmarkEnd w:id="2172"/>
      <w:bookmarkEnd w:id="2173"/>
      <w:r>
        <w:rPr>
          <w:rFonts w:ascii="Arial" w:eastAsia="Arial" w:hAnsi="Arial" w:cs="Arial"/>
          <w:color w:val="000000"/>
          <w:sz w:val="20"/>
        </w:rPr>
        <w:t xml:space="preserve">WKU's removal of this case to federal court presents a jurisdiction quagmire. To resolve it, we must decide whether the Kentucky legislature waived immunity on these issues. </w:t>
      </w:r>
      <w:r>
        <w:rPr>
          <w:rFonts w:ascii="Arial" w:eastAsia="Arial" w:hAnsi="Arial" w:cs="Arial"/>
          <w:i/>
          <w:color w:val="000000"/>
          <w:sz w:val="20"/>
        </w:rPr>
        <w:t xml:space="preserve">See </w:t>
      </w:r>
      <w:bookmarkStart w:id="2174" w:name="Bookmark_I5VB7SMY2HM6670030000400"/>
      <w:bookmarkEnd w:id="2174"/>
      <w:r>
        <w:rPr>
          <w:rFonts w:ascii="Arial" w:eastAsia="Arial" w:hAnsi="Arial" w:cs="Arial"/>
          <w:i/>
          <w:color w:val="000000"/>
          <w:sz w:val="20"/>
        </w:rPr>
        <w:t>Agrawal v. Montemagno</w:t>
      </w:r>
      <w:r>
        <w:rPr>
          <w:rFonts w:ascii="Arial" w:eastAsia="Arial" w:hAnsi="Arial" w:cs="Arial"/>
          <w:color w:val="000000"/>
          <w:sz w:val="20"/>
        </w:rPr>
        <w:t>, 574 F. App'x 570, 573 (6th Cir. 2014) ("</w:t>
      </w:r>
      <w:r>
        <w:rPr>
          <w:rFonts w:ascii="Arial" w:eastAsia="Arial" w:hAnsi="Arial" w:cs="Arial"/>
          <w:i/>
          <w:color w:val="000000"/>
          <w:sz w:val="20"/>
        </w:rPr>
        <w:t>Lapides</w:t>
      </w:r>
      <w:r>
        <w:rPr>
          <w:rFonts w:ascii="Arial" w:eastAsia="Arial" w:hAnsi="Arial" w:cs="Arial"/>
          <w:color w:val="000000"/>
          <w:sz w:val="20"/>
        </w:rPr>
        <w:t xml:space="preserve"> is limited to state law claims for which the state has waived or abrogated its immunity.") </w:t>
      </w:r>
      <w:bookmarkStart w:id="2175" w:name="Bookmark_LNHNREFclscc15_0"/>
      <w:bookmarkEnd w:id="2175"/>
      <w:r>
        <w:rPr>
          <w:rFonts w:ascii="Arial" w:eastAsia="Arial" w:hAnsi="Arial" w:cs="Arial"/>
          <w:color w:val="000000"/>
          <w:sz w:val="20"/>
        </w:rPr>
        <w:t xml:space="preserve">Kentucky law requires that any waiver be explicit, </w:t>
      </w:r>
      <w:r>
        <w:rPr>
          <w:rFonts w:ascii="Arial" w:eastAsia="Arial" w:hAnsi="Arial" w:cs="Arial"/>
          <w:i/>
          <w:color w:val="000000"/>
          <w:sz w:val="20"/>
        </w:rPr>
        <w:t xml:space="preserve">see </w:t>
      </w:r>
      <w:bookmarkStart w:id="2176" w:name="Bookmark_I5VB7SMY2HM6670050000400"/>
      <w:bookmarkEnd w:id="2176"/>
      <w:r>
        <w:rPr>
          <w:rFonts w:ascii="Arial" w:eastAsia="Arial" w:hAnsi="Arial" w:cs="Arial"/>
          <w:i/>
          <w:color w:val="000000"/>
          <w:sz w:val="20"/>
        </w:rPr>
        <w:t>Furtula v. Univ. of Ky.</w:t>
      </w:r>
      <w:r>
        <w:rPr>
          <w:rFonts w:ascii="Arial" w:eastAsia="Arial" w:hAnsi="Arial" w:cs="Arial"/>
          <w:color w:val="000000"/>
          <w:sz w:val="20"/>
        </w:rPr>
        <w:t>, 438 S.W.3d 303, 305 (Ky. 2014), the parties offered no authority to assist this court to determine whether it has done so for these claims, and we have found no evidence of a waiver ourselves. Thus, the university's removal to federal court does not waive its immunity, and the Eleventh Amendment bars us from considering the merits. The official-capacity claims stop here.</w:t>
      </w:r>
    </w:p>
    <w:p w:rsidR="00E456CD" w:rsidRDefault="00000000">
      <w:pPr>
        <w:pStyle w:val="Normal10"/>
        <w:widowControl w:val="0"/>
        <w:spacing w:before="200" w:line="260" w:lineRule="atLeast"/>
        <w:jc w:val="both"/>
      </w:pPr>
      <w:bookmarkStart w:id="2177" w:name="Bookmark_para_25_5"/>
      <w:bookmarkStart w:id="2178" w:name="Bookmark_I2SK0SFV058000VMH5W00006"/>
      <w:bookmarkStart w:id="2179" w:name="Bookmark_I5VB7SMY28T3W10030000400"/>
      <w:bookmarkEnd w:id="2177"/>
      <w:bookmarkEnd w:id="2178"/>
      <w:bookmarkEnd w:id="2179"/>
      <w:r>
        <w:rPr>
          <w:rFonts w:ascii="Arial" w:eastAsia="Arial" w:hAnsi="Arial" w:cs="Arial"/>
          <w:color w:val="000000"/>
          <w:sz w:val="20"/>
        </w:rPr>
        <w:t xml:space="preserve">Gati also sued Priddy in her individual capacity on these same tort and contract claims. </w:t>
      </w:r>
      <w:bookmarkStart w:id="2180" w:name="Bookmark_I2SK0SFVBC0000VMH5W00007"/>
      <w:bookmarkStart w:id="2181" w:name="Bookmark_I5VB7SMY28T3W10050000400"/>
      <w:bookmarkEnd w:id="2180"/>
      <w:bookmarkEnd w:id="2181"/>
      <w:r>
        <w:rPr>
          <w:rFonts w:ascii="Arial" w:eastAsia="Arial" w:hAnsi="Arial" w:cs="Arial"/>
          <w:color w:val="000000"/>
          <w:sz w:val="20"/>
        </w:rPr>
        <w:t xml:space="preserve">Priddy argued that qualified [**14]  immunity shields her from liability. </w:t>
      </w:r>
      <w:bookmarkStart w:id="2182" w:name="Bookmark_LNHNREFclscc16_0"/>
      <w:bookmarkEnd w:id="2182"/>
      <w:r>
        <w:rPr>
          <w:rFonts w:ascii="Arial" w:eastAsia="Arial" w:hAnsi="Arial" w:cs="Arial"/>
          <w:color w:val="000000"/>
          <w:sz w:val="20"/>
        </w:rPr>
        <w:t xml:space="preserve">Under Kentucky law, qualified immunity protects public employees sued in their individual capacities so long as the employee performed "(1) discretionary acts or functions . . .; (2) in good faith; and (3) within the scope of the employee's authority." </w:t>
      </w:r>
      <w:bookmarkStart w:id="2183" w:name="Bookmark_I5VB7SMY28T3W10020000400"/>
      <w:bookmarkEnd w:id="2183"/>
      <w:r>
        <w:rPr>
          <w:rFonts w:ascii="Arial" w:eastAsia="Arial" w:hAnsi="Arial" w:cs="Arial"/>
          <w:i/>
          <w:color w:val="000000"/>
          <w:sz w:val="20"/>
        </w:rPr>
        <w:t>Yanero v. Davis</w:t>
      </w:r>
      <w:r>
        <w:rPr>
          <w:rFonts w:ascii="Arial" w:eastAsia="Arial" w:hAnsi="Arial" w:cs="Arial"/>
          <w:color w:val="000000"/>
          <w:sz w:val="20"/>
        </w:rPr>
        <w:t xml:space="preserve">, 65 S.W.3d 510, 522 (Ky. 2001). </w:t>
      </w:r>
      <w:bookmarkStart w:id="2184" w:name="Bookmark_I5VB7SMY28T3W10050000400_2"/>
      <w:bookmarkEnd w:id="2184"/>
      <w:r>
        <w:rPr>
          <w:rFonts w:ascii="Arial" w:eastAsia="Arial" w:hAnsi="Arial" w:cs="Arial"/>
          <w:color w:val="000000"/>
          <w:sz w:val="20"/>
        </w:rPr>
        <w:t xml:space="preserve">Though Gati claims that this immunity does not cover liability for intentional torts, citing </w:t>
      </w:r>
      <w:r>
        <w:rPr>
          <w:rFonts w:ascii="Arial" w:eastAsia="Arial" w:hAnsi="Arial" w:cs="Arial"/>
          <w:i/>
          <w:color w:val="000000"/>
          <w:sz w:val="20"/>
        </w:rPr>
        <w:t>Yanero</w:t>
      </w:r>
      <w:r>
        <w:rPr>
          <w:rFonts w:ascii="Arial" w:eastAsia="Arial" w:hAnsi="Arial" w:cs="Arial"/>
          <w:color w:val="000000"/>
          <w:sz w:val="20"/>
        </w:rPr>
        <w:t xml:space="preserve">, Kentucky's Supreme Court has expressly rejected this narrow reading of </w:t>
      </w:r>
      <w:bookmarkStart w:id="2185" w:name="Bookmark_I5VB7SMY28T3W10040000400"/>
      <w:bookmarkEnd w:id="2185"/>
      <w:r>
        <w:rPr>
          <w:rFonts w:ascii="Arial" w:eastAsia="Arial" w:hAnsi="Arial" w:cs="Arial"/>
          <w:i/>
          <w:color w:val="000000"/>
          <w:sz w:val="20"/>
        </w:rPr>
        <w:t>Yanero. Martin v. O'Daniel</w:t>
      </w:r>
      <w:r>
        <w:rPr>
          <w:rFonts w:ascii="Arial" w:eastAsia="Arial" w:hAnsi="Arial" w:cs="Arial"/>
          <w:color w:val="000000"/>
          <w:sz w:val="20"/>
        </w:rPr>
        <w:t xml:space="preserve">, 507 S.W.3d 1, 5-6 (Ky. 2016) ("[Q]ualified official immunity is not limited to negligence actions."); </w:t>
      </w:r>
      <w:r>
        <w:rPr>
          <w:rFonts w:ascii="Arial" w:eastAsia="Arial" w:hAnsi="Arial" w:cs="Arial"/>
          <w:i/>
          <w:color w:val="000000"/>
          <w:sz w:val="20"/>
        </w:rPr>
        <w:t xml:space="preserve">see also </w:t>
      </w:r>
      <w:bookmarkStart w:id="2186" w:name="Bookmark_I5VB7SMY2SF86T0010000400"/>
      <w:bookmarkEnd w:id="2186"/>
      <w:r>
        <w:rPr>
          <w:rFonts w:ascii="Arial" w:eastAsia="Arial" w:hAnsi="Arial" w:cs="Arial"/>
          <w:i/>
          <w:color w:val="000000"/>
          <w:sz w:val="20"/>
        </w:rPr>
        <w:t>Mosley v. Brock</w:t>
      </w:r>
      <w:r>
        <w:rPr>
          <w:rFonts w:ascii="Arial" w:eastAsia="Arial" w:hAnsi="Arial" w:cs="Arial"/>
          <w:color w:val="000000"/>
          <w:sz w:val="20"/>
        </w:rPr>
        <w:t>, No. 2016-CA-001020-MR, 2018 Ky. App. Unpub. LEXIS 715, 2018 WL 4849714, at *6 (Ky. Ct. App. Oct. 5, 2018).</w:t>
      </w:r>
    </w:p>
    <w:p w:rsidR="00E456CD" w:rsidRDefault="00000000">
      <w:pPr>
        <w:pStyle w:val="Normal10"/>
        <w:widowControl w:val="0"/>
        <w:spacing w:before="200" w:line="260" w:lineRule="atLeast"/>
        <w:jc w:val="both"/>
      </w:pPr>
      <w:bookmarkStart w:id="2187" w:name="Bookmark_para_26_5"/>
      <w:bookmarkStart w:id="2188" w:name="Bookmark_I5VB7SMY2SF86T0040000400"/>
      <w:bookmarkStart w:id="2189" w:name="Bookmark_I5VB7SMY2SF86V0010000400"/>
      <w:bookmarkEnd w:id="2187"/>
      <w:bookmarkEnd w:id="2188"/>
      <w:bookmarkEnd w:id="2189"/>
      <w:r>
        <w:rPr>
          <w:rFonts w:ascii="Arial" w:eastAsia="Arial" w:hAnsi="Arial" w:cs="Arial"/>
          <w:color w:val="000000"/>
          <w:sz w:val="20"/>
        </w:rPr>
        <w:t xml:space="preserve">Gati claims that Priddy performed only ministerial—not discretionary—work in her capacity as an admissions counselor. </w:t>
      </w:r>
      <w:bookmarkStart w:id="2190" w:name="Bookmark_LNHNREFclscc17"/>
      <w:bookmarkEnd w:id="2190"/>
      <w:r>
        <w:rPr>
          <w:rFonts w:ascii="Arial" w:eastAsia="Arial" w:hAnsi="Arial" w:cs="Arial"/>
          <w:color w:val="000000"/>
          <w:sz w:val="20"/>
        </w:rPr>
        <w:t xml:space="preserve">Ministerial work includes those tasks that an employee must do "without regard to his or her own judgment" unlike those duties requiring the employee to "make a judgment call, or set a policy," </w:t>
      </w:r>
      <w:bookmarkStart w:id="2191" w:name="Bookmark_I5VB7SMY2SF86T0030000400"/>
      <w:bookmarkEnd w:id="2191"/>
      <w:r>
        <w:rPr>
          <w:rFonts w:ascii="Arial" w:eastAsia="Arial" w:hAnsi="Arial" w:cs="Arial"/>
          <w:i/>
          <w:color w:val="000000"/>
          <w:sz w:val="20"/>
        </w:rPr>
        <w:t>Marson v.  [*254]  Thomason</w:t>
      </w:r>
      <w:r>
        <w:rPr>
          <w:rFonts w:ascii="Arial" w:eastAsia="Arial" w:hAnsi="Arial" w:cs="Arial"/>
          <w:color w:val="000000"/>
          <w:sz w:val="20"/>
        </w:rPr>
        <w:t xml:space="preserve">, 438 S.W.3d 292, 296-97 (Ky. 2014). "In other words, if the employee has no choice but to do the act, it is ministerial." </w:t>
      </w:r>
      <w:bookmarkStart w:id="2192" w:name="Bookmark_I5VB7SMY2SF86T0050000400"/>
      <w:bookmarkEnd w:id="2192"/>
      <w:r>
        <w:rPr>
          <w:rFonts w:ascii="Arial" w:eastAsia="Arial" w:hAnsi="Arial" w:cs="Arial"/>
          <w:i/>
          <w:color w:val="000000"/>
          <w:sz w:val="20"/>
        </w:rPr>
        <w:t>Id.</w:t>
      </w:r>
      <w:r>
        <w:rPr>
          <w:rFonts w:ascii="Arial" w:eastAsia="Arial" w:hAnsi="Arial" w:cs="Arial"/>
          <w:color w:val="000000"/>
          <w:sz w:val="20"/>
        </w:rPr>
        <w:t xml:space="preserve"> at 297.</w:t>
      </w:r>
    </w:p>
    <w:p w:rsidR="00E456CD" w:rsidRDefault="00000000">
      <w:pPr>
        <w:pStyle w:val="Normal10"/>
        <w:widowControl w:val="0"/>
        <w:spacing w:before="200" w:line="260" w:lineRule="atLeast"/>
        <w:jc w:val="both"/>
      </w:pPr>
      <w:bookmarkStart w:id="2193" w:name="Bookmark_para_27_5"/>
      <w:bookmarkStart w:id="2194" w:name="Bookmark_I5VB7SMY2SF86V0030000400"/>
      <w:bookmarkStart w:id="2195" w:name="Bookmark_I5VB7SMY2SF86V0050000400"/>
      <w:bookmarkStart w:id="2196" w:name="Bookmark_LNHNREFclscc18"/>
      <w:bookmarkEnd w:id="2193"/>
      <w:bookmarkEnd w:id="2194"/>
      <w:bookmarkEnd w:id="2195"/>
      <w:bookmarkEnd w:id="2196"/>
      <w:r>
        <w:rPr>
          <w:rFonts w:ascii="Arial" w:eastAsia="Arial" w:hAnsi="Arial" w:cs="Arial"/>
          <w:color w:val="000000"/>
          <w:sz w:val="20"/>
        </w:rPr>
        <w:t xml:space="preserve">"[M]ost immunity issues are resolved by examining the nature of the functions with which a particular official or class of officials has been lawfully entrusted." </w:t>
      </w:r>
      <w:bookmarkStart w:id="2197" w:name="Bookmark_I5VB7SMY2SF86V0020000400"/>
      <w:bookmarkEnd w:id="2197"/>
      <w:r>
        <w:rPr>
          <w:rFonts w:ascii="Arial" w:eastAsia="Arial" w:hAnsi="Arial" w:cs="Arial"/>
          <w:i/>
          <w:color w:val="000000"/>
          <w:sz w:val="20"/>
        </w:rPr>
        <w:t>Id.</w:t>
      </w:r>
      <w:r>
        <w:rPr>
          <w:rFonts w:ascii="Arial" w:eastAsia="Arial" w:hAnsi="Arial" w:cs="Arial"/>
          <w:color w:val="000000"/>
          <w:sz w:val="20"/>
        </w:rPr>
        <w:t xml:space="preserve"> at 296 (internal quotations omitted). </w:t>
      </w:r>
      <w:bookmarkStart w:id="2198" w:name="Bookmark_I5VB7SMY2HM6680020000400"/>
      <w:bookmarkEnd w:id="2198"/>
      <w:r>
        <w:rPr>
          <w:rFonts w:ascii="Arial" w:eastAsia="Arial" w:hAnsi="Arial" w:cs="Arial"/>
          <w:color w:val="000000"/>
          <w:sz w:val="20"/>
        </w:rPr>
        <w:t xml:space="preserve">In </w:t>
      </w:r>
      <w:r>
        <w:rPr>
          <w:rFonts w:ascii="Arial" w:eastAsia="Arial" w:hAnsi="Arial" w:cs="Arial"/>
          <w:i/>
          <w:color w:val="000000"/>
          <w:sz w:val="20"/>
        </w:rPr>
        <w:t>Marson</w:t>
      </w:r>
      <w:r>
        <w:rPr>
          <w:rFonts w:ascii="Arial" w:eastAsia="Arial" w:hAnsi="Arial" w:cs="Arial"/>
          <w:color w:val="000000"/>
          <w:sz w:val="20"/>
        </w:rPr>
        <w:t xml:space="preserve">, the Kentucky Supreme Court explained the difference [**15]  between ministerial and discretionary duties. </w:t>
      </w:r>
      <w:bookmarkStart w:id="2199" w:name="Bookmark_I5VB7SMY2SF86V0040000400"/>
      <w:bookmarkEnd w:id="2199"/>
      <w:r>
        <w:rPr>
          <w:rFonts w:ascii="Arial" w:eastAsia="Arial" w:hAnsi="Arial" w:cs="Arial"/>
          <w:i/>
          <w:color w:val="000000"/>
          <w:sz w:val="20"/>
        </w:rPr>
        <w:t>Id.</w:t>
      </w:r>
      <w:r>
        <w:rPr>
          <w:rFonts w:ascii="Arial" w:eastAsia="Arial" w:hAnsi="Arial" w:cs="Arial"/>
          <w:color w:val="000000"/>
          <w:sz w:val="20"/>
        </w:rPr>
        <w:t xml:space="preserve"> at 296-98. </w:t>
      </w:r>
      <w:bookmarkStart w:id="2200" w:name="Bookmark_I5VB7SMY2HM6680020000400_2"/>
      <w:bookmarkStart w:id="2201" w:name="Bookmark_I5VB7SMY2HM6680040000400"/>
      <w:bookmarkEnd w:id="2200"/>
      <w:bookmarkEnd w:id="2201"/>
      <w:r>
        <w:rPr>
          <w:rFonts w:ascii="Arial" w:eastAsia="Arial" w:hAnsi="Arial" w:cs="Arial"/>
          <w:color w:val="000000"/>
          <w:sz w:val="20"/>
        </w:rPr>
        <w:t xml:space="preserve">A school custodian tasked with preparing a gym for students every morning by extending the bleachers and turning on the lights performs a ministerial duty. </w:t>
      </w:r>
      <w:bookmarkStart w:id="2202" w:name="Bookmark_I5VB7SMY2HM6680010000400"/>
      <w:bookmarkEnd w:id="2202"/>
      <w:r>
        <w:rPr>
          <w:rFonts w:ascii="Arial" w:eastAsia="Arial" w:hAnsi="Arial" w:cs="Arial"/>
          <w:i/>
          <w:color w:val="000000"/>
          <w:sz w:val="20"/>
        </w:rPr>
        <w:t>Id.</w:t>
      </w:r>
      <w:r>
        <w:rPr>
          <w:rFonts w:ascii="Arial" w:eastAsia="Arial" w:hAnsi="Arial" w:cs="Arial"/>
          <w:color w:val="000000"/>
          <w:sz w:val="20"/>
        </w:rPr>
        <w:t xml:space="preserve"> at 298. </w:t>
      </w:r>
      <w:bookmarkStart w:id="2203" w:name="Bookmark_I5VB7SMY2HM6680040000400_2"/>
      <w:bookmarkStart w:id="2204" w:name="Bookmark_I5VB7SMY2D6N3G0010000400"/>
      <w:bookmarkEnd w:id="2203"/>
      <w:bookmarkEnd w:id="2204"/>
      <w:r>
        <w:rPr>
          <w:rFonts w:ascii="Arial" w:eastAsia="Arial" w:hAnsi="Arial" w:cs="Arial"/>
          <w:color w:val="000000"/>
          <w:sz w:val="20"/>
        </w:rPr>
        <w:t xml:space="preserve">On the other hand, the principal hired to run the school and delegate different job duties to his staff works in a discretionary capacity. </w:t>
      </w:r>
      <w:bookmarkStart w:id="2205" w:name="Bookmark_I5VB7SMY2HM6680030000400"/>
      <w:bookmarkEnd w:id="2205"/>
      <w:r>
        <w:rPr>
          <w:rFonts w:ascii="Arial" w:eastAsia="Arial" w:hAnsi="Arial" w:cs="Arial"/>
          <w:i/>
          <w:color w:val="000000"/>
          <w:sz w:val="20"/>
        </w:rPr>
        <w:t>Id.</w:t>
      </w:r>
      <w:r>
        <w:rPr>
          <w:rFonts w:ascii="Arial" w:eastAsia="Arial" w:hAnsi="Arial" w:cs="Arial"/>
          <w:color w:val="000000"/>
          <w:sz w:val="20"/>
        </w:rPr>
        <w:t xml:space="preserve"> at 300. </w:t>
      </w:r>
      <w:bookmarkStart w:id="2206" w:name="Bookmark_I5VB7SMY2D6N3G0010000400_2"/>
      <w:bookmarkEnd w:id="2206"/>
      <w:r>
        <w:rPr>
          <w:rFonts w:ascii="Arial" w:eastAsia="Arial" w:hAnsi="Arial" w:cs="Arial"/>
          <w:color w:val="000000"/>
          <w:sz w:val="20"/>
        </w:rPr>
        <w:t xml:space="preserve">"The distinction between discretionary acts and mandatory acts is essentially the difference between making higher-level decisions and giving orders to effectuate those decisions, and simply following orders." </w:t>
      </w:r>
      <w:bookmarkStart w:id="2207" w:name="Bookmark_I5VB7SMY2HM6680050000400"/>
      <w:bookmarkEnd w:id="2207"/>
      <w:r>
        <w:rPr>
          <w:rFonts w:ascii="Arial" w:eastAsia="Arial" w:hAnsi="Arial" w:cs="Arial"/>
          <w:i/>
          <w:color w:val="000000"/>
          <w:sz w:val="20"/>
        </w:rPr>
        <w:t>Id.</w:t>
      </w:r>
      <w:r>
        <w:rPr>
          <w:rFonts w:ascii="Arial" w:eastAsia="Arial" w:hAnsi="Arial" w:cs="Arial"/>
          <w:color w:val="000000"/>
          <w:sz w:val="20"/>
        </w:rPr>
        <w:t xml:space="preserve"> at 297.</w:t>
      </w:r>
    </w:p>
    <w:p w:rsidR="00E456CD" w:rsidRDefault="00000000">
      <w:pPr>
        <w:pStyle w:val="Normal10"/>
        <w:widowControl w:val="0"/>
        <w:spacing w:before="200" w:line="260" w:lineRule="atLeast"/>
        <w:jc w:val="both"/>
      </w:pPr>
      <w:bookmarkStart w:id="2208" w:name="Bookmark_para_28_5"/>
      <w:bookmarkEnd w:id="2208"/>
      <w:r>
        <w:rPr>
          <w:rFonts w:ascii="Arial" w:eastAsia="Arial" w:hAnsi="Arial" w:cs="Arial"/>
          <w:color w:val="000000"/>
          <w:sz w:val="20"/>
        </w:rPr>
        <w:t xml:space="preserve">As Assistant Director of Graduate Admissions, Priddy processed applications, oversaw other staff members who processed applications, and reported matriculation statistics to the graduate dean. She also recruited students to enroll in the school—visiting various satellite campuses and very generally informing students about the variety of WKU's educational offerings. Priddy met with Gati in her capacity as a recruiter and answered his questions about the school's Mental Health Counseling Program. </w:t>
      </w:r>
      <w:bookmarkStart w:id="2209" w:name="Bookmark_I5VB7SMY2D6N3G0030000400"/>
      <w:bookmarkEnd w:id="2209"/>
      <w:r>
        <w:rPr>
          <w:rFonts w:ascii="Arial" w:eastAsia="Arial" w:hAnsi="Arial" w:cs="Arial"/>
          <w:color w:val="000000"/>
          <w:sz w:val="20"/>
        </w:rPr>
        <w:t xml:space="preserve">Her advice to Gati parroted publicly available sources. This is ministerial. Concluding, as the district court did, that Priddy's recruitment [**16]  efforts constitute discretionary work would "risk limiting ministerial acts to almost nothing except those acts that are directly compelled by an order or rule. In so doing, we would undermine the rule that </w:t>
      </w:r>
      <w:bookmarkStart w:id="2210" w:name="Bookmark_LNHNREFclscc19"/>
      <w:bookmarkEnd w:id="2210"/>
      <w:r>
        <w:rPr>
          <w:rFonts w:ascii="Arial" w:eastAsia="Arial" w:hAnsi="Arial" w:cs="Arial"/>
          <w:color w:val="000000"/>
          <w:sz w:val="20"/>
        </w:rPr>
        <w:t xml:space="preserve">an act can be ministerial even though it has a component of discretion." </w:t>
      </w:r>
      <w:bookmarkStart w:id="2211" w:name="Bookmark_I5VB7SMY2D6N3G0020000400"/>
      <w:bookmarkEnd w:id="2211"/>
      <w:r>
        <w:rPr>
          <w:rFonts w:ascii="Arial" w:eastAsia="Arial" w:hAnsi="Arial" w:cs="Arial"/>
          <w:i/>
          <w:color w:val="000000"/>
          <w:sz w:val="20"/>
        </w:rPr>
        <w:t>Marson</w:t>
      </w:r>
      <w:r>
        <w:rPr>
          <w:rFonts w:ascii="Arial" w:eastAsia="Arial" w:hAnsi="Arial" w:cs="Arial"/>
          <w:color w:val="000000"/>
          <w:sz w:val="20"/>
        </w:rPr>
        <w:t>, 438 S.W.3d at 302.</w:t>
      </w:r>
    </w:p>
    <w:p w:rsidR="00E456CD" w:rsidRDefault="00000000">
      <w:pPr>
        <w:pStyle w:val="Normal10"/>
        <w:widowControl w:val="0"/>
        <w:spacing w:before="200" w:line="260" w:lineRule="atLeast"/>
        <w:jc w:val="both"/>
      </w:pPr>
      <w:bookmarkStart w:id="2212" w:name="Bookmark_para_29_5"/>
      <w:bookmarkStart w:id="2213" w:name="Bookmark_I5VB7SMY2D6N3G0050000400"/>
      <w:bookmarkEnd w:id="2212"/>
      <w:bookmarkEnd w:id="2213"/>
      <w:r>
        <w:rPr>
          <w:rFonts w:ascii="Arial" w:eastAsia="Arial" w:hAnsi="Arial" w:cs="Arial"/>
          <w:color w:val="000000"/>
          <w:sz w:val="20"/>
        </w:rPr>
        <w:t xml:space="preserve">Without immunity shielding Priddy from suit, we reach the merits on each of the promissory estoppel, fraud, and tortious interference with contract claims. First, Gati asserts that this court should enforce Priddy's assurances that he could complete his degree locally under the principle of promissory estoppel. </w:t>
      </w:r>
      <w:bookmarkStart w:id="2214" w:name="Bookmark_LNHNREFclscc20"/>
      <w:bookmarkEnd w:id="2214"/>
      <w:r>
        <w:rPr>
          <w:rFonts w:ascii="Arial" w:eastAsia="Arial" w:hAnsi="Arial" w:cs="Arial"/>
          <w:color w:val="000000"/>
          <w:sz w:val="20"/>
        </w:rPr>
        <w:t xml:space="preserve">Kentucky law states that "[a] promise which the promisor should reasonably expect to induce action or forbearance on the part of the promisee or a third person and which does induce such action or forbearance is binding if injustice can be avoided only by enforcement of the promise." </w:t>
      </w:r>
      <w:bookmarkStart w:id="2215" w:name="Bookmark_I5VB7SMY2D6N3G0040000400"/>
      <w:bookmarkEnd w:id="2215"/>
      <w:r>
        <w:rPr>
          <w:rFonts w:ascii="Arial" w:eastAsia="Arial" w:hAnsi="Arial" w:cs="Arial"/>
          <w:i/>
          <w:color w:val="000000"/>
          <w:sz w:val="20"/>
        </w:rPr>
        <w:t>Ashland, Inc. v. Oppenheimer &amp; Co.</w:t>
      </w:r>
      <w:r>
        <w:rPr>
          <w:rFonts w:ascii="Arial" w:eastAsia="Arial" w:hAnsi="Arial" w:cs="Arial"/>
          <w:color w:val="000000"/>
          <w:sz w:val="20"/>
        </w:rPr>
        <w:t>, 648 F.3d 461, 472 (6th Cir. 2011) (internal quotation omitted).</w:t>
      </w:r>
    </w:p>
    <w:p w:rsidR="00E456CD" w:rsidRDefault="00000000">
      <w:pPr>
        <w:pStyle w:val="Normal10"/>
        <w:widowControl w:val="0"/>
        <w:spacing w:before="200" w:line="260" w:lineRule="atLeast"/>
        <w:jc w:val="both"/>
      </w:pPr>
      <w:bookmarkStart w:id="2216" w:name="Bookmark_para_30_5"/>
      <w:bookmarkStart w:id="2217" w:name="Bookmark_I5VB7SMY2HM6690020000400"/>
      <w:bookmarkEnd w:id="2216"/>
      <w:bookmarkEnd w:id="2217"/>
      <w:r>
        <w:rPr>
          <w:rFonts w:ascii="Arial" w:eastAsia="Arial" w:hAnsi="Arial" w:cs="Arial"/>
          <w:color w:val="000000"/>
          <w:sz w:val="20"/>
        </w:rPr>
        <w:t xml:space="preserve">Gati's argument fails at the first stage—Priddy made Gati no promises. </w:t>
      </w:r>
      <w:bookmarkStart w:id="2218" w:name="Bookmark_LNHNREFclscc21"/>
      <w:bookmarkEnd w:id="2218"/>
      <w:r>
        <w:rPr>
          <w:rFonts w:ascii="Arial" w:eastAsia="Arial" w:hAnsi="Arial" w:cs="Arial"/>
          <w:color w:val="000000"/>
          <w:sz w:val="20"/>
        </w:rPr>
        <w:t xml:space="preserve">Kentucky law characterizes a promise as "a manifestation of </w:t>
      </w:r>
      <w:r>
        <w:rPr>
          <w:rFonts w:ascii="Arial" w:eastAsia="Arial" w:hAnsi="Arial" w:cs="Arial"/>
          <w:i/>
          <w:color w:val="000000"/>
          <w:sz w:val="20"/>
        </w:rPr>
        <w:t>intention to act</w:t>
      </w:r>
      <w:r>
        <w:rPr>
          <w:rFonts w:ascii="Arial" w:eastAsia="Arial" w:hAnsi="Arial" w:cs="Arial"/>
          <w:color w:val="000000"/>
          <w:sz w:val="20"/>
        </w:rPr>
        <w:t xml:space="preserve"> . . . so made as to justify a promisee in understanding that a commitment has been made." Restatement (Second) of Contracts § 2(1) (1981) (emphasis added); </w:t>
      </w:r>
      <w:bookmarkStart w:id="2219" w:name="Bookmark_I5VB7SMY2HM6690010000400"/>
      <w:bookmarkEnd w:id="2219"/>
      <w:r>
        <w:rPr>
          <w:rFonts w:ascii="Arial" w:eastAsia="Arial" w:hAnsi="Arial" w:cs="Arial"/>
          <w:i/>
          <w:color w:val="000000"/>
          <w:sz w:val="20"/>
        </w:rPr>
        <w:t>Ashland, Inc.</w:t>
      </w:r>
      <w:r>
        <w:rPr>
          <w:rFonts w:ascii="Arial" w:eastAsia="Arial" w:hAnsi="Arial" w:cs="Arial"/>
          <w:color w:val="000000"/>
          <w:sz w:val="20"/>
        </w:rPr>
        <w:t xml:space="preserve">, 648 F.3d at 472 (noting that Kentucky law [**17]  relies on the Restatement). In his complaint, Gati stated that Priddy "assured [him] that the counseling program was wholly offered at the Elizabethtown campus" and that "courses needed to complete the counseling program would either be offered on-site at the Elizabethtown campus or online via [ITV]." R. 1, PageID 8. These are not </w:t>
      </w:r>
      <w:r>
        <w:rPr>
          <w:rFonts w:ascii="Arial" w:eastAsia="Arial" w:hAnsi="Arial" w:cs="Arial"/>
          <w:i/>
          <w:color w:val="000000"/>
          <w:sz w:val="20"/>
        </w:rPr>
        <w:t>promises</w:t>
      </w:r>
      <w:r>
        <w:rPr>
          <w:rFonts w:ascii="Arial" w:eastAsia="Arial" w:hAnsi="Arial" w:cs="Arial"/>
          <w:color w:val="000000"/>
          <w:sz w:val="20"/>
        </w:rPr>
        <w:t xml:space="preserve"> or commitments to provide Gati specific services—they are </w:t>
      </w:r>
      <w:r>
        <w:rPr>
          <w:rFonts w:ascii="Arial" w:eastAsia="Arial" w:hAnsi="Arial" w:cs="Arial"/>
          <w:i/>
          <w:color w:val="000000"/>
          <w:sz w:val="20"/>
        </w:rPr>
        <w:t>statements</w:t>
      </w:r>
      <w:r>
        <w:rPr>
          <w:rFonts w:ascii="Arial" w:eastAsia="Arial" w:hAnsi="Arial" w:cs="Arial"/>
          <w:color w:val="000000"/>
          <w:sz w:val="20"/>
        </w:rPr>
        <w:t xml:space="preserve"> about the availability of certain university programs.</w:t>
      </w:r>
    </w:p>
    <w:p w:rsidR="00E456CD" w:rsidRDefault="00000000">
      <w:pPr>
        <w:pStyle w:val="Normal10"/>
        <w:widowControl w:val="0"/>
        <w:spacing w:before="200" w:line="260" w:lineRule="atLeast"/>
        <w:jc w:val="both"/>
      </w:pPr>
      <w:bookmarkStart w:id="2220" w:name="Bookmark_para_31_5"/>
      <w:bookmarkEnd w:id="2220"/>
      <w:r>
        <w:rPr>
          <w:rFonts w:ascii="Arial" w:eastAsia="Arial" w:hAnsi="Arial" w:cs="Arial"/>
          <w:color w:val="000000"/>
          <w:sz w:val="20"/>
        </w:rPr>
        <w:t>Further, while arguing that Priddy worked in a ministerial capacity, Gati noted her assurances about the location and availability of classes "were presented as facts," and did not require any "judgment  [*255]  calls." Appellant Br. at 38-39. Gati cannot now argue the other side, claiming that Priddy stepped into a discretionary role and made the "higher-level decision" to promise Gati that the university would provide him with the classes he needed to take at Elizabethtown or via ITV.</w:t>
      </w:r>
    </w:p>
    <w:p w:rsidR="00E456CD" w:rsidRDefault="00000000">
      <w:pPr>
        <w:pStyle w:val="Normal10"/>
        <w:widowControl w:val="0"/>
        <w:spacing w:before="200" w:line="260" w:lineRule="atLeast"/>
        <w:jc w:val="both"/>
      </w:pPr>
      <w:bookmarkStart w:id="2221" w:name="Bookmark_para_32_5"/>
      <w:bookmarkStart w:id="2222" w:name="Bookmark_I2SK0SFW1GP000VMH5W00009"/>
      <w:bookmarkStart w:id="2223" w:name="Bookmark_I5VB7SMY2HM6690040000400"/>
      <w:bookmarkEnd w:id="2221"/>
      <w:bookmarkEnd w:id="2222"/>
      <w:bookmarkEnd w:id="2223"/>
      <w:r>
        <w:rPr>
          <w:rFonts w:ascii="Arial" w:eastAsia="Arial" w:hAnsi="Arial" w:cs="Arial"/>
          <w:color w:val="000000"/>
          <w:sz w:val="20"/>
        </w:rPr>
        <w:t xml:space="preserve">Second, Gati alleges that Priddy fraudulently misrepresented the course offerings at Elizabethtown. </w:t>
      </w:r>
      <w:bookmarkStart w:id="2224" w:name="Bookmark_LNHNREFclscc22"/>
      <w:bookmarkEnd w:id="2224"/>
      <w:r>
        <w:rPr>
          <w:rFonts w:ascii="Arial" w:eastAsia="Arial" w:hAnsi="Arial" w:cs="Arial"/>
          <w:color w:val="000000"/>
          <w:sz w:val="20"/>
        </w:rPr>
        <w:t xml:space="preserve">Fraud through misrepresentation in Kentucky requires a plaintiff to prove that "(1) the defendant made a material representation to the plaintiff; (2) the [**18]  representation was false; (3) the defendant knew the representation to be false or made it with reckless disregard for its truth or falsity; (4) the defendant intended to induce the plaintiff to act upon the misrepresentation; (5) the plaintiff reasonably relied upon the misrepresentation; and (6) the misrepresentation caused injury to the plaintiff." </w:t>
      </w:r>
      <w:bookmarkStart w:id="2225" w:name="Bookmark_I5VB7SMY2HM6690030000400"/>
      <w:bookmarkEnd w:id="2225"/>
      <w:r>
        <w:rPr>
          <w:rFonts w:ascii="Arial" w:eastAsia="Arial" w:hAnsi="Arial" w:cs="Arial"/>
          <w:i/>
          <w:color w:val="000000"/>
          <w:sz w:val="20"/>
        </w:rPr>
        <w:t>Giddings &amp; Lewis, Inc. v. Indus. Risk Insurers</w:t>
      </w:r>
      <w:r>
        <w:rPr>
          <w:rFonts w:ascii="Arial" w:eastAsia="Arial" w:hAnsi="Arial" w:cs="Arial"/>
          <w:color w:val="000000"/>
          <w:sz w:val="20"/>
        </w:rPr>
        <w:t xml:space="preserve">, 348 S.W.3d 729, 747 (Ky. 2011). Assuming that Gati meets the first two elements, Gati has still failed to show that Priddy knew Gati couldn't complete the entire counseling program at Elizabethtown, but deliberately or recklessly represented otherwise. </w:t>
      </w:r>
      <w:bookmarkStart w:id="2226" w:name="Bookmark_I5VB7SMY2D6N3H0010000400"/>
      <w:bookmarkEnd w:id="2226"/>
      <w:r>
        <w:rPr>
          <w:rFonts w:ascii="Arial" w:eastAsia="Arial" w:hAnsi="Arial" w:cs="Arial"/>
          <w:color w:val="000000"/>
          <w:sz w:val="20"/>
        </w:rPr>
        <w:t xml:space="preserve">Gati has not identified any proof that Priddy knew that not all of his required counseling classes were offered at Elizabethtown. And Priddy has testified unopposed to the contrary. </w:t>
      </w:r>
      <w:bookmarkStart w:id="2227" w:name="Bookmark_LNHNREFclscc23"/>
      <w:bookmarkEnd w:id="2227"/>
      <w:r>
        <w:rPr>
          <w:rFonts w:ascii="Arial" w:eastAsia="Arial" w:hAnsi="Arial" w:cs="Arial"/>
          <w:color w:val="000000"/>
          <w:sz w:val="20"/>
        </w:rPr>
        <w:t xml:space="preserve">"Unsupported allegations are insufficient to create a genuine issue of material fact." </w:t>
      </w:r>
      <w:bookmarkStart w:id="2228" w:name="Bookmark_I5VB7SMY2HM6690050000400"/>
      <w:bookmarkEnd w:id="2228"/>
      <w:r>
        <w:rPr>
          <w:rFonts w:ascii="Arial" w:eastAsia="Arial" w:hAnsi="Arial" w:cs="Arial"/>
          <w:i/>
          <w:color w:val="000000"/>
          <w:sz w:val="20"/>
        </w:rPr>
        <w:t>De Jong v. Leitchfield Deposit Bank</w:t>
      </w:r>
      <w:r>
        <w:rPr>
          <w:rFonts w:ascii="Arial" w:eastAsia="Arial" w:hAnsi="Arial" w:cs="Arial"/>
          <w:color w:val="000000"/>
          <w:sz w:val="20"/>
        </w:rPr>
        <w:t>, 254 S.W.3d 817, 825 (Ky. Ct. App. 2007).</w:t>
      </w:r>
    </w:p>
    <w:p w:rsidR="00E456CD" w:rsidRDefault="00000000">
      <w:pPr>
        <w:pStyle w:val="Normal10"/>
        <w:widowControl w:val="0"/>
        <w:spacing w:before="200" w:line="260" w:lineRule="atLeast"/>
        <w:jc w:val="both"/>
      </w:pPr>
      <w:bookmarkStart w:id="2229" w:name="Bookmark_para_33_4"/>
      <w:bookmarkStart w:id="2230" w:name="Bookmark_I5VB7SMY2D6N3H0030000400"/>
      <w:bookmarkStart w:id="2231" w:name="Bookmark_I2SK0SFWBDP000VMH5W0000B"/>
      <w:bookmarkStart w:id="2232" w:name="Bookmark_I5VB7SMY2D6N3H0050000400"/>
      <w:bookmarkEnd w:id="2229"/>
      <w:bookmarkEnd w:id="2230"/>
      <w:bookmarkEnd w:id="2231"/>
      <w:bookmarkEnd w:id="2232"/>
      <w:r>
        <w:rPr>
          <w:rFonts w:ascii="Arial" w:eastAsia="Arial" w:hAnsi="Arial" w:cs="Arial"/>
          <w:color w:val="000000"/>
          <w:sz w:val="20"/>
        </w:rPr>
        <w:t xml:space="preserve">Finally, and similarly unavailingly, Gati contends that Priddy tortuously interfered with his contractual and prospective contractual relations. Kentucky law makes "clear that </w:t>
      </w:r>
      <w:bookmarkStart w:id="2233" w:name="Bookmark_LNHNREFclscc24"/>
      <w:bookmarkEnd w:id="2233"/>
      <w:r>
        <w:rPr>
          <w:rFonts w:ascii="Arial" w:eastAsia="Arial" w:hAnsi="Arial" w:cs="Arial"/>
          <w:color w:val="000000"/>
          <w:sz w:val="20"/>
        </w:rPr>
        <w:t xml:space="preserve">a party may not recover . . . in the absence of proof that the opposing party 'improperly' interfered with his prospective contractual relation." </w:t>
      </w:r>
      <w:bookmarkStart w:id="2234" w:name="Bookmark_I5VB7SMY2D6N3H0020000400"/>
      <w:bookmarkEnd w:id="2234"/>
      <w:r>
        <w:rPr>
          <w:rFonts w:ascii="Arial" w:eastAsia="Arial" w:hAnsi="Arial" w:cs="Arial"/>
          <w:i/>
          <w:color w:val="000000"/>
          <w:sz w:val="20"/>
        </w:rPr>
        <w:t>Nat'l Collegiate Athletic Ass'n v. Hornung</w:t>
      </w:r>
      <w:r>
        <w:rPr>
          <w:rFonts w:ascii="Arial" w:eastAsia="Arial" w:hAnsi="Arial" w:cs="Arial"/>
          <w:color w:val="000000"/>
          <w:sz w:val="20"/>
        </w:rPr>
        <w:t xml:space="preserve">, 754 S.W.2d 855, 858 (Ky. 1988). To prove improper interference, [**19]  Gati "must show malice or some significantly wrongful conduct," </w:t>
      </w:r>
      <w:bookmarkStart w:id="2235" w:name="Bookmark_I5VB7SMY2D6N3H0040000400"/>
      <w:bookmarkEnd w:id="2235"/>
      <w:r>
        <w:rPr>
          <w:rFonts w:ascii="Arial" w:eastAsia="Arial" w:hAnsi="Arial" w:cs="Arial"/>
          <w:i/>
          <w:color w:val="000000"/>
          <w:sz w:val="20"/>
        </w:rPr>
        <w:t>id.</w:t>
      </w:r>
      <w:r>
        <w:rPr>
          <w:rFonts w:ascii="Arial" w:eastAsia="Arial" w:hAnsi="Arial" w:cs="Arial"/>
          <w:color w:val="000000"/>
          <w:sz w:val="20"/>
        </w:rPr>
        <w:t xml:space="preserve"> at 859, including fraudulent misrepresentation, deceit, or coercion, </w:t>
      </w:r>
      <w:bookmarkStart w:id="2236" w:name="Bookmark_I5VB7SMY2N1PW20010000400"/>
      <w:bookmarkEnd w:id="2236"/>
      <w:r>
        <w:rPr>
          <w:rFonts w:ascii="Arial" w:eastAsia="Arial" w:hAnsi="Arial" w:cs="Arial"/>
          <w:i/>
          <w:color w:val="000000"/>
          <w:sz w:val="20"/>
        </w:rPr>
        <w:t>Steelvest, Inc. v. Scansteel Serv. Ctr., Inc.</w:t>
      </w:r>
      <w:r>
        <w:rPr>
          <w:rFonts w:ascii="Arial" w:eastAsia="Arial" w:hAnsi="Arial" w:cs="Arial"/>
          <w:color w:val="000000"/>
          <w:sz w:val="20"/>
        </w:rPr>
        <w:t xml:space="preserve">, 807 S.W.2d 476, 487 (Ky. 1991); </w:t>
      </w:r>
      <w:r>
        <w:rPr>
          <w:rFonts w:ascii="Arial" w:eastAsia="Arial" w:hAnsi="Arial" w:cs="Arial"/>
          <w:i/>
          <w:color w:val="000000"/>
          <w:sz w:val="20"/>
        </w:rPr>
        <w:t>see also</w:t>
      </w:r>
      <w:r>
        <w:rPr>
          <w:rFonts w:ascii="Arial" w:eastAsia="Arial" w:hAnsi="Arial" w:cs="Arial"/>
          <w:color w:val="000000"/>
          <w:sz w:val="20"/>
        </w:rPr>
        <w:t xml:space="preserve"> Restatement (Second) Torts § 767 cmt. c. He has not done so, and the record supports no such conclusion. </w:t>
      </w:r>
      <w:bookmarkStart w:id="2237" w:name="Bookmark_I5VB7SMY2N1PW20040000400"/>
      <w:bookmarkEnd w:id="2237"/>
      <w:r>
        <w:rPr>
          <w:rFonts w:ascii="Arial" w:eastAsia="Arial" w:hAnsi="Arial" w:cs="Arial"/>
          <w:color w:val="000000"/>
          <w:sz w:val="20"/>
        </w:rPr>
        <w:t xml:space="preserve">In responding to WKU's motion for summary judgment, Gati simply contended that Priddy's "intentions and motivations are questions of fact for the jury to determine." R. 41, PageID 791-93. This is insufficient. </w:t>
      </w:r>
      <w:bookmarkStart w:id="2238" w:name="Bookmark_I5VB7SMY2N1PW30010000400"/>
      <w:bookmarkEnd w:id="2238"/>
      <w:r>
        <w:rPr>
          <w:rFonts w:ascii="Arial" w:eastAsia="Arial" w:hAnsi="Arial" w:cs="Arial"/>
          <w:i/>
          <w:color w:val="000000"/>
          <w:sz w:val="20"/>
        </w:rPr>
        <w:t xml:space="preserve">See </w:t>
      </w:r>
      <w:bookmarkStart w:id="2239" w:name="Bookmark_I5VB7SMY2N1PW20030000400"/>
      <w:bookmarkEnd w:id="2239"/>
      <w:r>
        <w:rPr>
          <w:rFonts w:ascii="Arial" w:eastAsia="Arial" w:hAnsi="Arial" w:cs="Arial"/>
          <w:i/>
          <w:color w:val="000000"/>
          <w:sz w:val="20"/>
        </w:rPr>
        <w:t>Anderson v. Liberty Lobby, Inc.</w:t>
      </w:r>
      <w:r>
        <w:rPr>
          <w:rFonts w:ascii="Arial" w:eastAsia="Arial" w:hAnsi="Arial" w:cs="Arial"/>
          <w:color w:val="000000"/>
          <w:sz w:val="20"/>
        </w:rPr>
        <w:t>, 477 U.S. 242, 251-52, 106 S. Ct. 2505, 91 L. Ed. 2d 202 (1986) (</w:t>
      </w:r>
      <w:bookmarkStart w:id="2240" w:name="Bookmark_LNHNREFclscc25"/>
      <w:bookmarkEnd w:id="2240"/>
      <w:r>
        <w:rPr>
          <w:rFonts w:ascii="Arial" w:eastAsia="Arial" w:hAnsi="Arial" w:cs="Arial"/>
          <w:color w:val="000000"/>
          <w:sz w:val="20"/>
        </w:rPr>
        <w:t xml:space="preserve">"[T]he inquiry [on a motion for summary judgment] is . . . whether the evidence presents a sufficient disagreement to require submission to a jury or whether it is so one-sided that one party must prevail as a matter of law."). </w:t>
      </w:r>
      <w:bookmarkStart w:id="2241" w:name="Bookmark_I5VB7SMY2N1PW30010000400_2"/>
      <w:bookmarkStart w:id="2242" w:name="Bookmark_LNHNREFclscc26"/>
      <w:bookmarkEnd w:id="2241"/>
      <w:bookmarkEnd w:id="2242"/>
      <w:r>
        <w:rPr>
          <w:rFonts w:ascii="Arial" w:eastAsia="Arial" w:hAnsi="Arial" w:cs="Arial"/>
          <w:color w:val="000000"/>
          <w:sz w:val="20"/>
        </w:rPr>
        <w:t xml:space="preserve">Although we view the evidence in the light most favorable to the non-moving party, Gati must do more than merely show the existence of some "metaphysical doubt as to the material facts" to defeat the university's motion. </w:t>
      </w:r>
      <w:bookmarkStart w:id="2243" w:name="Bookmark_I5VB7SMY2N1PW20050000400"/>
      <w:bookmarkEnd w:id="2243"/>
      <w:r>
        <w:rPr>
          <w:rFonts w:ascii="Arial" w:eastAsia="Arial" w:hAnsi="Arial" w:cs="Arial"/>
          <w:i/>
          <w:color w:val="000000"/>
          <w:sz w:val="20"/>
        </w:rPr>
        <w:t>Matsushita</w:t>
      </w:r>
      <w:r>
        <w:rPr>
          <w:rFonts w:ascii="Arial" w:eastAsia="Arial" w:hAnsi="Arial" w:cs="Arial"/>
          <w:color w:val="000000"/>
          <w:sz w:val="20"/>
        </w:rPr>
        <w:t>, 475 U.S. at 586.</w:t>
      </w:r>
    </w:p>
    <w:p w:rsidR="00E456CD" w:rsidRDefault="00000000">
      <w:pPr>
        <w:pStyle w:val="Normal10"/>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rsidR="00E456CD" w:rsidRDefault="00000000">
      <w:pPr>
        <w:pStyle w:val="Normal10"/>
        <w:widowControl w:val="0"/>
        <w:spacing w:before="200" w:line="260" w:lineRule="atLeast"/>
        <w:jc w:val="both"/>
      </w:pPr>
      <w:bookmarkStart w:id="2244" w:name="Bookmark_para_34_3"/>
      <w:bookmarkEnd w:id="2244"/>
      <w:r>
        <w:rPr>
          <w:rFonts w:ascii="Arial" w:eastAsia="Arial" w:hAnsi="Arial" w:cs="Arial"/>
          <w:color w:val="000000"/>
          <w:sz w:val="20"/>
        </w:rPr>
        <w:t>We AFFIRM.</w:t>
      </w:r>
    </w:p>
    <w:p w:rsidR="00E456CD" w:rsidRDefault="00E456CD">
      <w:pPr>
        <w:pStyle w:val="Normal10"/>
      </w:pPr>
    </w:p>
    <w:p w:rsidR="00E456CD" w:rsidRDefault="00000000">
      <w:pPr>
        <w:pStyle w:val="Normal10"/>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8281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974815288"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516C5" id="Line 25"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1"/>
        <w:sectPr w:rsidR="00E456CD">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gutter="0"/>
          <w:cols w:space="720"/>
          <w:titlePg/>
        </w:sectPr>
      </w:pPr>
    </w:p>
    <w:p w:rsidR="00E456CD" w:rsidRDefault="00E456CD">
      <w:pPr>
        <w:pStyle w:val="Normal11"/>
      </w:pPr>
    </w:p>
    <w:p w:rsidR="00E456CD" w:rsidRDefault="00000000">
      <w:pPr>
        <w:pStyle w:val="Heading110"/>
        <w:keepNext w:val="0"/>
        <w:widowControl w:val="0"/>
        <w:spacing w:after="200" w:line="340" w:lineRule="atLeast"/>
        <w:jc w:val="center"/>
      </w:pPr>
      <w:r>
        <w:rPr>
          <w:rFonts w:eastAsia="Arial"/>
          <w:color w:val="000000"/>
          <w:sz w:val="28"/>
        </w:rPr>
        <w:t>Robles v. Domino's Pizza, LLC</w:t>
      </w:r>
    </w:p>
    <w:p w:rsidR="00E456CD" w:rsidRDefault="00000000">
      <w:pPr>
        <w:pStyle w:val="Normal11"/>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11"/>
        <w:widowControl w:val="0"/>
        <w:spacing w:before="120" w:line="260" w:lineRule="atLeast"/>
        <w:jc w:val="center"/>
      </w:pPr>
      <w:r>
        <w:rPr>
          <w:rFonts w:ascii="Arial" w:eastAsia="Arial" w:hAnsi="Arial" w:cs="Arial"/>
          <w:color w:val="000000"/>
          <w:sz w:val="20"/>
        </w:rPr>
        <w:t>October 12, 2018, Argued and Submitted, Pasadena, California; January 15, 2019, Filed</w:t>
      </w:r>
    </w:p>
    <w:p w:rsidR="00E456CD" w:rsidRDefault="00000000">
      <w:pPr>
        <w:pStyle w:val="Normal11"/>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17-55504</w:t>
      </w:r>
    </w:p>
    <w:p w:rsidR="00E456CD" w:rsidRDefault="00E456CD">
      <w:pPr>
        <w:pStyle w:val="Normal11"/>
        <w:widowControl w:val="0"/>
        <w:spacing w:line="240" w:lineRule="atLeast"/>
        <w:jc w:val="both"/>
      </w:pPr>
      <w:bookmarkStart w:id="2245" w:name="Bookmark_12"/>
      <w:bookmarkEnd w:id="2245"/>
    </w:p>
    <w:p w:rsidR="00E456CD" w:rsidRDefault="00000000">
      <w:pPr>
        <w:pStyle w:val="Normal11"/>
        <w:widowControl w:val="0"/>
        <w:spacing w:before="200" w:line="240" w:lineRule="atLeast"/>
      </w:pPr>
      <w:bookmarkStart w:id="2246" w:name="Reporter_10"/>
      <w:bookmarkEnd w:id="2246"/>
      <w:r>
        <w:rPr>
          <w:rFonts w:ascii="Arial" w:eastAsia="Arial" w:hAnsi="Arial" w:cs="Arial"/>
          <w:b/>
          <w:color w:val="000000"/>
          <w:sz w:val="18"/>
        </w:rPr>
        <w:t>Reporter</w:t>
      </w:r>
    </w:p>
    <w:p w:rsidR="00E456CD" w:rsidRDefault="00000000">
      <w:pPr>
        <w:pStyle w:val="Normal11"/>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913 F.3d 898 *; 2019 U.S. App. LEXIS 1292 **; 2019 WL 190134</w:t>
      </w:r>
    </w:p>
    <w:p w:rsidR="00E456CD" w:rsidRDefault="00000000">
      <w:pPr>
        <w:pStyle w:val="Normal11"/>
        <w:widowControl w:val="0"/>
        <w:spacing w:before="120" w:line="260" w:lineRule="atLeast"/>
      </w:pPr>
      <w:r>
        <w:rPr>
          <w:rFonts w:ascii="Arial" w:eastAsia="Arial" w:hAnsi="Arial" w:cs="Arial"/>
          <w:color w:val="000000"/>
          <w:sz w:val="20"/>
        </w:rPr>
        <w:t>GUILLERMO ROBLES, an individual, Plaintiff-Appellant, v. DOMINO'S PIZZA, LLC, a limited liability corporation, Defendant-Appellee.</w:t>
      </w:r>
    </w:p>
    <w:p w:rsidR="00E456CD" w:rsidRDefault="00000000">
      <w:pPr>
        <w:pStyle w:val="Normal11"/>
        <w:widowControl w:val="0"/>
        <w:spacing w:before="240" w:line="260" w:lineRule="atLeast"/>
      </w:pPr>
      <w:bookmarkStart w:id="2247" w:name="Subsequent_History_2"/>
      <w:bookmarkEnd w:id="2247"/>
      <w:r>
        <w:rPr>
          <w:rFonts w:ascii="Arial" w:eastAsia="Arial" w:hAnsi="Arial" w:cs="Arial"/>
          <w:b/>
          <w:color w:val="000000"/>
          <w:sz w:val="20"/>
        </w:rPr>
        <w:t>Subsequent History:</w:t>
      </w:r>
      <w:r>
        <w:rPr>
          <w:rFonts w:ascii="Arial" w:eastAsia="Arial" w:hAnsi="Arial" w:cs="Arial"/>
          <w:color w:val="000000"/>
          <w:sz w:val="20"/>
        </w:rPr>
        <w:t> US Supreme Court certiorari denied by Domino's Pizza, LLC v. Robles, 140 S. Ct. 122, 205 L. Ed. 2d 41, 2019 U.S. LEXIS 5397 (U.S., Oct. 7, 2019)</w:t>
      </w:r>
    </w:p>
    <w:p w:rsidR="00E456CD" w:rsidRDefault="00000000">
      <w:pPr>
        <w:pStyle w:val="Normal11"/>
        <w:widowControl w:val="0"/>
        <w:spacing w:before="240" w:line="260" w:lineRule="atLeast"/>
        <w:jc w:val="both"/>
      </w:pPr>
      <w:bookmarkStart w:id="2248" w:name="Prior_History_10"/>
      <w:bookmarkEnd w:id="2248"/>
      <w:r>
        <w:rPr>
          <w:rFonts w:ascii="Arial" w:eastAsia="Arial" w:hAnsi="Arial" w:cs="Arial"/>
          <w:b/>
          <w:color w:val="000000"/>
          <w:sz w:val="20"/>
        </w:rPr>
        <w:t>Prior History:</w:t>
      </w:r>
      <w:r>
        <w:rPr>
          <w:rFonts w:ascii="Arial" w:eastAsia="Arial" w:hAnsi="Arial" w:cs="Arial"/>
          <w:color w:val="000000"/>
          <w:sz w:val="20"/>
        </w:rPr>
        <w:t> </w:t>
      </w:r>
      <w:bookmarkStart w:id="2249" w:name="Bookmark_para_1_10"/>
      <w:bookmarkEnd w:id="2249"/>
      <w:r>
        <w:rPr>
          <w:rFonts w:ascii="Arial" w:eastAsia="Arial" w:hAnsi="Arial" w:cs="Arial"/>
          <w:color w:val="000000"/>
          <w:sz w:val="20"/>
        </w:rPr>
        <w:t> [**1] Appeal from the United States District Court for the Central District of California. D.C. No. 2:16-cv-06599-SJO-FFM. S. James Otero, District Judge, Presiding.</w:t>
      </w:r>
    </w:p>
    <w:p w:rsidR="00E456CD" w:rsidRDefault="00000000">
      <w:pPr>
        <w:pStyle w:val="Normal11"/>
        <w:widowControl w:val="0"/>
        <w:spacing w:before="120" w:line="260" w:lineRule="atLeast"/>
      </w:pPr>
      <w:r>
        <w:rPr>
          <w:rFonts w:ascii="Arial" w:eastAsia="Arial" w:hAnsi="Arial" w:cs="Arial"/>
          <w:color w:val="000000"/>
          <w:sz w:val="20"/>
        </w:rPr>
        <w:t>Robles v. Dominos Pizza LLC, 2017 U.S. Dist. LEXIS 53133 (C.D. Cal., Mar. 20, 2017)</w:t>
      </w:r>
    </w:p>
    <w:p w:rsidR="00E456CD" w:rsidRDefault="00000000">
      <w:pPr>
        <w:pStyle w:val="Normal11"/>
        <w:widowControl w:val="0"/>
        <w:spacing w:before="240" w:line="260" w:lineRule="atLeast"/>
        <w:jc w:val="both"/>
      </w:pPr>
      <w:bookmarkStart w:id="2250" w:name="Disposition_1"/>
      <w:bookmarkEnd w:id="2250"/>
      <w:r>
        <w:rPr>
          <w:rFonts w:ascii="Arial" w:eastAsia="Arial" w:hAnsi="Arial" w:cs="Arial"/>
          <w:b/>
          <w:color w:val="000000"/>
          <w:sz w:val="20"/>
        </w:rPr>
        <w:t>Disposition:</w:t>
      </w:r>
      <w:r>
        <w:rPr>
          <w:rFonts w:ascii="Arial" w:eastAsia="Arial" w:hAnsi="Arial" w:cs="Arial"/>
          <w:color w:val="000000"/>
          <w:sz w:val="20"/>
        </w:rPr>
        <w:t> </w:t>
      </w:r>
      <w:bookmarkStart w:id="2251" w:name="Bookmark_clspara_4_1"/>
      <w:bookmarkEnd w:id="2251"/>
      <w:r>
        <w:rPr>
          <w:rFonts w:ascii="Arial" w:eastAsia="Arial" w:hAnsi="Arial" w:cs="Arial"/>
          <w:color w:val="000000"/>
          <w:sz w:val="20"/>
        </w:rPr>
        <w:t>REVERSED AND REMANDED.</w:t>
      </w:r>
    </w:p>
    <w:p w:rsidR="00E456CD" w:rsidRDefault="00000000">
      <w:pPr>
        <w:pStyle w:val="Normal11"/>
        <w:widowControl w:val="0"/>
        <w:spacing w:before="240" w:line="260" w:lineRule="atLeast"/>
      </w:pPr>
      <w:bookmarkStart w:id="2252" w:name="Summary"/>
      <w:bookmarkEnd w:id="2252"/>
      <w:r>
        <w:rPr>
          <w:rFonts w:ascii="Arial" w:eastAsia="Arial" w:hAnsi="Arial" w:cs="Arial"/>
          <w:b/>
          <w:color w:val="000000"/>
          <w:sz w:val="20"/>
        </w:rPr>
        <w:t>Summary:</w:t>
      </w:r>
    </w:p>
    <w:p w:rsidR="00E456CD" w:rsidRDefault="00000000">
      <w:pPr>
        <w:pStyle w:val="Normal11"/>
        <w:widowControl w:val="0"/>
        <w:spacing w:before="240" w:line="260" w:lineRule="atLeast"/>
        <w:jc w:val="both"/>
      </w:pPr>
      <w:bookmarkStart w:id="2253" w:name="Bookmark_clspara_5"/>
      <w:bookmarkEnd w:id="2253"/>
      <w:r>
        <w:rPr>
          <w:rFonts w:ascii="Arial" w:eastAsia="Arial" w:hAnsi="Arial" w:cs="Arial"/>
          <w:b/>
          <w:color w:val="000000"/>
          <w:sz w:val="20"/>
        </w:rPr>
        <w:t>SUMMARY</w:t>
      </w:r>
      <w:r>
        <w:rPr>
          <w:rFonts w:ascii="Arial" w:eastAsia="Arial" w:hAnsi="Arial" w:cs="Arial"/>
          <w:vertAlign w:val="superscript"/>
        </w:rPr>
        <w:footnoteReference w:customMarkFollows="1" w:id="86"/>
        <w:t>**</w:t>
      </w:r>
    </w:p>
    <w:p w:rsidR="00E456CD" w:rsidRDefault="00000000">
      <w:pPr>
        <w:pStyle w:val="Normal11"/>
        <w:widowControl w:val="0"/>
        <w:spacing w:before="240" w:line="260" w:lineRule="atLeast"/>
        <w:jc w:val="both"/>
      </w:pPr>
      <w:bookmarkStart w:id="2255" w:name="Bookmark_clspara_6"/>
      <w:bookmarkEnd w:id="2255"/>
      <w:r>
        <w:rPr>
          <w:rFonts w:ascii="Arial" w:eastAsia="Arial" w:hAnsi="Arial" w:cs="Arial"/>
          <w:b/>
          <w:color w:val="000000"/>
          <w:sz w:val="20"/>
        </w:rPr>
        <w:t>Americans with Disabilities Act</w:t>
      </w:r>
    </w:p>
    <w:p w:rsidR="00E456CD" w:rsidRDefault="00000000">
      <w:pPr>
        <w:pStyle w:val="Normal11"/>
        <w:widowControl w:val="0"/>
        <w:spacing w:before="240" w:line="260" w:lineRule="atLeast"/>
        <w:jc w:val="both"/>
      </w:pPr>
      <w:bookmarkStart w:id="2256" w:name="Bookmark_clspara_7"/>
      <w:bookmarkEnd w:id="2256"/>
      <w:r>
        <w:rPr>
          <w:rFonts w:ascii="Arial" w:eastAsia="Arial" w:hAnsi="Arial" w:cs="Arial"/>
          <w:color w:val="000000"/>
          <w:sz w:val="20"/>
        </w:rPr>
        <w:t>The panel reversed the district court's dismissal of an action under Title III of the Americans with Disabilities Act and California's Unruh Civil Rights Act, alleging that Domino's Pizza's website and mobile application were not fully accessible to a blind or visually impaired person.</w:t>
      </w:r>
    </w:p>
    <w:p w:rsidR="00E456CD" w:rsidRDefault="00000000">
      <w:pPr>
        <w:pStyle w:val="Normal11"/>
        <w:widowControl w:val="0"/>
        <w:spacing w:before="240" w:line="260" w:lineRule="atLeast"/>
        <w:jc w:val="both"/>
      </w:pPr>
      <w:bookmarkStart w:id="2257" w:name="Bookmark_clspara_8"/>
      <w:bookmarkEnd w:id="2257"/>
      <w:r>
        <w:rPr>
          <w:rFonts w:ascii="Arial" w:eastAsia="Arial" w:hAnsi="Arial" w:cs="Arial"/>
          <w:color w:val="000000"/>
          <w:sz w:val="20"/>
        </w:rPr>
        <w:t xml:space="preserve">The panel held that the ADA applied to Domino's website and app because the Act mandates that places of public accommodation, like Domino's, provide auxiliary aids and services to make visual materials available to individuals who are blind. Even though customers primarily accessed the website and app away from Domino's physical restaurants, the panel stated that the ADA applies to the services </w:t>
      </w:r>
      <w:r>
        <w:rPr>
          <w:rFonts w:ascii="Arial" w:eastAsia="Arial" w:hAnsi="Arial" w:cs="Arial"/>
          <w:i/>
          <w:color w:val="000000"/>
          <w:sz w:val="20"/>
        </w:rPr>
        <w:t>of</w:t>
      </w:r>
      <w:r>
        <w:rPr>
          <w:rFonts w:ascii="Arial" w:eastAsia="Arial" w:hAnsi="Arial" w:cs="Arial"/>
          <w:color w:val="000000"/>
          <w:sz w:val="20"/>
        </w:rPr>
        <w:t xml:space="preserve"> a public accommodation, not services </w:t>
      </w:r>
      <w:r>
        <w:rPr>
          <w:rFonts w:ascii="Arial" w:eastAsia="Arial" w:hAnsi="Arial" w:cs="Arial"/>
          <w:i/>
          <w:color w:val="000000"/>
          <w:sz w:val="20"/>
        </w:rPr>
        <w:t>in</w:t>
      </w:r>
      <w:r>
        <w:rPr>
          <w:rFonts w:ascii="Arial" w:eastAsia="Arial" w:hAnsi="Arial" w:cs="Arial"/>
          <w:color w:val="000000"/>
          <w:sz w:val="20"/>
        </w:rPr>
        <w:t xml:space="preserve"> a place of public accommodation. The panel stated that the website and app connected customers to the goods and services of Domino's physical restaurants.</w:t>
      </w:r>
    </w:p>
    <w:p w:rsidR="00E456CD" w:rsidRDefault="00000000">
      <w:pPr>
        <w:pStyle w:val="Normal11"/>
        <w:widowControl w:val="0"/>
        <w:spacing w:before="240" w:line="260" w:lineRule="atLeast"/>
        <w:jc w:val="both"/>
      </w:pPr>
      <w:bookmarkStart w:id="2258" w:name="Bookmark_clspara_9"/>
      <w:bookmarkEnd w:id="2258"/>
      <w:r>
        <w:rPr>
          <w:rFonts w:ascii="Arial" w:eastAsia="Arial" w:hAnsi="Arial" w:cs="Arial"/>
          <w:color w:val="000000"/>
          <w:sz w:val="20"/>
        </w:rPr>
        <w:t>The panel held that imposing liability on Domino's under the ADA would not violate the company's Fourteenth Amendment right [**2]  to due process. The panel held that the statute was not impermissibly vague, and Domino's had received fair notice that its website and app must comply with the ADA. Further, the plaintiff did not seek to impose liability on Domino's for failure to comply with the Web Content Accessibility Guidelines 2.0, private industry standards for website accessibility. Rather, an order requiring compliance with WCAG 2.0 was a possible equitable remedy. Finally, the lack of specific regulations, not yet promulgated by the Department of Justice, did not eliminate Domino's statutory duty.</w:t>
      </w:r>
    </w:p>
    <w:p w:rsidR="00E456CD" w:rsidRDefault="00000000">
      <w:pPr>
        <w:pStyle w:val="Normal11"/>
        <w:widowControl w:val="0"/>
        <w:spacing w:before="240" w:line="260" w:lineRule="atLeast"/>
        <w:jc w:val="both"/>
      </w:pPr>
      <w:bookmarkStart w:id="2259" w:name="Bookmark_clspara_10"/>
      <w:bookmarkEnd w:id="2259"/>
      <w:r>
        <w:rPr>
          <w:rFonts w:ascii="Arial" w:eastAsia="Arial" w:hAnsi="Arial" w:cs="Arial"/>
          <w:color w:val="000000"/>
          <w:sz w:val="20"/>
        </w:rPr>
        <w:t>The panel held that the district court erred in invoking the prudential doctrine of primary jurisdiction, which allows courts to stay proceedings or to dismiss a complaint without prejudice pending the resolution of an issue within the special competence of an administrative agency. The panel reasoned that the DOJ was aware of the issue, and its withdrawal of an Advanced Notice of Proposed Rulemaking meant that undue delay was inevitable. The delay was needless because the application of the ADA to the facts of this case was well within the district court's competence. The panel remanded the case to the district [**3]  court.</w:t>
      </w:r>
    </w:p>
    <w:p w:rsidR="00E456CD" w:rsidRDefault="00000000">
      <w:pPr>
        <w:pStyle w:val="Normal11"/>
        <w:widowControl w:val="0"/>
        <w:spacing w:before="240" w:line="260" w:lineRule="atLeast"/>
      </w:pPr>
      <w:bookmarkStart w:id="2260" w:name="Counsel_10"/>
      <w:bookmarkEnd w:id="2260"/>
      <w:r>
        <w:rPr>
          <w:rFonts w:ascii="Arial" w:eastAsia="Arial" w:hAnsi="Arial" w:cs="Arial"/>
          <w:b/>
          <w:color w:val="000000"/>
          <w:sz w:val="20"/>
        </w:rPr>
        <w:t>Counsel:</w:t>
      </w:r>
      <w:r>
        <w:rPr>
          <w:rFonts w:ascii="Arial" w:eastAsia="Arial" w:hAnsi="Arial" w:cs="Arial"/>
          <w:color w:val="000000"/>
          <w:sz w:val="20"/>
        </w:rPr>
        <w:t> Joseph R. Manning (argued) and Michael J. Manning, Manning Law APC, Newport Beach, California, for Plaintiff-Appellant.</w:t>
      </w:r>
    </w:p>
    <w:p w:rsidR="00E456CD" w:rsidRDefault="00000000">
      <w:pPr>
        <w:pStyle w:val="Normal11"/>
        <w:widowControl w:val="0"/>
        <w:spacing w:before="120" w:line="260" w:lineRule="atLeast"/>
      </w:pPr>
      <w:r>
        <w:rPr>
          <w:rFonts w:ascii="Arial" w:eastAsia="Arial" w:hAnsi="Arial" w:cs="Arial"/>
          <w:color w:val="000000"/>
          <w:sz w:val="20"/>
        </w:rPr>
        <w:t>Gregory Francis Hurley (argued) and Bradley J. Leimkuhler, Sheppard Mullin Richter &amp; Hampton LLP, Costa Mesa, California, for Defendant-Appellee.</w:t>
      </w:r>
    </w:p>
    <w:p w:rsidR="00E456CD" w:rsidRDefault="00000000">
      <w:pPr>
        <w:pStyle w:val="Normal11"/>
        <w:widowControl w:val="0"/>
        <w:spacing w:before="120" w:line="260" w:lineRule="atLeast"/>
      </w:pPr>
      <w:r>
        <w:rPr>
          <w:rFonts w:ascii="Arial" w:eastAsia="Arial" w:hAnsi="Arial" w:cs="Arial"/>
          <w:color w:val="000000"/>
          <w:sz w:val="20"/>
        </w:rPr>
        <w:t>Jessica Paulie Weber (argued) and Eve L. Hill, Brown Goldstein &amp; Levy LLP, Baltimore, Maryland, for Amici Curiae National Federation of the Blind, American Council of the Blind, American Foundation for the Blind, Association of Late Deafened Adults, California Council of the Blind, California Foundation for Independent Living Centers, Disability Rights Advocates, Disability Rights California, Disability Rights Education &amp; Defense Fund, National Association of the Deaf, National Disability Rights Network, National Federation of the Blind of California, Washington Lawyers' Committee for Civil Rights and Urban Affairs, and World Institute on Disability.</w:t>
      </w:r>
    </w:p>
    <w:p w:rsidR="00E456CD" w:rsidRDefault="00000000">
      <w:pPr>
        <w:pStyle w:val="Normal11"/>
        <w:widowControl w:val="0"/>
        <w:spacing w:before="120" w:line="260" w:lineRule="atLeast"/>
      </w:pPr>
      <w:r>
        <w:rPr>
          <w:rFonts w:ascii="Arial" w:eastAsia="Arial" w:hAnsi="Arial" w:cs="Arial"/>
          <w:color w:val="000000"/>
          <w:sz w:val="20"/>
        </w:rPr>
        <w:t>Stephanie N. Moot and Carol C. Lumpkin, K&amp;L Gates LLP, Miami, Florida; Martin S. Kaufman, Executive VP and General Counsel, Atlantic Legal Foundation, Harrison, New York; for Amicus Curiae The Atlantic Legal Foundation.</w:t>
      </w:r>
    </w:p>
    <w:p w:rsidR="00E456CD" w:rsidRDefault="00000000">
      <w:pPr>
        <w:pStyle w:val="Normal11"/>
        <w:widowControl w:val="0"/>
        <w:spacing w:before="120" w:line="260" w:lineRule="atLeast"/>
      </w:pPr>
      <w:r>
        <w:rPr>
          <w:rFonts w:ascii="Arial" w:eastAsia="Arial" w:hAnsi="Arial" w:cs="Arial"/>
          <w:color w:val="000000"/>
          <w:sz w:val="20"/>
        </w:rPr>
        <w:t>Stephanie Martz, National Retail Federation, Washington, [**4]  D.C., for Amicus Curiae National Retail Federation.</w:t>
      </w:r>
    </w:p>
    <w:p w:rsidR="00E456CD" w:rsidRDefault="00000000">
      <w:pPr>
        <w:pStyle w:val="Normal11"/>
        <w:widowControl w:val="0"/>
        <w:spacing w:before="120" w:line="260" w:lineRule="atLeast"/>
      </w:pPr>
      <w:r>
        <w:rPr>
          <w:rFonts w:ascii="Arial" w:eastAsia="Arial" w:hAnsi="Arial" w:cs="Arial"/>
          <w:color w:val="000000"/>
          <w:sz w:val="20"/>
        </w:rPr>
        <w:t>Kathleen McGuigan and Deborah White, Retail Litigation Center, Inc., Arlington, Virginia, for Amicus Curiae Retail Litigation Center, Inc.</w:t>
      </w:r>
    </w:p>
    <w:p w:rsidR="00E456CD" w:rsidRDefault="00000000">
      <w:pPr>
        <w:pStyle w:val="Normal11"/>
        <w:widowControl w:val="0"/>
        <w:spacing w:before="120" w:line="260" w:lineRule="atLeast"/>
      </w:pPr>
      <w:r>
        <w:rPr>
          <w:rFonts w:ascii="Arial" w:eastAsia="Arial" w:hAnsi="Arial" w:cs="Arial"/>
          <w:color w:val="000000"/>
          <w:sz w:val="20"/>
        </w:rPr>
        <w:t>Felicia Watson and Jeffrey B. Augello, National Association of Home Builders of the United States, Washington, D.C., for Amicus Curiae National Association of Home Builders of the United States.</w:t>
      </w:r>
    </w:p>
    <w:p w:rsidR="00E456CD" w:rsidRDefault="00000000">
      <w:pPr>
        <w:pStyle w:val="Normal11"/>
        <w:widowControl w:val="0"/>
        <w:spacing w:before="120" w:line="260" w:lineRule="atLeast"/>
      </w:pPr>
      <w:r>
        <w:rPr>
          <w:rFonts w:ascii="Arial" w:eastAsia="Arial" w:hAnsi="Arial" w:cs="Arial"/>
          <w:color w:val="000000"/>
          <w:sz w:val="20"/>
        </w:rPr>
        <w:t>Janet Galeria and Warren Postman, U.S. Chamber Litigation Center, Washington, D.C., for Amicus Curiae Chamber of Commerce of the United States of America.</w:t>
      </w:r>
    </w:p>
    <w:p w:rsidR="00E456CD" w:rsidRDefault="00000000">
      <w:pPr>
        <w:pStyle w:val="Normal11"/>
        <w:widowControl w:val="0"/>
        <w:spacing w:before="120" w:line="260" w:lineRule="atLeast"/>
      </w:pPr>
      <w:r>
        <w:rPr>
          <w:rFonts w:ascii="Arial" w:eastAsia="Arial" w:hAnsi="Arial" w:cs="Arial"/>
          <w:color w:val="000000"/>
          <w:sz w:val="20"/>
        </w:rPr>
        <w:t>Angelo I. Amador, Restaurant Law Center, Washington, D.C., for Amicus Curiae Restaurant Law Center.</w:t>
      </w:r>
    </w:p>
    <w:p w:rsidR="00E456CD" w:rsidRDefault="00000000">
      <w:pPr>
        <w:pStyle w:val="Normal11"/>
        <w:widowControl w:val="0"/>
        <w:spacing w:before="120" w:line="260" w:lineRule="atLeast"/>
      </w:pPr>
      <w:r>
        <w:rPr>
          <w:rFonts w:ascii="Arial" w:eastAsia="Arial" w:hAnsi="Arial" w:cs="Arial"/>
          <w:color w:val="000000"/>
          <w:sz w:val="20"/>
        </w:rPr>
        <w:t>Elizabeth Milito, Karen R. Harned, National Federation of Independent Business Small Business Legal Center, Washington, D.C., for Amicus Curiae National Federation of Independent Business Small Business Legal Center.</w:t>
      </w:r>
    </w:p>
    <w:p w:rsidR="00E456CD" w:rsidRDefault="00000000">
      <w:pPr>
        <w:pStyle w:val="Normal11"/>
        <w:widowControl w:val="0"/>
        <w:spacing w:before="120" w:line="260" w:lineRule="atLeast"/>
      </w:pPr>
      <w:r>
        <w:rPr>
          <w:rFonts w:ascii="Arial" w:eastAsia="Arial" w:hAnsi="Arial" w:cs="Arial"/>
          <w:color w:val="000000"/>
          <w:sz w:val="20"/>
        </w:rPr>
        <w:t>Christine Mott, International Council of Shopping Centers, New York, New York, for Amicus Curiae International Council of Shopping Centers.</w:t>
      </w:r>
    </w:p>
    <w:p w:rsidR="00E456CD" w:rsidRDefault="00000000">
      <w:pPr>
        <w:pStyle w:val="Normal11"/>
        <w:widowControl w:val="0"/>
        <w:spacing w:before="120" w:line="260" w:lineRule="atLeast"/>
      </w:pPr>
      <w:r>
        <w:rPr>
          <w:rFonts w:ascii="Arial" w:eastAsia="Arial" w:hAnsi="Arial" w:cs="Arial"/>
          <w:color w:val="000000"/>
          <w:sz w:val="20"/>
        </w:rPr>
        <w:t>Justin Vermuth, American Resort Development Association, Washington, D.C., for Amicus Curiae American Resort Development Association.</w:t>
      </w:r>
    </w:p>
    <w:p w:rsidR="00E456CD" w:rsidRDefault="00000000">
      <w:pPr>
        <w:pStyle w:val="Normal11"/>
        <w:widowControl w:val="0"/>
        <w:spacing w:before="120" w:line="260" w:lineRule="atLeast"/>
      </w:pPr>
      <w:r>
        <w:rPr>
          <w:rFonts w:ascii="Arial" w:eastAsia="Arial" w:hAnsi="Arial" w:cs="Arial"/>
          <w:color w:val="000000"/>
          <w:sz w:val="20"/>
        </w:rPr>
        <w:t>Mary Caroline Miller, Kevin W. Shaughnessy, and Joyce Ackerbaum Cox, Baker &amp; [**5]  Hostetler LLP, Orlando, Florida; John B. Lewis, Baker &amp; Hostetler LLP, Cleveland, Ohio; for Amici Curiae Restaurant Law Center, American Bankers Association, American Hotel &amp; Lodging Association, American Resort Development Association, Asian American Hotel Owners Association, Chamber of Commerce of the United States of America, International Council of Shopping Centers, International Franchise Association, National Association of Convenience Stores, National Association of Home Builders of the United States, National Association of Realtors, National Association of Theater Owners, National Federation of Independent Business Small Business Legal Center, National Multifamily Housing Council, National Retail Federation, Retail Litigation Center.</w:t>
      </w:r>
    </w:p>
    <w:p w:rsidR="00E456CD" w:rsidRDefault="00000000">
      <w:pPr>
        <w:pStyle w:val="Normal11"/>
        <w:widowControl w:val="0"/>
        <w:spacing w:before="240" w:line="260" w:lineRule="atLeast"/>
      </w:pPr>
      <w:bookmarkStart w:id="2261" w:name="Judges_10"/>
      <w:bookmarkEnd w:id="2261"/>
      <w:r>
        <w:rPr>
          <w:rFonts w:ascii="Arial" w:eastAsia="Arial" w:hAnsi="Arial" w:cs="Arial"/>
          <w:b/>
          <w:color w:val="000000"/>
          <w:sz w:val="20"/>
        </w:rPr>
        <w:t>Judges:</w:t>
      </w:r>
      <w:r>
        <w:rPr>
          <w:rFonts w:ascii="Arial" w:eastAsia="Arial" w:hAnsi="Arial" w:cs="Arial"/>
          <w:color w:val="000000"/>
          <w:sz w:val="20"/>
        </w:rPr>
        <w:t> Before: Paul J. Watford and John B. Owens, Circuit Judges, and Jennifer G. Zipps,</w:t>
      </w:r>
      <w:r>
        <w:rPr>
          <w:rFonts w:ascii="Arial" w:eastAsia="Arial" w:hAnsi="Arial" w:cs="Arial"/>
          <w:vertAlign w:val="superscript"/>
        </w:rPr>
        <w:footnoteReference w:customMarkFollows="1" w:id="87"/>
        <w:t>*</w:t>
      </w:r>
      <w:r>
        <w:rPr>
          <w:rFonts w:ascii="Arial" w:eastAsia="Arial" w:hAnsi="Arial" w:cs="Arial"/>
          <w:color w:val="000000"/>
          <w:sz w:val="20"/>
        </w:rPr>
        <w:t xml:space="preserve"> District Judge. Opinion by Judge Owens.</w:t>
      </w:r>
    </w:p>
    <w:p w:rsidR="00E456CD" w:rsidRDefault="00000000">
      <w:pPr>
        <w:pStyle w:val="Normal11"/>
        <w:widowControl w:val="0"/>
        <w:spacing w:before="240" w:line="260" w:lineRule="atLeast"/>
      </w:pPr>
      <w:bookmarkStart w:id="2263" w:name="Opinion_by_7"/>
      <w:bookmarkEnd w:id="2263"/>
      <w:r>
        <w:rPr>
          <w:rFonts w:ascii="Arial" w:eastAsia="Arial" w:hAnsi="Arial" w:cs="Arial"/>
          <w:b/>
          <w:color w:val="000000"/>
          <w:sz w:val="20"/>
        </w:rPr>
        <w:t>Opinion by:</w:t>
      </w:r>
      <w:r>
        <w:rPr>
          <w:rFonts w:ascii="Arial" w:eastAsia="Arial" w:hAnsi="Arial" w:cs="Arial"/>
          <w:color w:val="000000"/>
          <w:sz w:val="20"/>
        </w:rPr>
        <w:t> OWENS</w:t>
      </w:r>
    </w:p>
    <w:p w:rsidR="00E456CD" w:rsidRDefault="00000000">
      <w:pPr>
        <w:pStyle w:val="Normal11"/>
        <w:keepNext/>
        <w:widowControl w:val="0"/>
        <w:spacing w:before="240" w:line="340" w:lineRule="atLeast"/>
      </w:pPr>
      <w:bookmarkStart w:id="2264" w:name="Opinion_10"/>
      <w:bookmarkEnd w:id="2264"/>
      <w:r>
        <w:rPr>
          <w:rFonts w:ascii="Arial" w:eastAsia="Arial" w:hAnsi="Arial" w:cs="Arial"/>
          <w:b/>
          <w:color w:val="000000"/>
          <w:sz w:val="28"/>
        </w:rPr>
        <w:t>Opinion</w:t>
      </w:r>
    </w:p>
    <w:p w:rsidR="00E456CD" w:rsidRDefault="00E22289">
      <w:pPr>
        <w:pStyle w:val="Normal11"/>
        <w:spacing w:line="60" w:lineRule="exact"/>
      </w:pPr>
      <w:r>
        <w:rPr>
          <w:noProof/>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9900248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5771A" id="Line 2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1"/>
      </w:pPr>
    </w:p>
    <w:p w:rsidR="00E456CD" w:rsidRDefault="00000000">
      <w:pPr>
        <w:pStyle w:val="Normal11"/>
        <w:widowControl w:val="0"/>
        <w:spacing w:before="200" w:line="260" w:lineRule="atLeast"/>
        <w:jc w:val="both"/>
      </w:pPr>
      <w:bookmarkStart w:id="2265" w:name="Bookmark_para_2_10"/>
      <w:bookmarkEnd w:id="2265"/>
      <w:r>
        <w:rPr>
          <w:rFonts w:ascii="Arial" w:eastAsia="Arial" w:hAnsi="Arial" w:cs="Arial"/>
          <w:color w:val="000000"/>
          <w:sz w:val="20"/>
        </w:rPr>
        <w:t> [*902]  OWENS, Circuit Judge:</w:t>
      </w:r>
    </w:p>
    <w:p w:rsidR="00E456CD" w:rsidRDefault="00000000">
      <w:pPr>
        <w:pStyle w:val="Normal11"/>
        <w:widowControl w:val="0"/>
        <w:spacing w:before="200" w:line="260" w:lineRule="atLeast"/>
        <w:jc w:val="both"/>
      </w:pPr>
      <w:bookmarkStart w:id="2266" w:name="Bookmark_para_3_10"/>
      <w:bookmarkStart w:id="2267" w:name="Bookmark_I5Y8YXBT2D6NJ30010000400"/>
      <w:bookmarkEnd w:id="2266"/>
      <w:bookmarkEnd w:id="2267"/>
      <w:r>
        <w:rPr>
          <w:rFonts w:ascii="Arial" w:eastAsia="Arial" w:hAnsi="Arial" w:cs="Arial"/>
          <w:color w:val="000000"/>
          <w:sz w:val="20"/>
        </w:rPr>
        <w:t>Plaintiff Guillermo Robles, a blind man, appeals from the district court's dismissal of his complaint alleging violations of the Americans with Disabilities Act, 42 U.S.C. § 12101, and California's Unruh Civil Rights Act (UCRA), California Civil Code § 51. Robles alleged that Defendant Domino's Pizza, LLC, (Domino's) failed to design, construct, [**6]  maintain, and operate its website and mobile application (app) to be fully accessible to him. We have jurisdiction under 28 U.S.C. § 1291, and we reverse and remand.</w:t>
      </w:r>
    </w:p>
    <w:p w:rsidR="00E456CD" w:rsidRDefault="00000000">
      <w:pPr>
        <w:pStyle w:val="Normal11"/>
        <w:widowControl w:val="0"/>
        <w:spacing w:before="240" w:line="260" w:lineRule="atLeast"/>
      </w:pPr>
      <w:r>
        <w:br/>
      </w:r>
      <w:r>
        <w:rPr>
          <w:rFonts w:ascii="Arial" w:eastAsia="Arial" w:hAnsi="Arial" w:cs="Arial"/>
          <w:b/>
          <w:color w:val="000000"/>
          <w:sz w:val="20"/>
        </w:rPr>
        <w:t>I. FACTUAL AND PROCEDURAL BACKGROUND</w:t>
      </w:r>
    </w:p>
    <w:p w:rsidR="00E456CD" w:rsidRDefault="00000000">
      <w:pPr>
        <w:pStyle w:val="Normal11"/>
        <w:widowControl w:val="0"/>
        <w:spacing w:before="200" w:line="260" w:lineRule="atLeast"/>
        <w:jc w:val="both"/>
      </w:pPr>
      <w:bookmarkStart w:id="2268" w:name="Bookmark_para_4_10"/>
      <w:bookmarkEnd w:id="2268"/>
      <w:r>
        <w:rPr>
          <w:rFonts w:ascii="Arial" w:eastAsia="Arial" w:hAnsi="Arial" w:cs="Arial"/>
          <w:color w:val="000000"/>
          <w:sz w:val="20"/>
        </w:rPr>
        <w:t>Robles accesses the internet using screen-reading software, which vocalizes visual information on websites. Domino's operates a website and app that allows customers to order pizzas and other products for at-home delivery or in-store pickup, and receive exclusive discounts.</w:t>
      </w:r>
    </w:p>
    <w:p w:rsidR="00E456CD" w:rsidRDefault="00000000">
      <w:pPr>
        <w:pStyle w:val="Normal11"/>
        <w:widowControl w:val="0"/>
        <w:spacing w:before="200" w:line="260" w:lineRule="atLeast"/>
        <w:jc w:val="both"/>
      </w:pPr>
      <w:bookmarkStart w:id="2269" w:name="Bookmark_para_5_10"/>
      <w:bookmarkEnd w:id="2269"/>
      <w:r>
        <w:rPr>
          <w:rFonts w:ascii="Arial" w:eastAsia="Arial" w:hAnsi="Arial" w:cs="Arial"/>
          <w:color w:val="000000"/>
          <w:sz w:val="20"/>
        </w:rPr>
        <w:t>On at least two occasions, Robles unsuccessfully attempted to order online a customized pizza from a nearby Domino's. Robles contends that he could not order the pizza because Domino's failed to design its website and app so his software could read them.</w:t>
      </w:r>
    </w:p>
    <w:p w:rsidR="00E456CD" w:rsidRDefault="00000000">
      <w:pPr>
        <w:pStyle w:val="Normal11"/>
        <w:widowControl w:val="0"/>
        <w:spacing w:before="200" w:line="260" w:lineRule="atLeast"/>
        <w:jc w:val="both"/>
      </w:pPr>
      <w:bookmarkStart w:id="2270" w:name="Bookmark_para_6_10"/>
      <w:bookmarkStart w:id="2271" w:name="Bookmark_I5V6V7PD2N1PSX0020000400"/>
      <w:bookmarkEnd w:id="2270"/>
      <w:bookmarkEnd w:id="2271"/>
      <w:r>
        <w:rPr>
          <w:rFonts w:ascii="Arial" w:eastAsia="Arial" w:hAnsi="Arial" w:cs="Arial"/>
          <w:color w:val="000000"/>
          <w:sz w:val="20"/>
        </w:rPr>
        <w:t>In September 2016, Robles filed this suit seeking damages and injunctive relief based on Domino's failure to "design, construct, maintain, and operate its [website and app] to be fully accessible to and independently usable by Mr. Robles and other blind or visually-impaired people," in violation of the ADA and UCRA. Robles sought a "permanent injunction requiring Defendant to . . . comply with [Web Content Accessibility Guidelines (WCAG) 2.0] for its website and Mobile App."</w:t>
      </w:r>
      <w:r>
        <w:rPr>
          <w:rFonts w:ascii="Arial" w:eastAsia="Arial" w:hAnsi="Arial" w:cs="Arial"/>
          <w:vertAlign w:val="superscript"/>
        </w:rPr>
        <w:footnoteReference w:customMarkFollows="1" w:id="88"/>
        <w:t>1</w:t>
      </w:r>
      <w:r>
        <w:rPr>
          <w:rFonts w:ascii="Arial" w:eastAsia="Arial" w:hAnsi="Arial" w:cs="Arial"/>
          <w:color w:val="000000"/>
          <w:sz w:val="20"/>
        </w:rPr>
        <w:t xml:space="preserve"> Domino's [**7]   [*903]  moved for summary judgment on the grounds that (1) the ADA did not cover Domino's online offerings; and (2) applying the ADA to the website or app violated Domino's due process rights. Domino's alternatively invoked the primary jurisdiction doctrine, which permits a court to dismiss a complaint pending the resolution of an issue before an administrative agency with special competence. </w:t>
      </w:r>
      <w:r>
        <w:rPr>
          <w:rFonts w:ascii="Arial" w:eastAsia="Arial" w:hAnsi="Arial" w:cs="Arial"/>
          <w:i/>
          <w:color w:val="000000"/>
          <w:sz w:val="20"/>
        </w:rPr>
        <w:t xml:space="preserve">See </w:t>
      </w:r>
      <w:bookmarkStart w:id="2274" w:name="Bookmark_I5V6V7PD2N1PSX0010000400"/>
      <w:bookmarkEnd w:id="2274"/>
      <w:r>
        <w:rPr>
          <w:rFonts w:ascii="Arial" w:eastAsia="Arial" w:hAnsi="Arial" w:cs="Arial"/>
          <w:i/>
          <w:color w:val="000000"/>
          <w:sz w:val="20"/>
        </w:rPr>
        <w:t>Clark v. Time Warner Cable</w:t>
      </w:r>
      <w:r>
        <w:rPr>
          <w:rFonts w:ascii="Arial" w:eastAsia="Arial" w:hAnsi="Arial" w:cs="Arial"/>
          <w:color w:val="000000"/>
          <w:sz w:val="20"/>
        </w:rPr>
        <w:t>, 523 F.3d 1110, 1114 (9th Cir. 2008) (defining primary jurisdiction doctrine).</w:t>
      </w:r>
    </w:p>
    <w:p w:rsidR="00E456CD" w:rsidRDefault="00000000">
      <w:pPr>
        <w:pStyle w:val="Normal11"/>
        <w:widowControl w:val="0"/>
        <w:spacing w:before="200" w:line="260" w:lineRule="atLeast"/>
        <w:jc w:val="both"/>
      </w:pPr>
      <w:bookmarkStart w:id="2275" w:name="Bookmark_para_7_10"/>
      <w:bookmarkEnd w:id="2275"/>
      <w:r>
        <w:rPr>
          <w:rFonts w:ascii="Arial" w:eastAsia="Arial" w:hAnsi="Arial" w:cs="Arial"/>
          <w:color w:val="000000"/>
          <w:sz w:val="20"/>
        </w:rPr>
        <w:t>The district court first held that Title III of the ADA applied to Domino's website and app. The court highlighted the ADA's "auxiliary aids and services" section, 42 U.S.C. § 12182(b)(2)(A)(iii), which requires that covered entities provide auxiliary aids and services to ensure that individuals with disabilities are not excluded from accessing the services of a "place of public accommodation"—in this case, from using the website or app to order goods from Domino's physical restaurants.</w:t>
      </w:r>
    </w:p>
    <w:p w:rsidR="00E456CD" w:rsidRDefault="00000000">
      <w:pPr>
        <w:pStyle w:val="Normal11"/>
        <w:widowControl w:val="0"/>
        <w:spacing w:before="200" w:line="260" w:lineRule="atLeast"/>
        <w:jc w:val="both"/>
      </w:pPr>
      <w:bookmarkStart w:id="2276" w:name="Bookmark_para_8_10"/>
      <w:bookmarkStart w:id="2277" w:name="Bookmark_I5V6V7PD2N1PSX0040000400"/>
      <w:bookmarkStart w:id="2278" w:name="Bookmark_I5V6V7PD2SF84W0010000400"/>
      <w:bookmarkStart w:id="2279" w:name="Bookmark_I5V6V7PD2SF84W0030000400"/>
      <w:bookmarkEnd w:id="2276"/>
      <w:bookmarkEnd w:id="2277"/>
      <w:bookmarkEnd w:id="2278"/>
      <w:bookmarkEnd w:id="2279"/>
      <w:r>
        <w:rPr>
          <w:rFonts w:ascii="Arial" w:eastAsia="Arial" w:hAnsi="Arial" w:cs="Arial"/>
          <w:color w:val="000000"/>
          <w:sz w:val="20"/>
        </w:rPr>
        <w:t>The district court then addressed Domino's argument that applying the ADA to its website and app violated its due process rights because the Department of Justice (DOJ) had failed to provide helpful guidance, despite announcing its intention to do so in 2010.</w:t>
      </w:r>
      <w:r>
        <w:rPr>
          <w:rFonts w:ascii="Arial" w:eastAsia="Arial" w:hAnsi="Arial" w:cs="Arial"/>
          <w:vertAlign w:val="superscript"/>
        </w:rPr>
        <w:footnoteReference w:customMarkFollows="1" w:id="89"/>
        <w:t>2</w:t>
      </w:r>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w:t>
      </w:r>
      <w:bookmarkStart w:id="2283" w:name="Bookmark_I5V6V7PD2N1PSX0030000400"/>
      <w:bookmarkEnd w:id="2283"/>
      <w:r>
        <w:rPr>
          <w:rFonts w:ascii="Arial" w:eastAsia="Arial" w:hAnsi="Arial" w:cs="Arial"/>
          <w:color w:val="000000"/>
          <w:sz w:val="20"/>
        </w:rPr>
        <w:t>Nondiscrimination on the Basis of Disability, 75 Fed. Reg. 43460-01 (July 26, 2010) [**8]  (issuing Advance Notice of Proposed Rulemaking (ANPRM) to "explor[e] what regulatory guidance [DOJ] can propose to make clear to entities covered by the ADA their obligations to make their Web sites accessible").</w:t>
      </w:r>
      <w:r>
        <w:rPr>
          <w:rFonts w:ascii="Arial" w:eastAsia="Arial" w:hAnsi="Arial" w:cs="Arial"/>
          <w:vertAlign w:val="superscript"/>
        </w:rPr>
        <w:footnoteReference w:customMarkFollows="1" w:id="90"/>
        <w:t>3</w:t>
      </w:r>
    </w:p>
    <w:p w:rsidR="00E456CD" w:rsidRDefault="00000000">
      <w:pPr>
        <w:pStyle w:val="Normal11"/>
        <w:widowControl w:val="0"/>
        <w:spacing w:before="200" w:line="260" w:lineRule="atLeast"/>
        <w:jc w:val="both"/>
      </w:pPr>
      <w:bookmarkStart w:id="2286" w:name="Bookmark_para_9_10"/>
      <w:bookmarkStart w:id="2287" w:name="Bookmark_I5V6V7PD2SF84W0050000400"/>
      <w:bookmarkEnd w:id="2286"/>
      <w:bookmarkEnd w:id="2287"/>
      <w:r>
        <w:rPr>
          <w:rFonts w:ascii="Arial" w:eastAsia="Arial" w:hAnsi="Arial" w:cs="Arial"/>
          <w:color w:val="000000"/>
          <w:sz w:val="20"/>
        </w:rPr>
        <w:t xml:space="preserve">The district court, relying heavily on </w:t>
      </w:r>
      <w:bookmarkStart w:id="2288" w:name="Bookmark_I5V6V7PD2SF84W0040000400"/>
      <w:bookmarkEnd w:id="2288"/>
      <w:r>
        <w:rPr>
          <w:rFonts w:ascii="Arial" w:eastAsia="Arial" w:hAnsi="Arial" w:cs="Arial"/>
          <w:i/>
          <w:color w:val="000000"/>
          <w:sz w:val="20"/>
        </w:rPr>
        <w:t>United States v. AMC Entertainment, Inc.</w:t>
      </w:r>
      <w:r>
        <w:rPr>
          <w:rFonts w:ascii="Arial" w:eastAsia="Arial" w:hAnsi="Arial" w:cs="Arial"/>
          <w:color w:val="000000"/>
          <w:sz w:val="20"/>
        </w:rPr>
        <w:t>, 549 F.3d 760 (9th Cir. 2008), concluded that imposing the WCAG 2.0 standards on Domino's "without specifying a particular level of success criteria and without the DOJ offering meaningful guidance on this topic . . . fl[ew] in the face of due process."</w:t>
      </w:r>
      <w:r>
        <w:rPr>
          <w:rFonts w:ascii="Arial" w:eastAsia="Arial" w:hAnsi="Arial" w:cs="Arial"/>
          <w:vertAlign w:val="superscript"/>
        </w:rPr>
        <w:footnoteReference w:customMarkFollows="1" w:id="91"/>
        <w:t>4</w:t>
      </w:r>
      <w:r>
        <w:rPr>
          <w:rFonts w:ascii="Arial" w:eastAsia="Arial" w:hAnsi="Arial" w:cs="Arial"/>
          <w:color w:val="000000"/>
          <w:sz w:val="20"/>
        </w:rPr>
        <w:t xml:space="preserve"> The district court held that DOJ "regulations and technical assistance are necessary for the Court to determine what obligations a regulated individual or institution must abide by in order to comply with Title III." In the district court's view, therefore, only the long-awaited regulations from DOJ could cure the due process concerns, so it had no choice but to invoke  [*904]  the primary jurisdiction doctrine. The district court granted Domino's motion to dismiss without prejudice, and this appeal followed.</w:t>
      </w:r>
    </w:p>
    <w:p w:rsidR="00E456CD" w:rsidRDefault="00000000">
      <w:pPr>
        <w:pStyle w:val="Normal11"/>
        <w:widowControl w:val="0"/>
        <w:spacing w:before="240" w:line="260" w:lineRule="atLeast"/>
      </w:pPr>
      <w:r>
        <w:br/>
      </w:r>
      <w:r>
        <w:rPr>
          <w:rFonts w:ascii="Arial" w:eastAsia="Arial" w:hAnsi="Arial" w:cs="Arial"/>
          <w:b/>
          <w:color w:val="000000"/>
          <w:sz w:val="20"/>
        </w:rPr>
        <w:t>II. STANDARD OF REVIEW</w:t>
      </w:r>
    </w:p>
    <w:p w:rsidR="00E456CD" w:rsidRDefault="00000000">
      <w:pPr>
        <w:pStyle w:val="Normal11"/>
        <w:widowControl w:val="0"/>
        <w:spacing w:before="200" w:line="260" w:lineRule="atLeast"/>
        <w:jc w:val="both"/>
      </w:pPr>
      <w:bookmarkStart w:id="2290" w:name="Bookmark_para_10_10"/>
      <w:bookmarkStart w:id="2291" w:name="Bookmark_I5V6V7PD28T3V70020000400"/>
      <w:bookmarkStart w:id="2292" w:name="Bookmark_I5V6V7PD28T3V70040000400"/>
      <w:bookmarkStart w:id="2293" w:name="Bookmark_LNHNREFclscc3_7"/>
      <w:bookmarkEnd w:id="2290"/>
      <w:bookmarkEnd w:id="2291"/>
      <w:bookmarkEnd w:id="2292"/>
      <w:bookmarkEnd w:id="2293"/>
      <w:r>
        <w:rPr>
          <w:rFonts w:ascii="Arial" w:eastAsia="Arial" w:hAnsi="Arial" w:cs="Arial"/>
          <w:color w:val="000000"/>
          <w:sz w:val="20"/>
        </w:rPr>
        <w:t xml:space="preserve">We review de novo the district court's interpretation and construction of a federal statute—here, the court's application of the ADA to websites and apps. </w:t>
      </w:r>
      <w:r>
        <w:rPr>
          <w:rFonts w:ascii="Arial" w:eastAsia="Arial" w:hAnsi="Arial" w:cs="Arial"/>
          <w:i/>
          <w:color w:val="000000"/>
          <w:sz w:val="20"/>
        </w:rPr>
        <w:t xml:space="preserve">See </w:t>
      </w:r>
      <w:bookmarkStart w:id="2294" w:name="Bookmark_I5V6V7PD28T3V70010000400"/>
      <w:bookmarkEnd w:id="2294"/>
      <w:r>
        <w:rPr>
          <w:rFonts w:ascii="Arial" w:eastAsia="Arial" w:hAnsi="Arial" w:cs="Arial"/>
          <w:i/>
          <w:color w:val="000000"/>
          <w:sz w:val="20"/>
        </w:rPr>
        <w:t>ASARCO, LLC v. Celanese Chem. Co.</w:t>
      </w:r>
      <w:r>
        <w:rPr>
          <w:rFonts w:ascii="Arial" w:eastAsia="Arial" w:hAnsi="Arial" w:cs="Arial"/>
          <w:color w:val="000000"/>
          <w:sz w:val="20"/>
        </w:rPr>
        <w:t xml:space="preserve">, 792 F.3d 1203, 1208 (9th Cir. 2015). As the constitutionality [**9]  of a statute or regulation is a question of law, we also review de novo the district court's holding that applying the ADA to websites and apps would violate due process. </w:t>
      </w:r>
      <w:bookmarkStart w:id="2295" w:name="Bookmark_I5V6V7PD2N1PT10030000400"/>
      <w:bookmarkEnd w:id="2295"/>
      <w:r>
        <w:rPr>
          <w:rFonts w:ascii="Arial" w:eastAsia="Arial" w:hAnsi="Arial" w:cs="Arial"/>
          <w:i/>
          <w:color w:val="000000"/>
          <w:sz w:val="20"/>
        </w:rPr>
        <w:t xml:space="preserve">See </w:t>
      </w:r>
      <w:bookmarkStart w:id="2296" w:name="Bookmark_I5V6V7PD28T3V70030000400"/>
      <w:bookmarkEnd w:id="2296"/>
      <w:r>
        <w:rPr>
          <w:rFonts w:ascii="Arial" w:eastAsia="Arial" w:hAnsi="Arial" w:cs="Arial"/>
          <w:i/>
          <w:color w:val="000000"/>
          <w:sz w:val="20"/>
        </w:rPr>
        <w:t>Az. Libertarian Party v. Reagan</w:t>
      </w:r>
      <w:r>
        <w:rPr>
          <w:rFonts w:ascii="Arial" w:eastAsia="Arial" w:hAnsi="Arial" w:cs="Arial"/>
          <w:color w:val="000000"/>
          <w:sz w:val="20"/>
        </w:rPr>
        <w:t xml:space="preserve">, 798 F.3d 723, 728 (9th Cir. 2015); </w:t>
      </w:r>
      <w:bookmarkStart w:id="2297" w:name="Bookmark_I5V6V7PD28T3V70050000400"/>
      <w:bookmarkEnd w:id="2297"/>
      <w:r>
        <w:rPr>
          <w:rFonts w:ascii="Arial" w:eastAsia="Arial" w:hAnsi="Arial" w:cs="Arial"/>
          <w:i/>
          <w:color w:val="000000"/>
          <w:sz w:val="20"/>
        </w:rPr>
        <w:t>Preminger v. Peake</w:t>
      </w:r>
      <w:r>
        <w:rPr>
          <w:rFonts w:ascii="Arial" w:eastAsia="Arial" w:hAnsi="Arial" w:cs="Arial"/>
          <w:color w:val="000000"/>
          <w:sz w:val="20"/>
        </w:rPr>
        <w:t xml:space="preserve">, 552 F.3d 757, 765 n.7 (9th Cir. 2008). </w:t>
      </w:r>
      <w:bookmarkStart w:id="2298" w:name="Bookmark_I5V6V7PD2N1PT10030000400_2"/>
      <w:bookmarkEnd w:id="2298"/>
      <w:r>
        <w:rPr>
          <w:rFonts w:ascii="Arial" w:eastAsia="Arial" w:hAnsi="Arial" w:cs="Arial"/>
          <w:color w:val="000000"/>
          <w:sz w:val="20"/>
        </w:rPr>
        <w:t xml:space="preserve">Finally, </w:t>
      </w:r>
      <w:bookmarkStart w:id="2299" w:name="Bookmark_LNHNREFclscc4_7"/>
      <w:bookmarkEnd w:id="2299"/>
      <w:r>
        <w:rPr>
          <w:rFonts w:ascii="Arial" w:eastAsia="Arial" w:hAnsi="Arial" w:cs="Arial"/>
          <w:color w:val="000000"/>
          <w:sz w:val="20"/>
        </w:rPr>
        <w:t xml:space="preserve">we review de novo the court's invocation of the primary jurisdiction doctrine. </w:t>
      </w:r>
      <w:r>
        <w:rPr>
          <w:rFonts w:ascii="Arial" w:eastAsia="Arial" w:hAnsi="Arial" w:cs="Arial"/>
          <w:i/>
          <w:color w:val="000000"/>
          <w:sz w:val="20"/>
        </w:rPr>
        <w:t xml:space="preserve">See </w:t>
      </w:r>
      <w:bookmarkStart w:id="2300" w:name="Bookmark_I5V6V7PD2N1PT10020000400"/>
      <w:bookmarkEnd w:id="2300"/>
      <w:r>
        <w:rPr>
          <w:rFonts w:ascii="Arial" w:eastAsia="Arial" w:hAnsi="Arial" w:cs="Arial"/>
          <w:i/>
          <w:color w:val="000000"/>
          <w:sz w:val="20"/>
        </w:rPr>
        <w:t>Reid v. Johnson &amp; Johnson</w:t>
      </w:r>
      <w:r>
        <w:rPr>
          <w:rFonts w:ascii="Arial" w:eastAsia="Arial" w:hAnsi="Arial" w:cs="Arial"/>
          <w:color w:val="000000"/>
          <w:sz w:val="20"/>
        </w:rPr>
        <w:t>, 780 F.3d 952, 958 (9th Cir. 2015).</w:t>
      </w:r>
    </w:p>
    <w:p w:rsidR="00E456CD" w:rsidRDefault="00000000">
      <w:pPr>
        <w:pStyle w:val="Normal11"/>
        <w:widowControl w:val="0"/>
        <w:spacing w:before="240" w:line="260" w:lineRule="atLeast"/>
      </w:pPr>
      <w:r>
        <w:br/>
      </w:r>
      <w:r>
        <w:rPr>
          <w:rFonts w:ascii="Arial" w:eastAsia="Arial" w:hAnsi="Arial" w:cs="Arial"/>
          <w:b/>
          <w:color w:val="000000"/>
          <w:sz w:val="20"/>
        </w:rPr>
        <w:t>III. DISCUSSION</w:t>
      </w:r>
    </w:p>
    <w:p w:rsidR="00E456CD" w:rsidRDefault="00000000">
      <w:pPr>
        <w:pStyle w:val="Normal11"/>
        <w:widowControl w:val="0"/>
        <w:spacing w:before="200" w:line="260" w:lineRule="atLeast"/>
        <w:jc w:val="both"/>
      </w:pPr>
      <w:bookmarkStart w:id="2301" w:name="Bookmark_para_11_10"/>
      <w:bookmarkEnd w:id="2301"/>
      <w:r>
        <w:rPr>
          <w:rFonts w:ascii="Arial" w:eastAsia="Arial" w:hAnsi="Arial" w:cs="Arial"/>
          <w:color w:val="000000"/>
          <w:sz w:val="20"/>
        </w:rPr>
        <w:t>This appeal presents three questions. First, whether the ADA applies to Domino's website and app. Second, if so, whether that holding raises due process concerns. Third, whether a federal court should invoke the primary jurisdiction doctrine because DOJ has failed to provide meaningful guidance on how to make websites and apps comply with the ADA.</w:t>
      </w:r>
    </w:p>
    <w:p w:rsidR="00E456CD" w:rsidRDefault="00000000">
      <w:pPr>
        <w:pStyle w:val="Normal11"/>
        <w:widowControl w:val="0"/>
        <w:spacing w:before="240" w:line="260" w:lineRule="atLeast"/>
      </w:pPr>
      <w:r>
        <w:br/>
      </w:r>
      <w:r>
        <w:rPr>
          <w:rFonts w:ascii="Arial" w:eastAsia="Arial" w:hAnsi="Arial" w:cs="Arial"/>
          <w:b/>
          <w:color w:val="000000"/>
          <w:sz w:val="20"/>
        </w:rPr>
        <w:t>A. The ADA's Application to Domino's Website and App</w:t>
      </w:r>
    </w:p>
    <w:p w:rsidR="00E456CD" w:rsidRDefault="00000000">
      <w:pPr>
        <w:pStyle w:val="Normal11"/>
        <w:widowControl w:val="0"/>
        <w:spacing w:before="200" w:line="260" w:lineRule="atLeast"/>
        <w:jc w:val="both"/>
      </w:pPr>
      <w:bookmarkStart w:id="2302" w:name="Bookmark_para_12_9"/>
      <w:bookmarkStart w:id="2303" w:name="Bookmark_I5V6V7PD2N1PT10050000400"/>
      <w:bookmarkStart w:id="2304" w:name="Bookmark_LNHNREFclscc5_7"/>
      <w:bookmarkEnd w:id="2302"/>
      <w:bookmarkEnd w:id="2303"/>
      <w:bookmarkEnd w:id="2304"/>
      <w:r>
        <w:rPr>
          <w:rFonts w:ascii="Arial" w:eastAsia="Arial" w:hAnsi="Arial" w:cs="Arial"/>
          <w:color w:val="000000"/>
          <w:sz w:val="20"/>
        </w:rPr>
        <w:t xml:space="preserve">The ADA "as a whole is intended 'to provide a clear and comprehensive national mandate for the elimination of discrimination against individuals with disabilities.'" </w:t>
      </w:r>
      <w:bookmarkStart w:id="2305" w:name="Bookmark_I5V6V7PD2N1PT10040000400"/>
      <w:bookmarkEnd w:id="2305"/>
      <w:r>
        <w:rPr>
          <w:rFonts w:ascii="Arial" w:eastAsia="Arial" w:hAnsi="Arial" w:cs="Arial"/>
          <w:i/>
          <w:color w:val="000000"/>
          <w:sz w:val="20"/>
        </w:rPr>
        <w:t>Olmstead v. L.C. ex rel. Zimring</w:t>
      </w:r>
      <w:r>
        <w:rPr>
          <w:rFonts w:ascii="Arial" w:eastAsia="Arial" w:hAnsi="Arial" w:cs="Arial"/>
          <w:color w:val="000000"/>
          <w:sz w:val="20"/>
        </w:rPr>
        <w:t>, 527 U.S. 581, 589, 119 S. Ct. 2176, 144 L. Ed. 2d 540 (1999) (quoting 42 U.S.C. § 12101(b)(1)). Title III of the ADA advances that goal by providing that "[n]o individual shall be discriminated against on the basis of disability in the full and equal enjoyment of the goods, services, facilities, privileges, advantages, or accommodations of any place of public accommodation by any person who owns, leases (or leases to), or operates [**10]  a place of public accommodation." 42 U.S.C. § 12182(a). We agree with the district court that the ADA applies to Domino's website and app.</w:t>
      </w:r>
    </w:p>
    <w:p w:rsidR="00E456CD" w:rsidRDefault="00000000">
      <w:pPr>
        <w:pStyle w:val="Normal11"/>
        <w:widowControl w:val="0"/>
        <w:spacing w:before="200" w:line="260" w:lineRule="atLeast"/>
        <w:jc w:val="both"/>
      </w:pPr>
      <w:bookmarkStart w:id="2306" w:name="Bookmark_para_13_8"/>
      <w:bookmarkStart w:id="2307" w:name="Bookmark_I5V6V7PD2HM64C0020000400"/>
      <w:bookmarkStart w:id="2308" w:name="Bookmark_LNHNREFclscc6_7"/>
      <w:bookmarkEnd w:id="2306"/>
      <w:bookmarkEnd w:id="2307"/>
      <w:bookmarkEnd w:id="2308"/>
      <w:r>
        <w:rPr>
          <w:rFonts w:ascii="Arial" w:eastAsia="Arial" w:hAnsi="Arial" w:cs="Arial"/>
          <w:color w:val="000000"/>
          <w:sz w:val="20"/>
        </w:rPr>
        <w:t>The ADA expressly provides that a place of public accommodation, like Domino's, engages in unlawful discrimination if it fails to "take such steps as may be necessary to ensure that no individual with a disability is excluded, denied services, segregated or otherwise treated differently than other individuals because of the absence of auxiliary aids and services."</w:t>
      </w:r>
      <w:r>
        <w:rPr>
          <w:rFonts w:ascii="Arial" w:eastAsia="Arial" w:hAnsi="Arial" w:cs="Arial"/>
          <w:vertAlign w:val="superscript"/>
        </w:rPr>
        <w:footnoteReference w:customMarkFollows="1" w:id="92"/>
        <w:t>5</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 12182(b)(2)(A)(iii). DOJ regulations require that a public accommodation "furnish appropriate auxiliary aids and services where necessary to ensure </w:t>
      </w:r>
      <w:r>
        <w:rPr>
          <w:rFonts w:ascii="Arial" w:eastAsia="Arial" w:hAnsi="Arial" w:cs="Arial"/>
          <w:i/>
          <w:color w:val="000000"/>
          <w:sz w:val="20"/>
        </w:rPr>
        <w:t>effective communication</w:t>
      </w:r>
      <w:r>
        <w:rPr>
          <w:rFonts w:ascii="Arial" w:eastAsia="Arial" w:hAnsi="Arial" w:cs="Arial"/>
          <w:color w:val="000000"/>
          <w:sz w:val="20"/>
        </w:rPr>
        <w:t xml:space="preserve"> with individuals with disabilities." 28 C.F.R. § 36.303(c)(1) (emphasis added); </w:t>
      </w:r>
      <w:r>
        <w:rPr>
          <w:rFonts w:ascii="Arial" w:eastAsia="Arial" w:hAnsi="Arial" w:cs="Arial"/>
          <w:i/>
          <w:color w:val="000000"/>
          <w:sz w:val="20"/>
        </w:rPr>
        <w:t xml:space="preserve">see </w:t>
      </w:r>
      <w:bookmarkStart w:id="2311" w:name="Bookmark_I5V6V7PD2HM64C0010000400"/>
      <w:bookmarkEnd w:id="2311"/>
      <w:r>
        <w:rPr>
          <w:rFonts w:ascii="Arial" w:eastAsia="Arial" w:hAnsi="Arial" w:cs="Arial"/>
          <w:i/>
          <w:color w:val="000000"/>
          <w:sz w:val="20"/>
        </w:rPr>
        <w:t>Bragdon</w:t>
      </w:r>
      <w:r>
        <w:rPr>
          <w:rFonts w:ascii="Arial" w:eastAsia="Arial" w:hAnsi="Arial" w:cs="Arial"/>
          <w:color w:val="000000"/>
          <w:sz w:val="20"/>
        </w:rPr>
        <w:t xml:space="preserve">, 524 U.S. at 646 (holding that </w:t>
      </w:r>
      <w:bookmarkStart w:id="2312" w:name="Bookmark_LNHNREFclscc7_7"/>
      <w:bookmarkEnd w:id="2312"/>
      <w:r>
        <w:rPr>
          <w:rFonts w:ascii="Arial" w:eastAsia="Arial" w:hAnsi="Arial" w:cs="Arial"/>
          <w:color w:val="000000"/>
          <w:sz w:val="20"/>
        </w:rPr>
        <w:t>DOJ's administrative guidance on ADA compliance is entitled to deference). And DOJ defines "auxiliary aids and services" to include "accessible electronic and information technology" or "other effective methods of making visually delivered materials available  [*905]  to individuals who are blind or have low vision." 28 C.F.R. § 36.303(b)(2).</w:t>
      </w:r>
    </w:p>
    <w:p w:rsidR="00E456CD" w:rsidRDefault="00000000">
      <w:pPr>
        <w:pStyle w:val="Normal11"/>
        <w:widowControl w:val="0"/>
        <w:spacing w:before="200" w:line="260" w:lineRule="atLeast"/>
        <w:jc w:val="both"/>
      </w:pPr>
      <w:bookmarkStart w:id="2313" w:name="Bookmark_para_14_8"/>
      <w:bookmarkEnd w:id="2313"/>
      <w:r>
        <w:rPr>
          <w:rFonts w:ascii="Arial" w:eastAsia="Arial" w:hAnsi="Arial" w:cs="Arial"/>
          <w:color w:val="000000"/>
          <w:sz w:val="20"/>
        </w:rPr>
        <w:t xml:space="preserve">Therefore, </w:t>
      </w:r>
      <w:bookmarkStart w:id="2314" w:name="Bookmark_LNHNREFclscc9_6"/>
      <w:bookmarkEnd w:id="2314"/>
      <w:r>
        <w:rPr>
          <w:rFonts w:ascii="Arial" w:eastAsia="Arial" w:hAnsi="Arial" w:cs="Arial"/>
          <w:color w:val="000000"/>
          <w:sz w:val="20"/>
        </w:rPr>
        <w:t xml:space="preserve">the ADA mandates that places of public accommodation, like Domino's, provide auxiliary aids and services to make visual materials available to individuals [**11]  who are blind. </w:t>
      </w:r>
      <w:bookmarkStart w:id="2315" w:name="Bookmark_I5V6V7PD2HM64C0040000400"/>
      <w:bookmarkEnd w:id="2315"/>
      <w:r>
        <w:rPr>
          <w:rFonts w:ascii="Arial" w:eastAsia="Arial" w:hAnsi="Arial" w:cs="Arial"/>
          <w:i/>
          <w:color w:val="000000"/>
          <w:sz w:val="20"/>
        </w:rPr>
        <w:t>See id.</w:t>
      </w:r>
      <w:r>
        <w:rPr>
          <w:rFonts w:ascii="Arial" w:eastAsia="Arial" w:hAnsi="Arial" w:cs="Arial"/>
          <w:color w:val="000000"/>
          <w:sz w:val="20"/>
        </w:rPr>
        <w:t xml:space="preserve"> § 36.303. This requirement applies to Domino's website and app, even though customers predominantly access them away from the physical restaurant: "The statute applies to the services </w:t>
      </w:r>
      <w:r>
        <w:rPr>
          <w:rFonts w:ascii="Arial" w:eastAsia="Arial" w:hAnsi="Arial" w:cs="Arial"/>
          <w:i/>
          <w:color w:val="000000"/>
          <w:sz w:val="20"/>
        </w:rPr>
        <w:t>of</w:t>
      </w:r>
      <w:r>
        <w:rPr>
          <w:rFonts w:ascii="Arial" w:eastAsia="Arial" w:hAnsi="Arial" w:cs="Arial"/>
          <w:color w:val="000000"/>
          <w:sz w:val="20"/>
        </w:rPr>
        <w:t xml:space="preserve"> a place of public accommodation, not services </w:t>
      </w:r>
      <w:r>
        <w:rPr>
          <w:rFonts w:ascii="Arial" w:eastAsia="Arial" w:hAnsi="Arial" w:cs="Arial"/>
          <w:i/>
          <w:color w:val="000000"/>
          <w:sz w:val="20"/>
        </w:rPr>
        <w:t>in</w:t>
      </w:r>
      <w:r>
        <w:rPr>
          <w:rFonts w:ascii="Arial" w:eastAsia="Arial" w:hAnsi="Arial" w:cs="Arial"/>
          <w:color w:val="000000"/>
          <w:sz w:val="20"/>
        </w:rPr>
        <w:t xml:space="preserve"> a place of public accommodation. To limit the ADA to discrimination in the provision of services occurring on the premises of a public accommodation would contradict the plain language of the statute." </w:t>
      </w:r>
      <w:bookmarkStart w:id="2316" w:name="Bookmark_I5V6V7PD2HM64C0030000400"/>
      <w:bookmarkEnd w:id="2316"/>
      <w:r>
        <w:rPr>
          <w:rFonts w:ascii="Arial" w:eastAsia="Arial" w:hAnsi="Arial" w:cs="Arial"/>
          <w:i/>
          <w:color w:val="000000"/>
          <w:sz w:val="20"/>
        </w:rPr>
        <w:t>Nat'l Fed'n of the Blind v. Target Corp.</w:t>
      </w:r>
      <w:r>
        <w:rPr>
          <w:rFonts w:ascii="Arial" w:eastAsia="Arial" w:hAnsi="Arial" w:cs="Arial"/>
          <w:color w:val="000000"/>
          <w:sz w:val="20"/>
        </w:rPr>
        <w:t>, 452 F. Supp. 2d 946, 953 (N.D. Cal. 2006) (emphasis in original) (internal citation omitted).</w:t>
      </w:r>
    </w:p>
    <w:p w:rsidR="00E456CD" w:rsidRDefault="00000000">
      <w:pPr>
        <w:pStyle w:val="Normal11"/>
        <w:widowControl w:val="0"/>
        <w:spacing w:before="200" w:line="260" w:lineRule="atLeast"/>
        <w:jc w:val="both"/>
      </w:pPr>
      <w:bookmarkStart w:id="2317" w:name="Bookmark_para_15_8"/>
      <w:bookmarkEnd w:id="2317"/>
      <w:r>
        <w:rPr>
          <w:rFonts w:ascii="Arial" w:eastAsia="Arial" w:hAnsi="Arial" w:cs="Arial"/>
          <w:color w:val="000000"/>
          <w:sz w:val="20"/>
        </w:rPr>
        <w:t xml:space="preserve">The alleged inaccessibility of Domino's website and app impedes access to the goods and services of its physical pizza franchises—which are places of public accommodation. </w:t>
      </w:r>
      <w:r>
        <w:rPr>
          <w:rFonts w:ascii="Arial" w:eastAsia="Arial" w:hAnsi="Arial" w:cs="Arial"/>
          <w:i/>
          <w:color w:val="000000"/>
          <w:sz w:val="20"/>
        </w:rPr>
        <w:t>See</w:t>
      </w:r>
      <w:r>
        <w:rPr>
          <w:rFonts w:ascii="Arial" w:eastAsia="Arial" w:hAnsi="Arial" w:cs="Arial"/>
          <w:color w:val="000000"/>
          <w:sz w:val="20"/>
        </w:rPr>
        <w:t xml:space="preserve"> </w:t>
      </w:r>
      <w:bookmarkStart w:id="2318" w:name="Bookmark_LNHNREFclscc10_6"/>
      <w:bookmarkEnd w:id="2318"/>
      <w:r>
        <w:rPr>
          <w:rFonts w:ascii="Arial" w:eastAsia="Arial" w:hAnsi="Arial" w:cs="Arial"/>
          <w:color w:val="000000"/>
          <w:sz w:val="20"/>
        </w:rPr>
        <w:t>42 U.S.C. § 12181(7)(B) (listing a restaurant as a covered "public accommodation"). Customers use the website and app to locate a nearby Domino's restaurant and order pizzas for at-home delivery or in-store pickup. This nexus between Domino's website and app and physical restaurants—which Domino's does not contest—is critical to our analysis.</w:t>
      </w:r>
      <w:r>
        <w:rPr>
          <w:rFonts w:ascii="Arial" w:eastAsia="Arial" w:hAnsi="Arial" w:cs="Arial"/>
          <w:vertAlign w:val="superscript"/>
        </w:rPr>
        <w:footnoteReference w:customMarkFollows="1" w:id="93"/>
        <w:t>6</w:t>
      </w:r>
    </w:p>
    <w:p w:rsidR="00E456CD" w:rsidRDefault="00000000">
      <w:pPr>
        <w:pStyle w:val="Normal11"/>
        <w:widowControl w:val="0"/>
        <w:spacing w:before="200" w:line="260" w:lineRule="atLeast"/>
        <w:jc w:val="both"/>
      </w:pPr>
      <w:bookmarkStart w:id="2320" w:name="Bookmark_para_16_8"/>
      <w:bookmarkStart w:id="2321" w:name="Bookmark_I5V6V7PD2HM64D0010000400"/>
      <w:bookmarkStart w:id="2322" w:name="Bookmark_I5V6V7PD2HM64D0030000400"/>
      <w:bookmarkEnd w:id="2320"/>
      <w:bookmarkEnd w:id="2321"/>
      <w:bookmarkEnd w:id="2322"/>
      <w:r>
        <w:rPr>
          <w:rFonts w:ascii="Arial" w:eastAsia="Arial" w:hAnsi="Arial" w:cs="Arial"/>
          <w:color w:val="000000"/>
          <w:sz w:val="20"/>
        </w:rPr>
        <w:t xml:space="preserve">In </w:t>
      </w:r>
      <w:r>
        <w:rPr>
          <w:rFonts w:ascii="Arial" w:eastAsia="Arial" w:hAnsi="Arial" w:cs="Arial"/>
          <w:i/>
          <w:color w:val="000000"/>
          <w:sz w:val="20"/>
        </w:rPr>
        <w:t>Weyer v. Twentieth Century Fox Film Corp.</w:t>
      </w:r>
      <w:r>
        <w:rPr>
          <w:rFonts w:ascii="Arial" w:eastAsia="Arial" w:hAnsi="Arial" w:cs="Arial"/>
          <w:color w:val="000000"/>
          <w:sz w:val="20"/>
        </w:rPr>
        <w:t xml:space="preserve">, our court examined whether an insurance company that administered an allegedly discriminatory employer-provided insurance policy was a covered "place of [**12]  public accommodation." </w:t>
      </w:r>
      <w:bookmarkStart w:id="2323" w:name="Bookmark_I5V6V7PD2HM64C0050000400"/>
      <w:bookmarkEnd w:id="2323"/>
      <w:r>
        <w:rPr>
          <w:rFonts w:ascii="Arial" w:eastAsia="Arial" w:hAnsi="Arial" w:cs="Arial"/>
          <w:color w:val="000000"/>
          <w:sz w:val="20"/>
        </w:rPr>
        <w:t xml:space="preserve">198 F.3d 1104, 1113-14 (9th Cir. 2000). </w:t>
      </w:r>
      <w:bookmarkStart w:id="2324" w:name="Bookmark_I5V6V7PD2HM64D0050000400"/>
      <w:bookmarkEnd w:id="2324"/>
      <w:r>
        <w:rPr>
          <w:rFonts w:ascii="Arial" w:eastAsia="Arial" w:hAnsi="Arial" w:cs="Arial"/>
          <w:color w:val="000000"/>
          <w:sz w:val="20"/>
        </w:rPr>
        <w:t xml:space="preserve">We concluded that it was not. </w:t>
      </w:r>
      <w:bookmarkStart w:id="2325" w:name="Bookmark_LNHNREFclscc11_6"/>
      <w:bookmarkEnd w:id="2325"/>
      <w:r>
        <w:rPr>
          <w:rFonts w:ascii="Arial" w:eastAsia="Arial" w:hAnsi="Arial" w:cs="Arial"/>
          <w:color w:val="000000"/>
          <w:sz w:val="20"/>
        </w:rPr>
        <w:t xml:space="preserve">Because the ADA only covers "actual, physical places where goods or services are open to the public, and places where the public gets those goods or services," there had to be "some connection between the good or service complained of and an actual physical place." </w:t>
      </w:r>
      <w:bookmarkStart w:id="2326" w:name="Bookmark_I5V6V7PD2HM64D0020000400"/>
      <w:bookmarkEnd w:id="2326"/>
      <w:r>
        <w:rPr>
          <w:rFonts w:ascii="Arial" w:eastAsia="Arial" w:hAnsi="Arial" w:cs="Arial"/>
          <w:i/>
          <w:color w:val="000000"/>
          <w:sz w:val="20"/>
        </w:rPr>
        <w:t>Id.</w:t>
      </w:r>
      <w:r>
        <w:rPr>
          <w:rFonts w:ascii="Arial" w:eastAsia="Arial" w:hAnsi="Arial" w:cs="Arial"/>
          <w:color w:val="000000"/>
          <w:sz w:val="20"/>
        </w:rPr>
        <w:t xml:space="preserve"> at 1114. While the insurance company had a physical office, the insurance policy at issue did not concern accessibility, or "such matters as ramps and elevators so that disabled people can get to the office." </w:t>
      </w:r>
      <w:r>
        <w:rPr>
          <w:rFonts w:ascii="Arial" w:eastAsia="Arial" w:hAnsi="Arial" w:cs="Arial"/>
          <w:i/>
          <w:color w:val="000000"/>
          <w:sz w:val="20"/>
        </w:rPr>
        <w:t>Id.</w:t>
      </w:r>
      <w:r>
        <w:rPr>
          <w:rFonts w:ascii="Arial" w:eastAsia="Arial" w:hAnsi="Arial" w:cs="Arial"/>
          <w:color w:val="000000"/>
          <w:sz w:val="20"/>
        </w:rPr>
        <w:t xml:space="preserve"> And although it was administered by the insurance company, the employer-provided policy was not a good offered by the insurance company's physical office. </w:t>
      </w:r>
      <w:bookmarkStart w:id="2327" w:name="Bookmark_I5V6V7PD2HM64D0050000400_2"/>
      <w:bookmarkStart w:id="2328" w:name="Bookmark_I5V6V7PD2HM64D0040000400"/>
      <w:bookmarkEnd w:id="2327"/>
      <w:bookmarkEnd w:id="2328"/>
      <w:r>
        <w:rPr>
          <w:rFonts w:ascii="Arial" w:eastAsia="Arial" w:hAnsi="Arial" w:cs="Arial"/>
          <w:i/>
          <w:color w:val="000000"/>
          <w:sz w:val="20"/>
        </w:rPr>
        <w:t>Id.</w:t>
      </w:r>
      <w:r>
        <w:rPr>
          <w:rFonts w:ascii="Arial" w:eastAsia="Arial" w:hAnsi="Arial" w:cs="Arial"/>
          <w:color w:val="000000"/>
          <w:sz w:val="20"/>
        </w:rPr>
        <w:t xml:space="preserve"> at 1115.</w:t>
      </w:r>
    </w:p>
    <w:p w:rsidR="00E456CD" w:rsidRDefault="00000000">
      <w:pPr>
        <w:pStyle w:val="Normal11"/>
        <w:widowControl w:val="0"/>
        <w:spacing w:before="200" w:line="260" w:lineRule="atLeast"/>
        <w:jc w:val="both"/>
      </w:pPr>
      <w:bookmarkStart w:id="2329" w:name="Bookmark_para_17_7"/>
      <w:bookmarkStart w:id="2330" w:name="Bookmark_I29HTH8X8J90000DDMM0001C"/>
      <w:bookmarkStart w:id="2331" w:name="Bookmark_I5V6V7PD28T3V80020000400"/>
      <w:bookmarkStart w:id="2332" w:name="Bookmark_I29HTH8T5RH0000DDMM0000W"/>
      <w:bookmarkStart w:id="2333" w:name="Bookmark_I29HTH8TDMK0000DDMM0000X"/>
      <w:bookmarkStart w:id="2334" w:name="Bookmark_I29HTH8TNCX0000DDMM0000Y"/>
      <w:bookmarkStart w:id="2335" w:name="Bookmark_I29HTH8TW910000DDMM00010"/>
      <w:bookmarkStart w:id="2336" w:name="Bookmark_I29HTH8V3KJ0000DDMM00011"/>
      <w:bookmarkStart w:id="2337" w:name="Bookmark_I29HTH8V9DB0000DDMM00012"/>
      <w:bookmarkStart w:id="2338" w:name="Bookmark_I29HTH8VH3G0000DDMM00013"/>
      <w:bookmarkStart w:id="2339" w:name="Bookmark_I29HTH8VR7N0000DDMM00014"/>
      <w:bookmarkStart w:id="2340" w:name="Bookmark_I5V6V7PD28T3V80040000400"/>
      <w:bookmarkEnd w:id="2329"/>
      <w:bookmarkEnd w:id="2330"/>
      <w:bookmarkEnd w:id="2331"/>
      <w:bookmarkEnd w:id="2332"/>
      <w:bookmarkEnd w:id="2333"/>
      <w:bookmarkEnd w:id="2334"/>
      <w:bookmarkEnd w:id="2335"/>
      <w:bookmarkEnd w:id="2336"/>
      <w:bookmarkEnd w:id="2337"/>
      <w:bookmarkEnd w:id="2338"/>
      <w:bookmarkEnd w:id="2339"/>
      <w:bookmarkEnd w:id="2340"/>
      <w:r>
        <w:rPr>
          <w:rFonts w:ascii="Arial" w:eastAsia="Arial" w:hAnsi="Arial" w:cs="Arial"/>
          <w:color w:val="000000"/>
          <w:sz w:val="20"/>
        </w:rPr>
        <w:t xml:space="preserve">Unlike the insurance policy in </w:t>
      </w:r>
      <w:bookmarkStart w:id="2341" w:name="Bookmark_I5V6V7PD28T3V80010000400"/>
      <w:bookmarkEnd w:id="2341"/>
      <w:r>
        <w:rPr>
          <w:rFonts w:ascii="Arial" w:eastAsia="Arial" w:hAnsi="Arial" w:cs="Arial"/>
          <w:i/>
          <w:color w:val="000000"/>
          <w:sz w:val="20"/>
        </w:rPr>
        <w:t>Weyer</w:t>
      </w:r>
      <w:r>
        <w:rPr>
          <w:rFonts w:ascii="Arial" w:eastAsia="Arial" w:hAnsi="Arial" w:cs="Arial"/>
          <w:color w:val="000000"/>
          <w:sz w:val="20"/>
        </w:rPr>
        <w:t>, Domino's website and app facilitate access to the goods and services of a place of public accommodation—Domino's physical restaurants. They are two of the primary (and heavily advertised) means of ordering Domino's products to be picked up at or delivered from Domino's restaurants. We agree with the district court in this case—and the many other district courts that have confronted this issue in similar contexts</w:t>
      </w:r>
      <w:r>
        <w:rPr>
          <w:rFonts w:ascii="Arial" w:eastAsia="Arial" w:hAnsi="Arial" w:cs="Arial"/>
          <w:vertAlign w:val="superscript"/>
        </w:rPr>
        <w:footnoteReference w:customMarkFollows="1" w:id="94"/>
        <w:t>7</w:t>
      </w:r>
      <w:r>
        <w:rPr>
          <w:rFonts w:ascii="Arial" w:eastAsia="Arial" w:hAnsi="Arial" w:cs="Arial"/>
          <w:color w:val="000000"/>
          <w:sz w:val="20"/>
        </w:rPr>
        <w:t xml:space="preserve">—that </w:t>
      </w:r>
      <w:bookmarkStart w:id="2351" w:name="Bookmark_LNHNREFclscc12_6"/>
      <w:bookmarkEnd w:id="2351"/>
      <w:r>
        <w:rPr>
          <w:rFonts w:ascii="Arial" w:eastAsia="Arial" w:hAnsi="Arial" w:cs="Arial"/>
          <w:color w:val="000000"/>
          <w:sz w:val="20"/>
        </w:rPr>
        <w:t>the ADA applies to Domino's website and app, which connect [**13]  customers  [*906]  to the goods and services of Domino's physical restaurants.</w:t>
      </w:r>
    </w:p>
    <w:p w:rsidR="00E456CD" w:rsidRDefault="00000000">
      <w:pPr>
        <w:pStyle w:val="Normal11"/>
        <w:widowControl w:val="0"/>
        <w:spacing w:before="240" w:line="260" w:lineRule="atLeast"/>
      </w:pPr>
      <w:r>
        <w:br/>
      </w:r>
      <w:r>
        <w:rPr>
          <w:rFonts w:ascii="Arial" w:eastAsia="Arial" w:hAnsi="Arial" w:cs="Arial"/>
          <w:b/>
          <w:color w:val="000000"/>
          <w:sz w:val="20"/>
        </w:rPr>
        <w:t>B. Due Process</w:t>
      </w:r>
    </w:p>
    <w:p w:rsidR="00E456CD" w:rsidRDefault="00000000">
      <w:pPr>
        <w:pStyle w:val="Normal11"/>
        <w:widowControl w:val="0"/>
        <w:spacing w:before="200" w:line="260" w:lineRule="atLeast"/>
        <w:jc w:val="both"/>
      </w:pPr>
      <w:bookmarkStart w:id="2352" w:name="Bookmark_para_18_7"/>
      <w:bookmarkEnd w:id="2352"/>
      <w:r>
        <w:rPr>
          <w:rFonts w:ascii="Arial" w:eastAsia="Arial" w:hAnsi="Arial" w:cs="Arial"/>
          <w:color w:val="000000"/>
          <w:sz w:val="20"/>
        </w:rPr>
        <w:t>The second question we address is whether applying the ADA to Domino's website and app raises due process concerns. Despite concluding that the ADA covered Domino's website and app, the district court held that imposing liability on Domino's here would violate its Fourteenth Amendment right to due process.</w:t>
      </w:r>
      <w:r>
        <w:rPr>
          <w:rFonts w:ascii="Arial" w:eastAsia="Arial" w:hAnsi="Arial" w:cs="Arial"/>
          <w:vertAlign w:val="superscript"/>
        </w:rPr>
        <w:footnoteReference w:customMarkFollows="1" w:id="95"/>
        <w:t>8</w:t>
      </w:r>
    </w:p>
    <w:p w:rsidR="00E456CD" w:rsidRDefault="00000000">
      <w:pPr>
        <w:pStyle w:val="Normal11"/>
        <w:widowControl w:val="0"/>
        <w:spacing w:before="200" w:line="260" w:lineRule="atLeast"/>
        <w:jc w:val="both"/>
      </w:pPr>
      <w:bookmarkStart w:id="2357" w:name="Bookmark_para_19_7"/>
      <w:bookmarkStart w:id="2358" w:name="Bookmark_I5V6V7PD2HM64G0040000400"/>
      <w:bookmarkStart w:id="2359" w:name="Bookmark_I5V6V7PD2D6N1P0010000400"/>
      <w:bookmarkEnd w:id="2357"/>
      <w:bookmarkEnd w:id="2358"/>
      <w:bookmarkEnd w:id="2359"/>
      <w:r>
        <w:rPr>
          <w:rFonts w:ascii="Arial" w:eastAsia="Arial" w:hAnsi="Arial" w:cs="Arial"/>
          <w:color w:val="000000"/>
          <w:sz w:val="20"/>
        </w:rPr>
        <w:t xml:space="preserve">As a preliminary matter, we hold that Domino's has received fair notice that its website and app must comply with the ADA. </w:t>
      </w:r>
      <w:bookmarkStart w:id="2360" w:name="Bookmark_LNHNREFclscc14_2"/>
      <w:bookmarkEnd w:id="2360"/>
      <w:r>
        <w:rPr>
          <w:rFonts w:ascii="Arial" w:eastAsia="Arial" w:hAnsi="Arial" w:cs="Arial"/>
          <w:color w:val="000000"/>
          <w:sz w:val="20"/>
        </w:rPr>
        <w:t xml:space="preserve">An impermissibly vague statute violates due process because it does not "give fair notice of conduct that is forbidden or required." </w:t>
      </w:r>
      <w:bookmarkStart w:id="2361" w:name="Bookmark_I5V6V7PD2HM64G0030000400"/>
      <w:bookmarkEnd w:id="2361"/>
      <w:r>
        <w:rPr>
          <w:rFonts w:ascii="Arial" w:eastAsia="Arial" w:hAnsi="Arial" w:cs="Arial"/>
          <w:i/>
          <w:color w:val="000000"/>
          <w:sz w:val="20"/>
        </w:rPr>
        <w:t>F.C.C. v. Fox Television Stations, Inc.</w:t>
      </w:r>
      <w:r>
        <w:rPr>
          <w:rFonts w:ascii="Arial" w:eastAsia="Arial" w:hAnsi="Arial" w:cs="Arial"/>
          <w:color w:val="000000"/>
          <w:sz w:val="20"/>
        </w:rPr>
        <w:t xml:space="preserve">, 567 U.S. 239, 253, 132 S. Ct. 2307, 183 L. Ed. 2d 234 (2012). </w:t>
      </w:r>
      <w:bookmarkStart w:id="2362" w:name="Bookmark_I5V6V7PD2D6N1P0050000400"/>
      <w:bookmarkStart w:id="2363" w:name="Bookmark_I5V6V7PD2N1PT40020000400"/>
      <w:bookmarkEnd w:id="2362"/>
      <w:bookmarkEnd w:id="2363"/>
      <w:r>
        <w:rPr>
          <w:rFonts w:ascii="Arial" w:eastAsia="Arial" w:hAnsi="Arial" w:cs="Arial"/>
          <w:color w:val="000000"/>
          <w:sz w:val="20"/>
        </w:rPr>
        <w:t xml:space="preserve">However, "[a] statute is vague not when it prohibits conduct according 'to an imprecise but comprehensible normative standard, but rather in the sense that no standard of conduct is specified at all.'" </w:t>
      </w:r>
      <w:bookmarkStart w:id="2364" w:name="Bookmark_I5V6V7PD2HM64G0050000400"/>
      <w:bookmarkEnd w:id="2364"/>
      <w:r>
        <w:rPr>
          <w:rFonts w:ascii="Arial" w:eastAsia="Arial" w:hAnsi="Arial" w:cs="Arial"/>
          <w:i/>
          <w:color w:val="000000"/>
          <w:sz w:val="20"/>
        </w:rPr>
        <w:t>Botosan v. Paul McNally Realty</w:t>
      </w:r>
      <w:r>
        <w:rPr>
          <w:rFonts w:ascii="Arial" w:eastAsia="Arial" w:hAnsi="Arial" w:cs="Arial"/>
          <w:color w:val="000000"/>
          <w:sz w:val="20"/>
        </w:rPr>
        <w:t xml:space="preserve">, 216 F.3d 827, 836 (9th Cir. 2000) (quoting </w:t>
      </w:r>
      <w:bookmarkStart w:id="2365" w:name="Bookmark_I5V6V7PD2D6N1P0020000400"/>
      <w:bookmarkEnd w:id="2365"/>
      <w:r>
        <w:rPr>
          <w:rFonts w:ascii="Arial" w:eastAsia="Arial" w:hAnsi="Arial" w:cs="Arial"/>
          <w:i/>
          <w:color w:val="000000"/>
          <w:sz w:val="20"/>
        </w:rPr>
        <w:t>Coates v. City of Cincinnati</w:t>
      </w:r>
      <w:r>
        <w:rPr>
          <w:rFonts w:ascii="Arial" w:eastAsia="Arial" w:hAnsi="Arial" w:cs="Arial"/>
          <w:color w:val="000000"/>
          <w:sz w:val="20"/>
        </w:rPr>
        <w:t xml:space="preserve">, 402 U.S. 611, 614, 91 S. Ct. 1686, 29 L. Ed. 2d 214 (1971)). Moreover, "[b]ecause the ADA is a statute that regulates commercial conduct, it is reviewed under a less stringent standard of specificity" than, for example, criminal laws or restrictions on speech. </w:t>
      </w:r>
      <w:bookmarkStart w:id="2366" w:name="Bookmark_I5V6V7PD2N1PT40020000400_2"/>
      <w:bookmarkStart w:id="2367" w:name="Bookmark_I5V6V7PD2D6N1P0050000400_2"/>
      <w:bookmarkEnd w:id="2366"/>
      <w:bookmarkEnd w:id="2367"/>
      <w:r>
        <w:rPr>
          <w:rFonts w:ascii="Arial" w:eastAsia="Arial" w:hAnsi="Arial" w:cs="Arial"/>
          <w:i/>
          <w:color w:val="000000"/>
          <w:sz w:val="20"/>
        </w:rPr>
        <w:t>Id.</w:t>
      </w:r>
      <w:r>
        <w:rPr>
          <w:rFonts w:ascii="Arial" w:eastAsia="Arial" w:hAnsi="Arial" w:cs="Arial"/>
          <w:color w:val="000000"/>
          <w:sz w:val="20"/>
        </w:rPr>
        <w:t xml:space="preserve"> (citing </w:t>
      </w:r>
      <w:bookmarkStart w:id="2368" w:name="Bookmark_I5V6V7PD2D6N1P0040000400"/>
      <w:bookmarkEnd w:id="2368"/>
      <w:r>
        <w:rPr>
          <w:rFonts w:ascii="Arial" w:eastAsia="Arial" w:hAnsi="Arial" w:cs="Arial"/>
          <w:i/>
          <w:color w:val="000000"/>
          <w:sz w:val="20"/>
        </w:rPr>
        <w:t>Vill. of Hoffman Estates v. Flipside, Hoffman Estates, Inc.</w:t>
      </w:r>
      <w:r>
        <w:rPr>
          <w:rFonts w:ascii="Arial" w:eastAsia="Arial" w:hAnsi="Arial" w:cs="Arial"/>
          <w:color w:val="000000"/>
          <w:sz w:val="20"/>
        </w:rPr>
        <w:t>, 455 U.S. 489, 498-99, 102 S. Ct. 1186, 71 L. Ed. 2d 362 (1982)).</w:t>
      </w:r>
      <w:r>
        <w:rPr>
          <w:rFonts w:ascii="Arial" w:eastAsia="Arial" w:hAnsi="Arial" w:cs="Arial"/>
          <w:vertAlign w:val="superscript"/>
        </w:rPr>
        <w:footnoteReference w:customMarkFollows="1" w:id="96"/>
        <w:t>9</w:t>
      </w:r>
      <w:r>
        <w:rPr>
          <w:rFonts w:ascii="Arial" w:eastAsia="Arial" w:hAnsi="Arial" w:cs="Arial"/>
          <w:color w:val="000000"/>
          <w:sz w:val="20"/>
        </w:rPr>
        <w:t xml:space="preserve"> Therefore, the ADA would be vague "only if it is so indefinite in its terms that it fails to articulate [**14]  comprehensible standards to which a person's conduct must conform." </w:t>
      </w:r>
      <w:r>
        <w:rPr>
          <w:rFonts w:ascii="Arial" w:eastAsia="Arial" w:hAnsi="Arial" w:cs="Arial"/>
          <w:i/>
          <w:color w:val="000000"/>
          <w:sz w:val="20"/>
        </w:rPr>
        <w:t>Id.</w:t>
      </w:r>
    </w:p>
    <w:p w:rsidR="00E456CD" w:rsidRDefault="00000000">
      <w:pPr>
        <w:pStyle w:val="Normal11"/>
        <w:widowControl w:val="0"/>
        <w:spacing w:before="200" w:line="260" w:lineRule="atLeast"/>
        <w:jc w:val="both"/>
      </w:pPr>
      <w:bookmarkStart w:id="2372" w:name="Bookmark_para_20_7"/>
      <w:bookmarkStart w:id="2373" w:name="Bookmark_LNHNREFclscc16_1"/>
      <w:bookmarkEnd w:id="2372"/>
      <w:bookmarkEnd w:id="2373"/>
      <w:r>
        <w:rPr>
          <w:rFonts w:ascii="Arial" w:eastAsia="Arial" w:hAnsi="Arial" w:cs="Arial"/>
          <w:color w:val="000000"/>
          <w:sz w:val="20"/>
        </w:rPr>
        <w:t xml:space="preserve">The ADA articulates comprehensible standards to which Domino's conduct must conform. </w:t>
      </w:r>
      <w:bookmarkStart w:id="2374" w:name="Bookmark_I5V6V7PD2N1PT40040000400"/>
      <w:bookmarkEnd w:id="2374"/>
      <w:r>
        <w:rPr>
          <w:rFonts w:ascii="Arial" w:eastAsia="Arial" w:hAnsi="Arial" w:cs="Arial"/>
          <w:color w:val="000000"/>
          <w:sz w:val="20"/>
        </w:rPr>
        <w:t xml:space="preserve">Since its enactment in 1990, the ADA has clearly stated that covered entities must provide "full and equal enjoyment of the[ir] goods, services, facilities, privileges, advantages, or accommodations" to people with disabilities, 42 U.S.C. § 12182(a), and must "ensure that no individual with a disability is excluded, denied services, segregated or otherwise treated differently than other individuals because of the absence of auxiliary aids and services," </w:t>
      </w:r>
      <w:r>
        <w:rPr>
          <w:rFonts w:ascii="Arial" w:eastAsia="Arial" w:hAnsi="Arial" w:cs="Arial"/>
          <w:i/>
          <w:color w:val="000000"/>
          <w:sz w:val="20"/>
        </w:rPr>
        <w:t>id.</w:t>
      </w:r>
      <w:r>
        <w:rPr>
          <w:rFonts w:ascii="Arial" w:eastAsia="Arial" w:hAnsi="Arial" w:cs="Arial"/>
          <w:color w:val="000000"/>
          <w:sz w:val="20"/>
        </w:rPr>
        <w:t xml:space="preserve"> § 12182(b)(2)(A)(iii). DOJ has clarified that these provisions require "effective communication." 28 C.F.R. § 36.303(c)(1). </w:t>
      </w:r>
      <w:bookmarkStart w:id="2375" w:name="Bookmark_I5V6V7PD2N1PT50010000400"/>
      <w:bookmarkEnd w:id="2375"/>
      <w:r>
        <w:rPr>
          <w:rFonts w:ascii="Arial" w:eastAsia="Arial" w:hAnsi="Arial" w:cs="Arial"/>
          <w:color w:val="000000"/>
          <w:sz w:val="20"/>
        </w:rPr>
        <w:t xml:space="preserve">Moreover, since it announced its position in 1996, DOJ has "repeatedly affirmed the application of [T]itle III to Web sites of public accommodations."  [*907]  </w:t>
      </w:r>
      <w:bookmarkStart w:id="2376" w:name="Bookmark_I5V6V7PD2N1PT40030000400"/>
      <w:bookmarkEnd w:id="2376"/>
      <w:r>
        <w:rPr>
          <w:rFonts w:ascii="Arial" w:eastAsia="Arial" w:hAnsi="Arial" w:cs="Arial"/>
          <w:color w:val="000000"/>
          <w:sz w:val="20"/>
        </w:rPr>
        <w:t xml:space="preserve">75 Fed. Reg. 43460-01, 43464 (July 26, 2010). </w:t>
      </w:r>
      <w:bookmarkStart w:id="2377" w:name="Bookmark_I5V6V7PD2N1PT50010000400_2"/>
      <w:bookmarkEnd w:id="2377"/>
      <w:r>
        <w:rPr>
          <w:rFonts w:ascii="Arial" w:eastAsia="Arial" w:hAnsi="Arial" w:cs="Arial"/>
          <w:color w:val="000000"/>
          <w:sz w:val="20"/>
        </w:rPr>
        <w:t xml:space="preserve">Thus, at least since 1996, Domino's has been on notice that its online offerings must effectively communicate with its disabled customers and facilitate "full and equal enjoyment" of Domino's goods and services. </w:t>
      </w:r>
      <w:r>
        <w:rPr>
          <w:rFonts w:ascii="Arial" w:eastAsia="Arial" w:hAnsi="Arial" w:cs="Arial"/>
          <w:i/>
          <w:color w:val="000000"/>
          <w:sz w:val="20"/>
        </w:rPr>
        <w:t>See</w:t>
      </w:r>
      <w:r>
        <w:rPr>
          <w:rFonts w:ascii="Arial" w:eastAsia="Arial" w:hAnsi="Arial" w:cs="Arial"/>
          <w:color w:val="000000"/>
          <w:sz w:val="20"/>
        </w:rPr>
        <w:t xml:space="preserve"> 42 U.S.C. § 12182(a); </w:t>
      </w:r>
      <w:r>
        <w:rPr>
          <w:rFonts w:ascii="Arial" w:eastAsia="Arial" w:hAnsi="Arial" w:cs="Arial"/>
          <w:i/>
          <w:color w:val="000000"/>
          <w:sz w:val="20"/>
        </w:rPr>
        <w:t xml:space="preserve">see also </w:t>
      </w:r>
      <w:bookmarkStart w:id="2378" w:name="Bookmark_I5V6V7PD2N1PT40050000400"/>
      <w:bookmarkEnd w:id="2378"/>
      <w:r>
        <w:rPr>
          <w:rFonts w:ascii="Arial" w:eastAsia="Arial" w:hAnsi="Arial" w:cs="Arial"/>
          <w:i/>
          <w:color w:val="000000"/>
          <w:sz w:val="20"/>
        </w:rPr>
        <w:t>Gorecki</w:t>
      </w:r>
      <w:r>
        <w:rPr>
          <w:rFonts w:ascii="Arial" w:eastAsia="Arial" w:hAnsi="Arial" w:cs="Arial"/>
          <w:color w:val="000000"/>
          <w:sz w:val="20"/>
        </w:rPr>
        <w:t>, 2017 U.S. Dist. LEXIS 109123, 2017 WL 2957736, at *5 ("Title III's general prohibition of discrimination on the basis of disability, and its requirements [**15]  to provide appropriate auxiliary aids and services, where necessary to ensure effective communication, place an affirmative obligation on places that meet the definition of a public accommodation to ensure disabled individuals have as full and equal enjoyment of their websites as non-disabled individuals.").</w:t>
      </w:r>
    </w:p>
    <w:p w:rsidR="00E456CD" w:rsidRDefault="00000000">
      <w:pPr>
        <w:pStyle w:val="Normal11"/>
        <w:widowControl w:val="0"/>
        <w:spacing w:before="200" w:line="260" w:lineRule="atLeast"/>
        <w:jc w:val="both"/>
      </w:pPr>
      <w:bookmarkStart w:id="2379" w:name="Bookmark_para_21_7"/>
      <w:bookmarkEnd w:id="2379"/>
      <w:r>
        <w:rPr>
          <w:rFonts w:ascii="Arial" w:eastAsia="Arial" w:hAnsi="Arial" w:cs="Arial"/>
          <w:color w:val="000000"/>
          <w:sz w:val="20"/>
        </w:rPr>
        <w:t xml:space="preserve">However, the heart of Domino's due process argument is not that Domino's lacked fair notice that its website and app must comply with the ADA. Instead, Domino's argues that imposing liability would violate due process because (1) Robles seeks to impose liability on Domino's for failing to comply with WCAG 2.0, which are private, unenforceable guidelines; and (2) DOJ has not issued regulations specifying technical standards for compliance, so Domino's does not have "fair notice of what </w:t>
      </w:r>
      <w:r>
        <w:rPr>
          <w:rFonts w:ascii="Arial" w:eastAsia="Arial" w:hAnsi="Arial" w:cs="Arial"/>
          <w:i/>
          <w:color w:val="000000"/>
          <w:sz w:val="20"/>
        </w:rPr>
        <w:t>specifically</w:t>
      </w:r>
      <w:r>
        <w:rPr>
          <w:rFonts w:ascii="Arial" w:eastAsia="Arial" w:hAnsi="Arial" w:cs="Arial"/>
          <w:color w:val="000000"/>
          <w:sz w:val="20"/>
        </w:rPr>
        <w:t xml:space="preserve"> the ADA requires companies to do in order to make their websites accessible."</w:t>
      </w:r>
    </w:p>
    <w:p w:rsidR="00E456CD" w:rsidRDefault="00000000">
      <w:pPr>
        <w:pStyle w:val="Normal11"/>
        <w:widowControl w:val="0"/>
        <w:spacing w:before="240" w:line="260" w:lineRule="atLeast"/>
      </w:pPr>
      <w:r>
        <w:br/>
      </w:r>
      <w:r>
        <w:rPr>
          <w:rFonts w:ascii="Arial" w:eastAsia="Arial" w:hAnsi="Arial" w:cs="Arial"/>
          <w:b/>
          <w:color w:val="000000"/>
          <w:sz w:val="20"/>
        </w:rPr>
        <w:t>1. Robles Does Not Seek to Impose Liability Based on WCAG 2.0</w:t>
      </w:r>
    </w:p>
    <w:p w:rsidR="00E456CD" w:rsidRDefault="00000000">
      <w:pPr>
        <w:pStyle w:val="Normal11"/>
        <w:widowControl w:val="0"/>
        <w:spacing w:before="200" w:line="260" w:lineRule="atLeast"/>
        <w:jc w:val="both"/>
      </w:pPr>
      <w:bookmarkStart w:id="2380" w:name="Bookmark_para_22_7"/>
      <w:bookmarkEnd w:id="2380"/>
      <w:r>
        <w:rPr>
          <w:rFonts w:ascii="Arial" w:eastAsia="Arial" w:hAnsi="Arial" w:cs="Arial"/>
          <w:color w:val="000000"/>
          <w:sz w:val="20"/>
        </w:rPr>
        <w:t xml:space="preserve">First, we address Domino's argument that Robles seeks to impose liability based on Domino's failure to comply with WCAG 2.0. Relying heavily on our decision in </w:t>
      </w:r>
      <w:r>
        <w:rPr>
          <w:rFonts w:ascii="Arial" w:eastAsia="Arial" w:hAnsi="Arial" w:cs="Arial"/>
          <w:i/>
          <w:color w:val="000000"/>
          <w:sz w:val="20"/>
        </w:rPr>
        <w:t>AMC</w:t>
      </w:r>
      <w:r>
        <w:rPr>
          <w:rFonts w:ascii="Arial" w:eastAsia="Arial" w:hAnsi="Arial" w:cs="Arial"/>
          <w:color w:val="000000"/>
          <w:sz w:val="20"/>
        </w:rPr>
        <w:t xml:space="preserve">, Domino's argues that this would violate due process because Domino's has not received [**16]  fair notice of its obligation to comply with the WCAG 2.0 guidelines. Yet, as explained below, Domino's overstates both the holding of </w:t>
      </w:r>
      <w:r>
        <w:rPr>
          <w:rFonts w:ascii="Arial" w:eastAsia="Arial" w:hAnsi="Arial" w:cs="Arial"/>
          <w:i/>
          <w:color w:val="000000"/>
          <w:sz w:val="20"/>
        </w:rPr>
        <w:t>AMC</w:t>
      </w:r>
      <w:r>
        <w:rPr>
          <w:rFonts w:ascii="Arial" w:eastAsia="Arial" w:hAnsi="Arial" w:cs="Arial"/>
          <w:color w:val="000000"/>
          <w:sz w:val="20"/>
        </w:rPr>
        <w:t xml:space="preserve"> and the significance of WCAG 2.0 in this case.</w:t>
      </w:r>
    </w:p>
    <w:p w:rsidR="00E456CD" w:rsidRDefault="00000000">
      <w:pPr>
        <w:pStyle w:val="Normal11"/>
        <w:widowControl w:val="0"/>
        <w:spacing w:before="200" w:line="260" w:lineRule="atLeast"/>
        <w:jc w:val="both"/>
      </w:pPr>
      <w:bookmarkStart w:id="2381" w:name="Bookmark_para_23_7"/>
      <w:bookmarkStart w:id="2382" w:name="Bookmark_I29HTH8VYBF0000DDMM00015"/>
      <w:bookmarkStart w:id="2383" w:name="Bookmark_I5V6V7PD2N1PT50030000400"/>
      <w:bookmarkEnd w:id="2381"/>
      <w:bookmarkEnd w:id="2382"/>
      <w:bookmarkEnd w:id="2383"/>
      <w:r>
        <w:rPr>
          <w:rFonts w:ascii="Arial" w:eastAsia="Arial" w:hAnsi="Arial" w:cs="Arial"/>
          <w:i/>
          <w:color w:val="000000"/>
          <w:sz w:val="20"/>
        </w:rPr>
        <w:t>AMC</w:t>
      </w:r>
      <w:r>
        <w:rPr>
          <w:rFonts w:ascii="Arial" w:eastAsia="Arial" w:hAnsi="Arial" w:cs="Arial"/>
          <w:color w:val="000000"/>
          <w:sz w:val="20"/>
        </w:rPr>
        <w:t xml:space="preserve"> concerned movie-theater accessibility for wheelchair-bound patrons. </w:t>
      </w:r>
      <w:bookmarkStart w:id="2384" w:name="Bookmark_I5V6V7PD2N1PT50050000400"/>
      <w:bookmarkEnd w:id="2384"/>
      <w:r>
        <w:rPr>
          <w:rFonts w:ascii="Arial" w:eastAsia="Arial" w:hAnsi="Arial" w:cs="Arial"/>
          <w:i/>
          <w:color w:val="000000"/>
          <w:sz w:val="20"/>
        </w:rPr>
        <w:t>See</w:t>
      </w:r>
      <w:r>
        <w:rPr>
          <w:rFonts w:ascii="Arial" w:eastAsia="Arial" w:hAnsi="Arial" w:cs="Arial"/>
          <w:color w:val="000000"/>
          <w:sz w:val="20"/>
        </w:rPr>
        <w:t xml:space="preserve"> </w:t>
      </w:r>
      <w:bookmarkStart w:id="2385" w:name="Bookmark_I5V6V7PD2N1PT50020000400"/>
      <w:bookmarkEnd w:id="2385"/>
      <w:r>
        <w:rPr>
          <w:rFonts w:ascii="Arial" w:eastAsia="Arial" w:hAnsi="Arial" w:cs="Arial"/>
          <w:color w:val="000000"/>
          <w:sz w:val="20"/>
        </w:rPr>
        <w:t xml:space="preserve">549 F.3d at 762. Our court reversed an injunction ordering that AMC's stadium-style theaters (many built before 1998) undergo a massive reconfiguration to comply with DOJ's interpretation of an ambiguous accessibility regulation (finalized in 1998). </w:t>
      </w:r>
      <w:bookmarkStart w:id="2386" w:name="Bookmark_I5V6V7PD2N1PT50050000400_2"/>
      <w:bookmarkStart w:id="2387" w:name="Bookmark_I5V6V7PD2N1PT50040000400"/>
      <w:bookmarkEnd w:id="2386"/>
      <w:bookmarkEnd w:id="2387"/>
      <w:r>
        <w:rPr>
          <w:rFonts w:ascii="Arial" w:eastAsia="Arial" w:hAnsi="Arial" w:cs="Arial"/>
          <w:i/>
          <w:color w:val="000000"/>
          <w:sz w:val="20"/>
        </w:rPr>
        <w:t>Id.</w:t>
      </w:r>
      <w:r>
        <w:rPr>
          <w:rFonts w:ascii="Arial" w:eastAsia="Arial" w:hAnsi="Arial" w:cs="Arial"/>
          <w:color w:val="000000"/>
          <w:sz w:val="20"/>
        </w:rPr>
        <w:t xml:space="preserve"> at 768-70. Our court held that requiring AMC to reconfigure theaters built before DOJ announced its interpretation of the ambiguous regulation would violate due process. </w:t>
      </w:r>
      <w:r>
        <w:rPr>
          <w:rFonts w:ascii="Arial" w:eastAsia="Arial" w:hAnsi="Arial" w:cs="Arial"/>
          <w:i/>
          <w:color w:val="000000"/>
          <w:sz w:val="20"/>
        </w:rPr>
        <w:t>Id.</w:t>
      </w:r>
    </w:p>
    <w:p w:rsidR="00E456CD" w:rsidRDefault="00000000">
      <w:pPr>
        <w:pStyle w:val="Normal11"/>
        <w:widowControl w:val="0"/>
        <w:spacing w:before="200" w:line="260" w:lineRule="atLeast"/>
        <w:jc w:val="both"/>
      </w:pPr>
      <w:bookmarkStart w:id="2388" w:name="Bookmark_para_24_6"/>
      <w:bookmarkStart w:id="2389" w:name="Bookmark_I29HTH8XH0B0000DDMM0001D"/>
      <w:bookmarkStart w:id="2390" w:name="Bookmark_I5V6V7PD2HM64J0020000400"/>
      <w:bookmarkEnd w:id="2388"/>
      <w:bookmarkEnd w:id="2389"/>
      <w:bookmarkEnd w:id="2390"/>
      <w:r>
        <w:rPr>
          <w:rFonts w:ascii="Arial" w:eastAsia="Arial" w:hAnsi="Arial" w:cs="Arial"/>
          <w:color w:val="000000"/>
          <w:sz w:val="20"/>
        </w:rPr>
        <w:t xml:space="preserve">This case does not present the fair notice concerns of </w:t>
      </w:r>
      <w:bookmarkStart w:id="2391" w:name="Bookmark_I5V6V7PD2HM64J0010000400"/>
      <w:bookmarkEnd w:id="2391"/>
      <w:r>
        <w:rPr>
          <w:rFonts w:ascii="Arial" w:eastAsia="Arial" w:hAnsi="Arial" w:cs="Arial"/>
          <w:i/>
          <w:color w:val="000000"/>
          <w:sz w:val="20"/>
        </w:rPr>
        <w:t>AMC</w:t>
      </w:r>
      <w:bookmarkStart w:id="2392" w:name="Bookmark_I5V6V7PD2HM64J0040000400"/>
      <w:bookmarkEnd w:id="2392"/>
      <w:r>
        <w:rPr>
          <w:rFonts w:ascii="Arial" w:eastAsia="Arial" w:hAnsi="Arial" w:cs="Arial"/>
          <w:color w:val="000000"/>
          <w:sz w:val="20"/>
        </w:rPr>
        <w:t xml:space="preserve">, and the district court erred in equating the relevance of WCAG 2.0 with the regulation at issue in </w:t>
      </w:r>
      <w:r>
        <w:rPr>
          <w:rFonts w:ascii="Arial" w:eastAsia="Arial" w:hAnsi="Arial" w:cs="Arial"/>
          <w:i/>
          <w:color w:val="000000"/>
          <w:sz w:val="20"/>
        </w:rPr>
        <w:t>AMC</w:t>
      </w:r>
      <w:r>
        <w:rPr>
          <w:rFonts w:ascii="Arial" w:eastAsia="Arial" w:hAnsi="Arial" w:cs="Arial"/>
          <w:color w:val="000000"/>
          <w:sz w:val="20"/>
        </w:rPr>
        <w:t xml:space="preserve">. Here, Robles does not seek to impose liability based on Domino's failure to comply with WCAG 2.0. Rather, Robles merely argues—and we agree—that the district court can order compliance with WCAG 2.0 as an equitable remedy if, after discovery, the website and app fail to satisfy the ADA. At this stage, Robles only seeks to impose liability on Domino's for failing to comply with [**17]  § 12182 of the ADA, not for the failure to comply with a regulation or guideline of which Domino's has not received fair notice. </w:t>
      </w:r>
      <w:bookmarkStart w:id="2393" w:name="Bookmark_I5V6V7PD2HM64J0040000400_2"/>
      <w:bookmarkEnd w:id="2393"/>
      <w:r>
        <w:rPr>
          <w:rFonts w:ascii="Arial" w:eastAsia="Arial" w:hAnsi="Arial" w:cs="Arial"/>
          <w:i/>
          <w:color w:val="000000"/>
          <w:sz w:val="20"/>
        </w:rPr>
        <w:t xml:space="preserve">See </w:t>
      </w:r>
      <w:bookmarkStart w:id="2394" w:name="Bookmark_I5V6V7PD2HM64J0030000400"/>
      <w:bookmarkEnd w:id="2394"/>
      <w:r>
        <w:rPr>
          <w:rFonts w:ascii="Arial" w:eastAsia="Arial" w:hAnsi="Arial" w:cs="Arial"/>
          <w:i/>
          <w:color w:val="000000"/>
          <w:sz w:val="20"/>
        </w:rPr>
        <w:t>Reed</w:t>
      </w:r>
      <w:r>
        <w:rPr>
          <w:rFonts w:ascii="Arial" w:eastAsia="Arial" w:hAnsi="Arial" w:cs="Arial"/>
          <w:color w:val="000000"/>
          <w:sz w:val="20"/>
        </w:rPr>
        <w:t>, 2017 U.S. Dist. LEXIS 168237, 2017 WL 4457508, at *5 ("[A]t this point in the litigation . . . Plaintiff does not seek to require [Defendant] to adopt any particular set of guidelines. Plaintiff simply alleges that her difficulty accessing [Defendant's] website and mobile app violate the ADA.").</w:t>
      </w:r>
    </w:p>
    <w:p w:rsidR="00E456CD" w:rsidRDefault="00000000">
      <w:pPr>
        <w:pStyle w:val="Normal11"/>
        <w:widowControl w:val="0"/>
        <w:spacing w:before="200" w:line="260" w:lineRule="atLeast"/>
        <w:jc w:val="both"/>
      </w:pPr>
      <w:bookmarkStart w:id="2395" w:name="Bookmark_para_25_6"/>
      <w:bookmarkStart w:id="2396" w:name="Bookmark_I29HTH8W5K30000DDMM00016"/>
      <w:bookmarkStart w:id="2397" w:name="Bookmark_I5V6V7PD2D6N1R0010000400"/>
      <w:bookmarkEnd w:id="2395"/>
      <w:bookmarkEnd w:id="2396"/>
      <w:bookmarkEnd w:id="2397"/>
      <w:r>
        <w:rPr>
          <w:rFonts w:ascii="Arial" w:eastAsia="Arial" w:hAnsi="Arial" w:cs="Arial"/>
          <w:color w:val="000000"/>
          <w:sz w:val="20"/>
        </w:rPr>
        <w:t xml:space="preserve">Also unlike in </w:t>
      </w:r>
      <w:r>
        <w:rPr>
          <w:rFonts w:ascii="Arial" w:eastAsia="Arial" w:hAnsi="Arial" w:cs="Arial"/>
          <w:i/>
          <w:color w:val="000000"/>
          <w:sz w:val="20"/>
        </w:rPr>
        <w:t>AMC</w:t>
      </w:r>
      <w:r>
        <w:rPr>
          <w:rFonts w:ascii="Arial" w:eastAsia="Arial" w:hAnsi="Arial" w:cs="Arial"/>
          <w:color w:val="000000"/>
          <w:sz w:val="20"/>
        </w:rPr>
        <w:t xml:space="preserve">—where the overbroad injunction would have required AMC to retrofit theaters built before it received fair notice of DOJ's position—Domino's does not allege that its website or app were created prior to (or never updated since) 1996, when DOJ announced  [*908]  its position that the ADA applies to websites of covered entities. Further, the regulation at issue in </w:t>
      </w:r>
      <w:r>
        <w:rPr>
          <w:rFonts w:ascii="Arial" w:eastAsia="Arial" w:hAnsi="Arial" w:cs="Arial"/>
          <w:i/>
          <w:color w:val="000000"/>
          <w:sz w:val="20"/>
        </w:rPr>
        <w:t>AMC</w:t>
      </w:r>
      <w:r>
        <w:rPr>
          <w:rFonts w:ascii="Arial" w:eastAsia="Arial" w:hAnsi="Arial" w:cs="Arial"/>
          <w:color w:val="000000"/>
          <w:sz w:val="20"/>
        </w:rPr>
        <w:t xml:space="preserve"> was ambiguous. </w:t>
      </w:r>
      <w:bookmarkStart w:id="2398" w:name="Bookmark_I5V6V7PD2D6N1R0030000400"/>
      <w:bookmarkEnd w:id="2398"/>
      <w:r>
        <w:rPr>
          <w:rFonts w:ascii="Arial" w:eastAsia="Arial" w:hAnsi="Arial" w:cs="Arial"/>
          <w:i/>
          <w:color w:val="000000"/>
          <w:sz w:val="20"/>
        </w:rPr>
        <w:t>See</w:t>
      </w:r>
      <w:r>
        <w:rPr>
          <w:rFonts w:ascii="Arial" w:eastAsia="Arial" w:hAnsi="Arial" w:cs="Arial"/>
          <w:color w:val="000000"/>
          <w:sz w:val="20"/>
        </w:rPr>
        <w:t xml:space="preserve"> </w:t>
      </w:r>
      <w:bookmarkStart w:id="2399" w:name="Bookmark_I5V6V7PD2HM64J0050000400"/>
      <w:bookmarkEnd w:id="2399"/>
      <w:r>
        <w:rPr>
          <w:rFonts w:ascii="Arial" w:eastAsia="Arial" w:hAnsi="Arial" w:cs="Arial"/>
          <w:color w:val="000000"/>
          <w:sz w:val="20"/>
        </w:rPr>
        <w:t xml:space="preserve">549 F.3d at 764-67 (summarizing circuit split on how to interpret this regulation, which all courts agreed was ambiguous). </w:t>
      </w:r>
      <w:bookmarkStart w:id="2400" w:name="Bookmark_I5V6V7PD2D6N1R0030000400_2"/>
      <w:bookmarkStart w:id="2401" w:name="Bookmark_I5V6V7PD2N1PT60030000400"/>
      <w:bookmarkEnd w:id="2400"/>
      <w:bookmarkEnd w:id="2401"/>
      <w:r>
        <w:rPr>
          <w:rFonts w:ascii="Arial" w:eastAsia="Arial" w:hAnsi="Arial" w:cs="Arial"/>
          <w:color w:val="000000"/>
          <w:sz w:val="20"/>
        </w:rPr>
        <w:t xml:space="preserve">It was unfair to expect AMC to have guessed which interpretation to follow when circuits were in disagreement and DOJ had not announced its position. </w:t>
      </w:r>
      <w:bookmarkStart w:id="2402" w:name="Bookmark_I5V6V7PD2D6N1R0050000400"/>
      <w:bookmarkStart w:id="2403" w:name="Bookmark_I5V6V7PD2D6N1R0020000400"/>
      <w:bookmarkEnd w:id="2402"/>
      <w:bookmarkEnd w:id="2403"/>
      <w:r>
        <w:rPr>
          <w:rFonts w:ascii="Arial" w:eastAsia="Arial" w:hAnsi="Arial" w:cs="Arial"/>
          <w:i/>
          <w:color w:val="000000"/>
          <w:sz w:val="20"/>
        </w:rPr>
        <w:t>Id.</w:t>
      </w:r>
      <w:r>
        <w:rPr>
          <w:rFonts w:ascii="Arial" w:eastAsia="Arial" w:hAnsi="Arial" w:cs="Arial"/>
          <w:color w:val="000000"/>
          <w:sz w:val="20"/>
        </w:rPr>
        <w:t xml:space="preserve"> at 768. </w:t>
      </w:r>
      <w:bookmarkStart w:id="2404" w:name="Bookmark_I5V6V7PD2D6N1R0050000400_2"/>
      <w:bookmarkStart w:id="2405" w:name="Bookmark_I5V6V7PD2N1PT60030000400_2"/>
      <w:bookmarkEnd w:id="2404"/>
      <w:bookmarkEnd w:id="2405"/>
      <w:r>
        <w:rPr>
          <w:rFonts w:ascii="Arial" w:eastAsia="Arial" w:hAnsi="Arial" w:cs="Arial"/>
          <w:color w:val="000000"/>
          <w:sz w:val="20"/>
        </w:rPr>
        <w:t>By contrast, the statutory provisions of § 12182 at issue here—requiring "auxiliary aids and services" and "full and equal enjoyment"—are flexible, but not ambiguous, and have been interpreted many [**18]  times by federal courts.</w:t>
      </w:r>
      <w:r>
        <w:rPr>
          <w:rFonts w:ascii="Arial" w:eastAsia="Arial" w:hAnsi="Arial" w:cs="Arial"/>
          <w:vertAlign w:val="superscript"/>
        </w:rPr>
        <w:footnoteReference w:customMarkFollows="1" w:id="97"/>
        <w:t>10</w:t>
      </w:r>
      <w:r>
        <w:rPr>
          <w:rFonts w:ascii="Arial" w:eastAsia="Arial" w:hAnsi="Arial" w:cs="Arial"/>
          <w:color w:val="000000"/>
          <w:sz w:val="20"/>
        </w:rPr>
        <w:t xml:space="preserve"> Finally, in </w:t>
      </w:r>
      <w:r>
        <w:rPr>
          <w:rFonts w:ascii="Arial" w:eastAsia="Arial" w:hAnsi="Arial" w:cs="Arial"/>
          <w:i/>
          <w:color w:val="000000"/>
          <w:sz w:val="20"/>
        </w:rPr>
        <w:t>AMC</w:t>
      </w:r>
      <w:r>
        <w:rPr>
          <w:rFonts w:ascii="Arial" w:eastAsia="Arial" w:hAnsi="Arial" w:cs="Arial"/>
          <w:color w:val="000000"/>
          <w:sz w:val="20"/>
        </w:rPr>
        <w:t xml:space="preserve">, our court limited its due process holding to the district court's remedy without disturbing liability. </w:t>
      </w:r>
      <w:bookmarkStart w:id="2411" w:name="Bookmark_I5V6V7PD28T3VD0020000400"/>
      <w:bookmarkStart w:id="2412" w:name="Bookmark_I5V6V7PD2D6N1R0040000400"/>
      <w:bookmarkEnd w:id="2411"/>
      <w:bookmarkEnd w:id="2412"/>
      <w:r>
        <w:rPr>
          <w:rFonts w:ascii="Arial" w:eastAsia="Arial" w:hAnsi="Arial" w:cs="Arial"/>
          <w:i/>
          <w:color w:val="000000"/>
          <w:sz w:val="20"/>
        </w:rPr>
        <w:t>Id.</w:t>
      </w:r>
      <w:r>
        <w:rPr>
          <w:rFonts w:ascii="Arial" w:eastAsia="Arial" w:hAnsi="Arial" w:cs="Arial"/>
          <w:color w:val="000000"/>
          <w:sz w:val="20"/>
        </w:rPr>
        <w:t xml:space="preserve"> at 768-70. </w:t>
      </w:r>
      <w:bookmarkStart w:id="2413" w:name="Bookmark_I5V6V7PD28T3VD0020000400_2"/>
      <w:bookmarkStart w:id="2414" w:name="Bookmark_I5V6V7PD2N1PT60010000400"/>
      <w:bookmarkEnd w:id="2413"/>
      <w:bookmarkEnd w:id="2414"/>
      <w:r>
        <w:rPr>
          <w:rFonts w:ascii="Arial" w:eastAsia="Arial" w:hAnsi="Arial" w:cs="Arial"/>
          <w:color w:val="000000"/>
          <w:sz w:val="20"/>
        </w:rPr>
        <w:t xml:space="preserve">Here, the district court dismissed the case at the pleading stage before Robles could conduct discovery and establish liability. Even if due process concerns akin to those in </w:t>
      </w:r>
      <w:r>
        <w:rPr>
          <w:rFonts w:ascii="Arial" w:eastAsia="Arial" w:hAnsi="Arial" w:cs="Arial"/>
          <w:i/>
          <w:color w:val="000000"/>
          <w:sz w:val="20"/>
        </w:rPr>
        <w:t>AMC</w:t>
      </w:r>
      <w:r>
        <w:rPr>
          <w:rFonts w:ascii="Arial" w:eastAsia="Arial" w:hAnsi="Arial" w:cs="Arial"/>
          <w:color w:val="000000"/>
          <w:sz w:val="20"/>
        </w:rPr>
        <w:t xml:space="preserve"> were present here, further consideration of them "would be premature because </w:t>
      </w:r>
      <w:bookmarkStart w:id="2415" w:name="Bookmark_LNHNREFclscc17_0"/>
      <w:bookmarkEnd w:id="2415"/>
      <w:r>
        <w:rPr>
          <w:rFonts w:ascii="Arial" w:eastAsia="Arial" w:hAnsi="Arial" w:cs="Arial"/>
          <w:color w:val="000000"/>
          <w:sz w:val="20"/>
        </w:rPr>
        <w:t xml:space="preserve">due process constrains the </w:t>
      </w:r>
      <w:r>
        <w:rPr>
          <w:rFonts w:ascii="Arial" w:eastAsia="Arial" w:hAnsi="Arial" w:cs="Arial"/>
          <w:i/>
          <w:color w:val="000000"/>
          <w:sz w:val="20"/>
        </w:rPr>
        <w:t>remedies</w:t>
      </w:r>
      <w:r>
        <w:rPr>
          <w:rFonts w:ascii="Arial" w:eastAsia="Arial" w:hAnsi="Arial" w:cs="Arial"/>
          <w:color w:val="000000"/>
          <w:sz w:val="20"/>
        </w:rPr>
        <w:t xml:space="preserve"> that may be imposed," </w:t>
      </w:r>
      <w:bookmarkStart w:id="2416" w:name="Bookmark_I5V6V7PD28T3VD0010000400"/>
      <w:bookmarkEnd w:id="2416"/>
      <w:r>
        <w:rPr>
          <w:rFonts w:ascii="Arial" w:eastAsia="Arial" w:hAnsi="Arial" w:cs="Arial"/>
          <w:i/>
          <w:color w:val="000000"/>
          <w:sz w:val="20"/>
        </w:rPr>
        <w:t>Fortyune v. City of Lomita</w:t>
      </w:r>
      <w:r>
        <w:rPr>
          <w:rFonts w:ascii="Arial" w:eastAsia="Arial" w:hAnsi="Arial" w:cs="Arial"/>
          <w:color w:val="000000"/>
          <w:sz w:val="20"/>
        </w:rPr>
        <w:t xml:space="preserve">, 766 F.3d 1098, 1106 n.13 (9th Cir. 2014) (citing </w:t>
      </w:r>
      <w:bookmarkStart w:id="2417" w:name="Bookmark_I5V6V7PD28T3VD0030000400"/>
      <w:bookmarkEnd w:id="2417"/>
      <w:r>
        <w:rPr>
          <w:rFonts w:ascii="Arial" w:eastAsia="Arial" w:hAnsi="Arial" w:cs="Arial"/>
          <w:i/>
          <w:color w:val="000000"/>
          <w:sz w:val="20"/>
        </w:rPr>
        <w:t>AMC</w:t>
      </w:r>
      <w:r>
        <w:rPr>
          <w:rFonts w:ascii="Arial" w:eastAsia="Arial" w:hAnsi="Arial" w:cs="Arial"/>
          <w:color w:val="000000"/>
          <w:sz w:val="20"/>
        </w:rPr>
        <w:t xml:space="preserve">, 549 F.3d at 768-70) (emphasis added), and not the initial question of ADA compliance. </w:t>
      </w:r>
      <w:bookmarkStart w:id="2418" w:name="Bookmark_I5V6V7PD2N1PT60010000400_2"/>
      <w:bookmarkEnd w:id="2418"/>
      <w:r>
        <w:rPr>
          <w:rFonts w:ascii="Arial" w:eastAsia="Arial" w:hAnsi="Arial" w:cs="Arial"/>
          <w:i/>
          <w:color w:val="000000"/>
          <w:sz w:val="20"/>
        </w:rPr>
        <w:t xml:space="preserve">See </w:t>
      </w:r>
      <w:bookmarkStart w:id="2419" w:name="Bookmark_I5V6V7PD28T3VD0050000400"/>
      <w:bookmarkEnd w:id="2419"/>
      <w:r>
        <w:rPr>
          <w:rFonts w:ascii="Arial" w:eastAsia="Arial" w:hAnsi="Arial" w:cs="Arial"/>
          <w:i/>
          <w:color w:val="000000"/>
          <w:sz w:val="20"/>
        </w:rPr>
        <w:t>Reed</w:t>
      </w:r>
      <w:r>
        <w:rPr>
          <w:rFonts w:ascii="Arial" w:eastAsia="Arial" w:hAnsi="Arial" w:cs="Arial"/>
          <w:color w:val="000000"/>
          <w:sz w:val="20"/>
        </w:rPr>
        <w:t xml:space="preserve"> 2017 U.S. Dist. LEXIS 168237, 2017 WL 4457508, at *4 ("[W]hether or not [defendant's] digital offerings must comply with [WCAG], or any other set of noncompulsory guidelines, is a question of </w:t>
      </w:r>
      <w:r>
        <w:rPr>
          <w:rFonts w:ascii="Arial" w:eastAsia="Arial" w:hAnsi="Arial" w:cs="Arial"/>
          <w:i/>
          <w:color w:val="000000"/>
          <w:sz w:val="20"/>
        </w:rPr>
        <w:t>remedy</w:t>
      </w:r>
      <w:r>
        <w:rPr>
          <w:rFonts w:ascii="Arial" w:eastAsia="Arial" w:hAnsi="Arial" w:cs="Arial"/>
          <w:color w:val="000000"/>
          <w:sz w:val="20"/>
        </w:rPr>
        <w:t>, not liability.") (emphasis in original).</w:t>
      </w:r>
    </w:p>
    <w:p w:rsidR="00E456CD" w:rsidRDefault="00000000">
      <w:pPr>
        <w:pStyle w:val="Normal11"/>
        <w:widowControl w:val="0"/>
        <w:spacing w:before="240" w:line="260" w:lineRule="atLeast"/>
      </w:pPr>
      <w:r>
        <w:br/>
      </w:r>
      <w:r>
        <w:rPr>
          <w:rFonts w:ascii="Arial" w:eastAsia="Arial" w:hAnsi="Arial" w:cs="Arial"/>
          <w:b/>
          <w:color w:val="000000"/>
          <w:sz w:val="20"/>
        </w:rPr>
        <w:t>2. The Lack of Specific Regulations Does Not Eliminate Domino's Statutory Duty</w:t>
      </w:r>
    </w:p>
    <w:p w:rsidR="00E456CD" w:rsidRDefault="00000000">
      <w:pPr>
        <w:pStyle w:val="Normal11"/>
        <w:widowControl w:val="0"/>
        <w:spacing w:before="200" w:line="260" w:lineRule="atLeast"/>
        <w:jc w:val="both"/>
      </w:pPr>
      <w:bookmarkStart w:id="2420" w:name="Bookmark_para_26_6"/>
      <w:bookmarkEnd w:id="2420"/>
      <w:r>
        <w:rPr>
          <w:rFonts w:ascii="Arial" w:eastAsia="Arial" w:hAnsi="Arial" w:cs="Arial"/>
          <w:color w:val="000000"/>
          <w:sz w:val="20"/>
        </w:rPr>
        <w:t xml:space="preserve">Second, we address Domino's argument that imposing liability here would violate due process because Domino's lacked "fair notice of what </w:t>
      </w:r>
      <w:r>
        <w:rPr>
          <w:rFonts w:ascii="Arial" w:eastAsia="Arial" w:hAnsi="Arial" w:cs="Arial"/>
          <w:i/>
          <w:color w:val="000000"/>
          <w:sz w:val="20"/>
        </w:rPr>
        <w:t>specifically</w:t>
      </w:r>
      <w:r>
        <w:rPr>
          <w:rFonts w:ascii="Arial" w:eastAsia="Arial" w:hAnsi="Arial" w:cs="Arial"/>
          <w:color w:val="000000"/>
          <w:sz w:val="20"/>
        </w:rPr>
        <w:t xml:space="preserve"> the ADA requires companies to do in order to make their websites accessible." In other words, Domino's argues it "needs consistent standards when it designs its website." While we understand why Domino's </w:t>
      </w:r>
      <w:r>
        <w:rPr>
          <w:rFonts w:ascii="Arial" w:eastAsia="Arial" w:hAnsi="Arial" w:cs="Arial"/>
          <w:i/>
          <w:color w:val="000000"/>
          <w:sz w:val="20"/>
        </w:rPr>
        <w:t>wants</w:t>
      </w:r>
      <w:r>
        <w:rPr>
          <w:rFonts w:ascii="Arial" w:eastAsia="Arial" w:hAnsi="Arial" w:cs="Arial"/>
          <w:color w:val="000000"/>
          <w:sz w:val="20"/>
        </w:rPr>
        <w:t xml:space="preserve"> DOJ to issue [**19]  specific guidelines for website and app accessibility, </w:t>
      </w:r>
      <w:bookmarkStart w:id="2421" w:name="Bookmark_LNHNREFclscc18_0"/>
      <w:bookmarkEnd w:id="2421"/>
      <w:r>
        <w:rPr>
          <w:rFonts w:ascii="Arial" w:eastAsia="Arial" w:hAnsi="Arial" w:cs="Arial"/>
          <w:color w:val="000000"/>
          <w:sz w:val="20"/>
        </w:rPr>
        <w:t xml:space="preserve">the Constitution only requires that Domino's receive fair notice of its legal duties, not a blueprint for compliance with its statutory obligations. And, as one district court noted, the lack of specific instructions from DOJ might be purposeful: </w:t>
      </w:r>
    </w:p>
    <w:p w:rsidR="00E456CD" w:rsidRDefault="00000000">
      <w:pPr>
        <w:pStyle w:val="Normal11"/>
        <w:widowControl w:val="0"/>
        <w:spacing w:line="260" w:lineRule="atLeast"/>
        <w:ind w:left="400"/>
        <w:jc w:val="both"/>
      </w:pPr>
      <w:bookmarkStart w:id="2422" w:name="Bookmark_para_27_6"/>
      <w:bookmarkEnd w:id="2422"/>
      <w:r>
        <w:rPr>
          <w:rFonts w:ascii="Arial" w:eastAsia="Arial" w:hAnsi="Arial" w:cs="Arial"/>
          <w:color w:val="000000"/>
          <w:sz w:val="20"/>
        </w:rPr>
        <w:t xml:space="preserve">The DOJ's position that the ADA applies to websites being clear, it is no matter that the ADA and the DOJ fail to describe exactly how any given website must be made accessible to people with visual impairments. </w:t>
      </w:r>
      <w:bookmarkStart w:id="2423" w:name="Bookmark_I5V6V7PD2SF8550010000400"/>
      <w:bookmarkEnd w:id="2423"/>
      <w:r>
        <w:rPr>
          <w:rFonts w:ascii="Arial" w:eastAsia="Arial" w:hAnsi="Arial" w:cs="Arial"/>
          <w:color w:val="000000"/>
          <w:sz w:val="20"/>
        </w:rPr>
        <w:t xml:space="preserve">Indeed, this is often the case with the ADA's requirements, because the ADA and its implementing regulations are intended to give public accommodations maximum flexibility in meeting the statute's requirements. </w:t>
      </w:r>
      <w:bookmarkStart w:id="2424" w:name="Bookmark_I5V6V7PD2SF8550030000400"/>
      <w:bookmarkEnd w:id="2424"/>
      <w:r>
        <w:rPr>
          <w:rFonts w:ascii="Arial" w:eastAsia="Arial" w:hAnsi="Arial" w:cs="Arial"/>
          <w:color w:val="000000"/>
          <w:sz w:val="20"/>
        </w:rPr>
        <w:t>This flexibility is a feature, not a bug, and certainly not a violation of due process.</w:t>
      </w:r>
    </w:p>
    <w:p w:rsidR="00E456CD" w:rsidRDefault="00000000">
      <w:pPr>
        <w:pStyle w:val="Normal11"/>
        <w:widowControl w:val="0"/>
        <w:spacing w:before="200" w:line="260" w:lineRule="atLeast"/>
        <w:jc w:val="both"/>
      </w:pPr>
      <w:bookmarkStart w:id="2425" w:name="Bookmark_I5V6V7PD2SF8550030000400_2"/>
      <w:bookmarkStart w:id="2426" w:name="Bookmark_I5V6V7PD2SF8550010000400_2"/>
      <w:bookmarkStart w:id="2427" w:name="Bookmark_I5V6V7PD28T3VF0050000400"/>
      <w:bookmarkEnd w:id="2425"/>
      <w:bookmarkEnd w:id="2426"/>
      <w:bookmarkEnd w:id="2427"/>
      <w:r>
        <w:rPr>
          <w:rFonts w:ascii="Arial" w:eastAsia="Arial" w:hAnsi="Arial" w:cs="Arial"/>
          <w:i/>
          <w:color w:val="000000"/>
          <w:sz w:val="20"/>
        </w:rPr>
        <w:t>Reed</w:t>
      </w:r>
      <w:r>
        <w:rPr>
          <w:rFonts w:ascii="Arial" w:eastAsia="Arial" w:hAnsi="Arial" w:cs="Arial"/>
          <w:color w:val="000000"/>
          <w:sz w:val="20"/>
        </w:rPr>
        <w:t xml:space="preserve">, 2017 U.S. Dist. LEXIS 168237, 2017 WL 4457508, at *5. A desire to maintain this flexibility might explain why DOJ withdrew its ANPRM related to website  [*909]  accessibility and "continue[s] to assess </w:t>
      </w:r>
      <w:r>
        <w:rPr>
          <w:rFonts w:ascii="Arial" w:eastAsia="Arial" w:hAnsi="Arial" w:cs="Arial"/>
          <w:i/>
          <w:color w:val="000000"/>
          <w:sz w:val="20"/>
        </w:rPr>
        <w:t>whether specific technical standards are necessary and appropriate</w:t>
      </w:r>
      <w:r>
        <w:rPr>
          <w:rFonts w:ascii="Arial" w:eastAsia="Arial" w:hAnsi="Arial" w:cs="Arial"/>
          <w:color w:val="000000"/>
          <w:sz w:val="20"/>
        </w:rPr>
        <w:t xml:space="preserve"> to assist covered entities with complying with the ADA." </w:t>
      </w:r>
      <w:bookmarkStart w:id="2428" w:name="Bookmark_I5V6V7PD2SF8550020000400"/>
      <w:bookmarkEnd w:id="2428"/>
      <w:r>
        <w:rPr>
          <w:rFonts w:ascii="Arial" w:eastAsia="Arial" w:hAnsi="Arial" w:cs="Arial"/>
          <w:color w:val="000000"/>
          <w:sz w:val="20"/>
        </w:rPr>
        <w:t>82 Fed. Reg. 60932-01 (Dec. 26, 2017) (emphasis added).</w:t>
      </w:r>
    </w:p>
    <w:p w:rsidR="00E456CD" w:rsidRDefault="00000000">
      <w:pPr>
        <w:pStyle w:val="Normal11"/>
        <w:widowControl w:val="0"/>
        <w:spacing w:before="200" w:line="260" w:lineRule="atLeast"/>
        <w:jc w:val="both"/>
      </w:pPr>
      <w:bookmarkStart w:id="2429" w:name="Bookmark_para_28_6"/>
      <w:bookmarkStart w:id="2430" w:name="Bookmark_I5V6V7PD2SF8550050000400"/>
      <w:bookmarkEnd w:id="2429"/>
      <w:bookmarkEnd w:id="2430"/>
      <w:r>
        <w:rPr>
          <w:rFonts w:ascii="Arial" w:eastAsia="Arial" w:hAnsi="Arial" w:cs="Arial"/>
          <w:color w:val="000000"/>
          <w:sz w:val="20"/>
        </w:rPr>
        <w:t xml:space="preserve">And in any case, our precedent is clear that, "as a general matter, the lack of specific [**20]  regulations cannot eliminate a statutory obligation." </w:t>
      </w:r>
      <w:bookmarkStart w:id="2431" w:name="Bookmark_I5V6V7PD2SF8550040000400"/>
      <w:bookmarkEnd w:id="2431"/>
      <w:r>
        <w:rPr>
          <w:rFonts w:ascii="Arial" w:eastAsia="Arial" w:hAnsi="Arial" w:cs="Arial"/>
          <w:i/>
          <w:color w:val="000000"/>
          <w:sz w:val="20"/>
        </w:rPr>
        <w:t>City of Lomita</w:t>
      </w:r>
      <w:r>
        <w:rPr>
          <w:rFonts w:ascii="Arial" w:eastAsia="Arial" w:hAnsi="Arial" w:cs="Arial"/>
          <w:color w:val="000000"/>
          <w:sz w:val="20"/>
        </w:rPr>
        <w:t xml:space="preserve">, 766 F.3d at 1102; </w:t>
      </w:r>
      <w:r>
        <w:rPr>
          <w:rFonts w:ascii="Arial" w:eastAsia="Arial" w:hAnsi="Arial" w:cs="Arial"/>
          <w:i/>
          <w:color w:val="000000"/>
          <w:sz w:val="20"/>
        </w:rPr>
        <w:t xml:space="preserve">see also </w:t>
      </w:r>
      <w:bookmarkStart w:id="2432" w:name="Bookmark_I5V6V7PD2N1PT70010000400"/>
      <w:bookmarkEnd w:id="2432"/>
      <w:r>
        <w:rPr>
          <w:rFonts w:ascii="Arial" w:eastAsia="Arial" w:hAnsi="Arial" w:cs="Arial"/>
          <w:i/>
          <w:color w:val="000000"/>
          <w:sz w:val="20"/>
        </w:rPr>
        <w:t>Gorecki</w:t>
      </w:r>
      <w:r>
        <w:rPr>
          <w:rFonts w:ascii="Arial" w:eastAsia="Arial" w:hAnsi="Arial" w:cs="Arial"/>
          <w:color w:val="000000"/>
          <w:sz w:val="20"/>
        </w:rPr>
        <w:t>, 2017 U.S. Dist. LEXIS 109123, 2017 WL 2957736, at *4 (</w:t>
      </w:r>
      <w:bookmarkStart w:id="2433" w:name="Bookmark_LNHNREFclscc19_0"/>
      <w:bookmarkEnd w:id="2433"/>
      <w:r>
        <w:rPr>
          <w:rFonts w:ascii="Arial" w:eastAsia="Arial" w:hAnsi="Arial" w:cs="Arial"/>
          <w:color w:val="000000"/>
          <w:sz w:val="20"/>
        </w:rPr>
        <w:t>"The lack of specific regulations [regarding website accessibility] does not eliminate [defendant's] obligation to comply with the ADA or excuse its failure to comply with the mandates of the ADA.").</w:t>
      </w:r>
    </w:p>
    <w:p w:rsidR="00E456CD" w:rsidRDefault="00000000">
      <w:pPr>
        <w:pStyle w:val="Normal11"/>
        <w:widowControl w:val="0"/>
        <w:spacing w:before="200" w:line="260" w:lineRule="atLeast"/>
        <w:jc w:val="both"/>
      </w:pPr>
      <w:bookmarkStart w:id="2434" w:name="Bookmark_para_29_6"/>
      <w:bookmarkStart w:id="2435" w:name="Bookmark_I5V6V7PD2N1PT70040000400"/>
      <w:bookmarkStart w:id="2436" w:name="Bookmark_I5V6V7PD2SF8560010000400"/>
      <w:bookmarkEnd w:id="2434"/>
      <w:bookmarkEnd w:id="2435"/>
      <w:bookmarkEnd w:id="2436"/>
      <w:r>
        <w:rPr>
          <w:rFonts w:ascii="Arial" w:eastAsia="Arial" w:hAnsi="Arial" w:cs="Arial"/>
          <w:color w:val="000000"/>
          <w:sz w:val="20"/>
        </w:rPr>
        <w:t xml:space="preserve">For example, in </w:t>
      </w:r>
      <w:r>
        <w:rPr>
          <w:rFonts w:ascii="Arial" w:eastAsia="Arial" w:hAnsi="Arial" w:cs="Arial"/>
          <w:i/>
          <w:color w:val="000000"/>
          <w:sz w:val="20"/>
        </w:rPr>
        <w:t>City of Lomita</w:t>
      </w:r>
      <w:r>
        <w:rPr>
          <w:rFonts w:ascii="Arial" w:eastAsia="Arial" w:hAnsi="Arial" w:cs="Arial"/>
          <w:color w:val="000000"/>
          <w:sz w:val="20"/>
        </w:rPr>
        <w:t xml:space="preserve">, the defendant-city argued that although existing Title II regulations broadly prohibited it from discriminating in its services, requiring the city to provide accessible on-street parking would violate its due process rights absent specific regulatory guidance. </w:t>
      </w:r>
      <w:bookmarkStart w:id="2437" w:name="Bookmark_I5V6V7PD2N1PT70030000400"/>
      <w:bookmarkEnd w:id="2437"/>
      <w:r>
        <w:rPr>
          <w:rFonts w:ascii="Arial" w:eastAsia="Arial" w:hAnsi="Arial" w:cs="Arial"/>
          <w:color w:val="000000"/>
          <w:sz w:val="20"/>
        </w:rPr>
        <w:t xml:space="preserve">766 F.3d at 1102. Our court rejected that argument, and held that </w:t>
      </w:r>
      <w:bookmarkStart w:id="2438" w:name="Bookmark_LNHNREFclscc20_0"/>
      <w:bookmarkEnd w:id="2438"/>
      <w:r>
        <w:rPr>
          <w:rFonts w:ascii="Arial" w:eastAsia="Arial" w:hAnsi="Arial" w:cs="Arial"/>
          <w:color w:val="000000"/>
          <w:sz w:val="20"/>
        </w:rPr>
        <w:t xml:space="preserve">the ADA's regulations did not "suggest[] that when technical specifications do not exist for a particular type of facility, public entities have no accessibility obligations." </w:t>
      </w:r>
      <w:bookmarkStart w:id="2439" w:name="Bookmark_I5V6V7PD2N1PT70050000400"/>
      <w:bookmarkEnd w:id="2439"/>
      <w:r>
        <w:rPr>
          <w:rFonts w:ascii="Arial" w:eastAsia="Arial" w:hAnsi="Arial" w:cs="Arial"/>
          <w:i/>
          <w:color w:val="000000"/>
          <w:sz w:val="20"/>
        </w:rPr>
        <w:t>Id.</w:t>
      </w:r>
      <w:r>
        <w:rPr>
          <w:rFonts w:ascii="Arial" w:eastAsia="Arial" w:hAnsi="Arial" w:cs="Arial"/>
          <w:color w:val="000000"/>
          <w:sz w:val="20"/>
        </w:rPr>
        <w:t xml:space="preserve"> at 1103 (citing </w:t>
      </w:r>
      <w:bookmarkStart w:id="2440" w:name="Bookmark_I5V6V7PD2SF8560020000400"/>
      <w:bookmarkEnd w:id="2440"/>
      <w:r>
        <w:rPr>
          <w:rFonts w:ascii="Arial" w:eastAsia="Arial" w:hAnsi="Arial" w:cs="Arial"/>
          <w:i/>
          <w:color w:val="000000"/>
          <w:sz w:val="20"/>
        </w:rPr>
        <w:t>Barden v. City of Sacramento</w:t>
      </w:r>
      <w:r>
        <w:rPr>
          <w:rFonts w:ascii="Arial" w:eastAsia="Arial" w:hAnsi="Arial" w:cs="Arial"/>
          <w:color w:val="000000"/>
          <w:sz w:val="20"/>
        </w:rPr>
        <w:t>, 292 F.3d 1073, 1076-78 (9th Cir. 2002) (holding that Title II requires public entities to maintain accessible public sidewalks, notwithstanding absence of implementing regulations addressing sidewalks)).</w:t>
      </w:r>
    </w:p>
    <w:p w:rsidR="00E456CD" w:rsidRDefault="00000000">
      <w:pPr>
        <w:pStyle w:val="Normal11"/>
        <w:widowControl w:val="0"/>
        <w:spacing w:before="200" w:line="260" w:lineRule="atLeast"/>
        <w:jc w:val="both"/>
      </w:pPr>
      <w:bookmarkStart w:id="2441" w:name="Bookmark_para_30_6"/>
      <w:bookmarkStart w:id="2442" w:name="Bookmark_I5V6V7PD2SF8560050000400"/>
      <w:bookmarkStart w:id="2443" w:name="Bookmark_I5V6V7PD2HM64K0020000400"/>
      <w:bookmarkEnd w:id="2441"/>
      <w:bookmarkEnd w:id="2442"/>
      <w:bookmarkEnd w:id="2443"/>
      <w:r>
        <w:rPr>
          <w:rFonts w:ascii="Arial" w:eastAsia="Arial" w:hAnsi="Arial" w:cs="Arial"/>
          <w:color w:val="000000"/>
          <w:sz w:val="20"/>
        </w:rPr>
        <w:t xml:space="preserve">Similarly, in </w:t>
      </w:r>
      <w:r>
        <w:rPr>
          <w:rFonts w:ascii="Arial" w:eastAsia="Arial" w:hAnsi="Arial" w:cs="Arial"/>
          <w:i/>
          <w:color w:val="000000"/>
          <w:sz w:val="20"/>
        </w:rPr>
        <w:t>Kirola v. City &amp; County of San Francisco</w:t>
      </w:r>
      <w:r>
        <w:rPr>
          <w:rFonts w:ascii="Arial" w:eastAsia="Arial" w:hAnsi="Arial" w:cs="Arial"/>
          <w:color w:val="000000"/>
          <w:sz w:val="20"/>
        </w:rPr>
        <w:t xml:space="preserve">, we explained that even if there were no technical accessibility requirements for buildings and facilities under Title II of the ADA, "[p]ublic entities would not suddenly find themselves [**21]  free to ignore access concerns when altering or building new rights-of-way, parks, and playgrounds." </w:t>
      </w:r>
      <w:bookmarkStart w:id="2444" w:name="Bookmark_I5V6V7PD2SF8560040000400"/>
      <w:bookmarkEnd w:id="2444"/>
      <w:r>
        <w:rPr>
          <w:rFonts w:ascii="Arial" w:eastAsia="Arial" w:hAnsi="Arial" w:cs="Arial"/>
          <w:color w:val="000000"/>
          <w:sz w:val="20"/>
        </w:rPr>
        <w:t xml:space="preserve">860 F.3d 1164, 1180 (9th Cir. 2017). Instead, our court applied Title II's "readily accessible" and "usable" standards to determine whether the city violated the ADA. </w:t>
      </w:r>
      <w:r>
        <w:rPr>
          <w:rFonts w:ascii="Arial" w:eastAsia="Arial" w:hAnsi="Arial" w:cs="Arial"/>
          <w:i/>
          <w:color w:val="000000"/>
          <w:sz w:val="20"/>
        </w:rPr>
        <w:t>Id.</w:t>
      </w:r>
      <w:r>
        <w:rPr>
          <w:rFonts w:ascii="Arial" w:eastAsia="Arial" w:hAnsi="Arial" w:cs="Arial"/>
          <w:color w:val="000000"/>
          <w:sz w:val="20"/>
        </w:rPr>
        <w:t xml:space="preserve"> Although DOJ guidance might have been helpful, "[g]iving content to general standards is foundational to the judicial function." </w:t>
      </w:r>
      <w:r>
        <w:rPr>
          <w:rFonts w:ascii="Arial" w:eastAsia="Arial" w:hAnsi="Arial" w:cs="Arial"/>
          <w:i/>
          <w:color w:val="000000"/>
          <w:sz w:val="20"/>
        </w:rPr>
        <w:t>Id.</w:t>
      </w:r>
      <w:r>
        <w:rPr>
          <w:rFonts w:ascii="Arial" w:eastAsia="Arial" w:hAnsi="Arial" w:cs="Arial"/>
          <w:color w:val="000000"/>
          <w:sz w:val="20"/>
        </w:rPr>
        <w:t xml:space="preserve"> (citing </w:t>
      </w:r>
      <w:bookmarkStart w:id="2445" w:name="Bookmark_I5V6V7PD2HM64K0010000400"/>
      <w:bookmarkEnd w:id="2445"/>
      <w:r>
        <w:rPr>
          <w:rFonts w:ascii="Arial" w:eastAsia="Arial" w:hAnsi="Arial" w:cs="Arial"/>
          <w:i/>
          <w:color w:val="000000"/>
          <w:sz w:val="20"/>
        </w:rPr>
        <w:t>Marbury v. Madison</w:t>
      </w:r>
      <w:r>
        <w:rPr>
          <w:rFonts w:ascii="Arial" w:eastAsia="Arial" w:hAnsi="Arial" w:cs="Arial"/>
          <w:color w:val="000000"/>
          <w:sz w:val="20"/>
        </w:rPr>
        <w:t>, 5 U.S. 137, 177, 2 L. Ed. 60 (1803)).</w:t>
      </w:r>
    </w:p>
    <w:p w:rsidR="00E456CD" w:rsidRDefault="00000000">
      <w:pPr>
        <w:pStyle w:val="Normal11"/>
        <w:widowControl w:val="0"/>
        <w:spacing w:before="200" w:line="260" w:lineRule="atLeast"/>
        <w:jc w:val="both"/>
      </w:pPr>
      <w:bookmarkStart w:id="2446" w:name="Bookmark_para_31_6"/>
      <w:bookmarkStart w:id="2447" w:name="Bookmark_I848JX7735D0000M36K004W6"/>
      <w:bookmarkStart w:id="2448" w:name="Bookmark_I848JX774N20000M36K004W7"/>
      <w:bookmarkStart w:id="2449" w:name="Bookmark_I5V6V7PD2HM64K0040000400"/>
      <w:bookmarkEnd w:id="2446"/>
      <w:bookmarkEnd w:id="2447"/>
      <w:bookmarkEnd w:id="2448"/>
      <w:bookmarkEnd w:id="2449"/>
      <w:r>
        <w:rPr>
          <w:rFonts w:ascii="Arial" w:eastAsia="Arial" w:hAnsi="Arial" w:cs="Arial"/>
          <w:color w:val="000000"/>
          <w:sz w:val="20"/>
        </w:rPr>
        <w:t xml:space="preserve">Moreover, </w:t>
      </w:r>
      <w:bookmarkStart w:id="2450" w:name="Bookmark_LNHNREFclscc21_0"/>
      <w:bookmarkEnd w:id="2450"/>
      <w:r>
        <w:rPr>
          <w:rFonts w:ascii="Arial" w:eastAsia="Arial" w:hAnsi="Arial" w:cs="Arial"/>
          <w:color w:val="000000"/>
          <w:sz w:val="20"/>
        </w:rPr>
        <w:t xml:space="preserve">the possibility that an agency might issue technical standards in the future does not create a due process problem. In </w:t>
      </w:r>
      <w:r>
        <w:rPr>
          <w:rFonts w:ascii="Arial" w:eastAsia="Arial" w:hAnsi="Arial" w:cs="Arial"/>
          <w:i/>
          <w:color w:val="000000"/>
          <w:sz w:val="20"/>
        </w:rPr>
        <w:t>Reich v. Montana Sulphur &amp; Chemical Company</w:t>
      </w:r>
      <w:r>
        <w:rPr>
          <w:rFonts w:ascii="Arial" w:eastAsia="Arial" w:hAnsi="Arial" w:cs="Arial"/>
          <w:color w:val="000000"/>
          <w:sz w:val="20"/>
        </w:rPr>
        <w:t xml:space="preserve">, our court held that although the Secretary of Labor would likely promulgate specific standards for safe and healthy working conditions, these standards would only "amplify and augment" the existing statutory obligation to provide a safe workspace and would not "displace" it. </w:t>
      </w:r>
      <w:bookmarkStart w:id="2451" w:name="Bookmark_I5V6V7PD2HM64K0030000400"/>
      <w:bookmarkEnd w:id="2451"/>
      <w:r>
        <w:rPr>
          <w:rFonts w:ascii="Arial" w:eastAsia="Arial" w:hAnsi="Arial" w:cs="Arial"/>
          <w:color w:val="000000"/>
          <w:sz w:val="20"/>
        </w:rPr>
        <w:t xml:space="preserve">32 F.3d 440, 445 (9th Cir. 1994); </w:t>
      </w:r>
      <w:r>
        <w:rPr>
          <w:rFonts w:ascii="Arial" w:eastAsia="Arial" w:hAnsi="Arial" w:cs="Arial"/>
          <w:i/>
          <w:color w:val="000000"/>
          <w:sz w:val="20"/>
        </w:rPr>
        <w:t xml:space="preserve">cf. </w:t>
      </w:r>
      <w:bookmarkStart w:id="2452" w:name="Bookmark_I5V6V7PD2HM64K0050000400"/>
      <w:bookmarkEnd w:id="2452"/>
      <w:r>
        <w:rPr>
          <w:rFonts w:ascii="Arial" w:eastAsia="Arial" w:hAnsi="Arial" w:cs="Arial"/>
          <w:i/>
          <w:color w:val="000000"/>
          <w:sz w:val="20"/>
        </w:rPr>
        <w:t>Or. Paralyzed Veterans of Am. v. Regal Cinemas, Inc.</w:t>
      </w:r>
      <w:r>
        <w:rPr>
          <w:rFonts w:ascii="Arial" w:eastAsia="Arial" w:hAnsi="Arial" w:cs="Arial"/>
          <w:color w:val="000000"/>
          <w:sz w:val="20"/>
        </w:rPr>
        <w:t>, 339 F.3d 1126, 1132-33 (9th Cir. 2003) (following DOJ's interpretation of existing regulation, even though Access Board was addressing the specific topic at issue through rulemaking). The same logic applies here.</w:t>
      </w:r>
    </w:p>
    <w:p w:rsidR="00E456CD" w:rsidRDefault="00000000">
      <w:pPr>
        <w:pStyle w:val="Normal11"/>
        <w:widowControl w:val="0"/>
        <w:spacing w:before="200" w:line="260" w:lineRule="atLeast"/>
        <w:jc w:val="both"/>
      </w:pPr>
      <w:bookmarkStart w:id="2453" w:name="Bookmark_para_32_6"/>
      <w:bookmarkEnd w:id="2453"/>
      <w:r>
        <w:rPr>
          <w:rFonts w:ascii="Arial" w:eastAsia="Arial" w:hAnsi="Arial" w:cs="Arial"/>
          <w:color w:val="000000"/>
          <w:sz w:val="20"/>
        </w:rPr>
        <w:t>In sum, we conclude that the district court erred in holding that imposing liability in this case would violate Domino's due process rights. Domino's has received fair notice that its website [**22]  and app must provide effective communication and facilitate "full and equal enjoyment" of Domino's goods and services to its customers who are disabled. Our Constitution does not require that Congress or DOJ spell out exactly how Domino's should fulfill this obligation.</w:t>
      </w:r>
    </w:p>
    <w:p w:rsidR="00E456CD" w:rsidRDefault="00000000">
      <w:pPr>
        <w:pStyle w:val="Normal11"/>
        <w:widowControl w:val="0"/>
        <w:spacing w:before="240" w:line="260" w:lineRule="atLeast"/>
      </w:pPr>
      <w:r>
        <w:br/>
      </w:r>
      <w:r>
        <w:rPr>
          <w:rFonts w:ascii="Arial" w:eastAsia="Arial" w:hAnsi="Arial" w:cs="Arial"/>
          <w:b/>
          <w:color w:val="000000"/>
          <w:sz w:val="20"/>
        </w:rPr>
        <w:t>C. Primary Jurisdiction Doctrine</w:t>
      </w:r>
    </w:p>
    <w:p w:rsidR="00E456CD" w:rsidRDefault="00000000">
      <w:pPr>
        <w:pStyle w:val="Normal11"/>
        <w:widowControl w:val="0"/>
        <w:spacing w:before="200" w:line="260" w:lineRule="atLeast"/>
        <w:jc w:val="both"/>
      </w:pPr>
      <w:bookmarkStart w:id="2454" w:name="Bookmark_para_33_5"/>
      <w:bookmarkStart w:id="2455" w:name="Bookmark_I5V6V7PD2HM64M0030000400"/>
      <w:bookmarkStart w:id="2456" w:name="Bookmark_I5V6V7PD2HM64M0050000400"/>
      <w:bookmarkStart w:id="2457" w:name="Bookmark_I5V6V7PD2D6N1T0040000400"/>
      <w:bookmarkEnd w:id="2454"/>
      <w:bookmarkEnd w:id="2455"/>
      <w:bookmarkEnd w:id="2456"/>
      <w:bookmarkEnd w:id="2457"/>
      <w:r>
        <w:rPr>
          <w:rFonts w:ascii="Arial" w:eastAsia="Arial" w:hAnsi="Arial" w:cs="Arial"/>
          <w:color w:val="000000"/>
          <w:sz w:val="20"/>
        </w:rPr>
        <w:t xml:space="preserve">Finally, we address </w:t>
      </w:r>
      <w:bookmarkStart w:id="2458" w:name="Bookmark_LNHNREFclscc22_0"/>
      <w:bookmarkEnd w:id="2458"/>
      <w:r>
        <w:rPr>
          <w:rFonts w:ascii="Arial" w:eastAsia="Arial" w:hAnsi="Arial" w:cs="Arial"/>
          <w:color w:val="000000"/>
          <w:sz w:val="20"/>
        </w:rPr>
        <w:t xml:space="preserve">the primary jurisdiction doctrine, which "allows courts to stay proceedings or to dismiss a complaint without prejudice pending the  [*910]  resolution of an issue within the special competence of an administrative agency." </w:t>
      </w:r>
      <w:bookmarkStart w:id="2459" w:name="Bookmark_I5V6V7PD2HM64M0020000400"/>
      <w:bookmarkEnd w:id="2459"/>
      <w:r>
        <w:rPr>
          <w:rFonts w:ascii="Arial" w:eastAsia="Arial" w:hAnsi="Arial" w:cs="Arial"/>
          <w:i/>
          <w:color w:val="000000"/>
          <w:sz w:val="20"/>
        </w:rPr>
        <w:t>Clark</w:t>
      </w:r>
      <w:r>
        <w:rPr>
          <w:rFonts w:ascii="Arial" w:eastAsia="Arial" w:hAnsi="Arial" w:cs="Arial"/>
          <w:color w:val="000000"/>
          <w:sz w:val="20"/>
        </w:rPr>
        <w:t xml:space="preserve">, 523 F.3d at 1114. It is a prudential doctrine that does not "implicate[] the subject matter jurisdiction of the federal courts." </w:t>
      </w:r>
      <w:bookmarkStart w:id="2460" w:name="Bookmark_I5V6V7PD2HM64M0040000400"/>
      <w:bookmarkEnd w:id="2460"/>
      <w:r>
        <w:rPr>
          <w:rFonts w:ascii="Arial" w:eastAsia="Arial" w:hAnsi="Arial" w:cs="Arial"/>
          <w:i/>
          <w:color w:val="000000"/>
          <w:sz w:val="20"/>
        </w:rPr>
        <w:t>Astiana v. Hain Celestial Grp., Inc.</w:t>
      </w:r>
      <w:r>
        <w:rPr>
          <w:rFonts w:ascii="Arial" w:eastAsia="Arial" w:hAnsi="Arial" w:cs="Arial"/>
          <w:color w:val="000000"/>
          <w:sz w:val="20"/>
        </w:rPr>
        <w:t xml:space="preserve">, 783 F.3d 753, 759 (9th Cir. 2015) (quoting </w:t>
      </w:r>
      <w:bookmarkStart w:id="2461" w:name="Bookmark_I5V6V7PD2D6N1T0010000400"/>
      <w:bookmarkEnd w:id="2461"/>
      <w:r>
        <w:rPr>
          <w:rFonts w:ascii="Arial" w:eastAsia="Arial" w:hAnsi="Arial" w:cs="Arial"/>
          <w:i/>
          <w:color w:val="000000"/>
          <w:sz w:val="20"/>
        </w:rPr>
        <w:t>Syntek Semiconductor Co., Ltd. v. Microchip Tech. Inc.</w:t>
      </w:r>
      <w:r>
        <w:rPr>
          <w:rFonts w:ascii="Arial" w:eastAsia="Arial" w:hAnsi="Arial" w:cs="Arial"/>
          <w:color w:val="000000"/>
          <w:sz w:val="20"/>
        </w:rPr>
        <w:t xml:space="preserve">, 307 F.3d 775, 780 (9th Cir. 2002)). Rather, it permits courts to determine "that an otherwise cognizable claim implicates technical and policy questions that should be addressed in the first instance by the agency with regulatory authority over the relevant industry rather than by the judicial branch." </w:t>
      </w:r>
      <w:bookmarkStart w:id="2462" w:name="Bookmark_I5V6V7PD2D6N1T0030000400"/>
      <w:bookmarkEnd w:id="2462"/>
      <w:r>
        <w:rPr>
          <w:rFonts w:ascii="Arial" w:eastAsia="Arial" w:hAnsi="Arial" w:cs="Arial"/>
          <w:i/>
          <w:color w:val="000000"/>
          <w:sz w:val="20"/>
        </w:rPr>
        <w:t>Id.</w:t>
      </w:r>
      <w:r>
        <w:rPr>
          <w:rFonts w:ascii="Arial" w:eastAsia="Arial" w:hAnsi="Arial" w:cs="Arial"/>
          <w:color w:val="000000"/>
          <w:sz w:val="20"/>
        </w:rPr>
        <w:t xml:space="preserve"> at 760 (quoting </w:t>
      </w:r>
      <w:bookmarkStart w:id="2463" w:name="Bookmark_I5V6V7PD2D6N1T0050000400"/>
      <w:bookmarkEnd w:id="2463"/>
      <w:r>
        <w:rPr>
          <w:rFonts w:ascii="Arial" w:eastAsia="Arial" w:hAnsi="Arial" w:cs="Arial"/>
          <w:i/>
          <w:color w:val="000000"/>
          <w:sz w:val="20"/>
        </w:rPr>
        <w:t>Clark</w:t>
      </w:r>
      <w:r>
        <w:rPr>
          <w:rFonts w:ascii="Arial" w:eastAsia="Arial" w:hAnsi="Arial" w:cs="Arial"/>
          <w:color w:val="000000"/>
          <w:sz w:val="20"/>
        </w:rPr>
        <w:t>, 523 F.3d at 1114).</w:t>
      </w:r>
    </w:p>
    <w:p w:rsidR="00E456CD" w:rsidRDefault="00000000">
      <w:pPr>
        <w:pStyle w:val="Normal11"/>
        <w:widowControl w:val="0"/>
        <w:spacing w:before="200" w:line="260" w:lineRule="atLeast"/>
        <w:jc w:val="both"/>
      </w:pPr>
      <w:bookmarkStart w:id="2464" w:name="Bookmark_para_34_4"/>
      <w:bookmarkStart w:id="2465" w:name="Bookmark_I5V6V7PD28T3VG0030000400"/>
      <w:bookmarkStart w:id="2466" w:name="Bookmark_LNHNREFclscc23_0"/>
      <w:bookmarkEnd w:id="2464"/>
      <w:bookmarkEnd w:id="2465"/>
      <w:bookmarkEnd w:id="2466"/>
      <w:r>
        <w:rPr>
          <w:rFonts w:ascii="Arial" w:eastAsia="Arial" w:hAnsi="Arial" w:cs="Arial"/>
          <w:color w:val="000000"/>
          <w:sz w:val="20"/>
        </w:rPr>
        <w:t xml:space="preserve">While "no fixed formula exists for applying the doctrine of primary jurisdiction," we consider: "(1) the need to resolve an issue that (2) has been placed by Congress within the jurisdiction of an administrative body having regulatory authority (3) pursuant [**23]  to a statute that subjects an industry or activity to a comprehensive regulatory authority that (4) requires expertise or uniformity in administration." </w:t>
      </w:r>
      <w:bookmarkStart w:id="2467" w:name="Bookmark_I5V6V7PD28T3VG0020000400"/>
      <w:bookmarkEnd w:id="2467"/>
      <w:r>
        <w:rPr>
          <w:rFonts w:ascii="Arial" w:eastAsia="Arial" w:hAnsi="Arial" w:cs="Arial"/>
          <w:i/>
          <w:color w:val="000000"/>
          <w:sz w:val="20"/>
        </w:rPr>
        <w:t>Davel Communs., Inc. v. Qwest Corp.</w:t>
      </w:r>
      <w:r>
        <w:rPr>
          <w:rFonts w:ascii="Arial" w:eastAsia="Arial" w:hAnsi="Arial" w:cs="Arial"/>
          <w:color w:val="000000"/>
          <w:sz w:val="20"/>
        </w:rPr>
        <w:t xml:space="preserve">, 460 F.3d 1075, 1086-87 (9th Cir. 2006); </w:t>
      </w:r>
      <w:r>
        <w:rPr>
          <w:rFonts w:ascii="Arial" w:eastAsia="Arial" w:hAnsi="Arial" w:cs="Arial"/>
          <w:i/>
          <w:color w:val="000000"/>
          <w:sz w:val="20"/>
        </w:rPr>
        <w:t xml:space="preserve">see also </w:t>
      </w:r>
      <w:bookmarkStart w:id="2468" w:name="Bookmark_I5V6V7PD28T3VG0040000400"/>
      <w:bookmarkEnd w:id="2468"/>
      <w:r>
        <w:rPr>
          <w:rFonts w:ascii="Arial" w:eastAsia="Arial" w:hAnsi="Arial" w:cs="Arial"/>
          <w:i/>
          <w:color w:val="000000"/>
          <w:sz w:val="20"/>
        </w:rPr>
        <w:t>Astiana</w:t>
      </w:r>
      <w:r>
        <w:rPr>
          <w:rFonts w:ascii="Arial" w:eastAsia="Arial" w:hAnsi="Arial" w:cs="Arial"/>
          <w:color w:val="000000"/>
          <w:sz w:val="20"/>
        </w:rPr>
        <w:t>, 783 F.3d at 760 (same).</w:t>
      </w:r>
    </w:p>
    <w:p w:rsidR="00E456CD" w:rsidRDefault="00000000">
      <w:pPr>
        <w:pStyle w:val="Normal11"/>
        <w:widowControl w:val="0"/>
        <w:spacing w:before="200" w:line="260" w:lineRule="atLeast"/>
        <w:jc w:val="both"/>
      </w:pPr>
      <w:bookmarkStart w:id="2469" w:name="Bookmark_para_35_3"/>
      <w:bookmarkStart w:id="2470" w:name="Bookmark_I5V6V7PD2D6N1V0020000400"/>
      <w:bookmarkStart w:id="2471" w:name="Bookmark_I5V6V7PD2N1PT80010000400"/>
      <w:bookmarkEnd w:id="2469"/>
      <w:bookmarkEnd w:id="2470"/>
      <w:bookmarkEnd w:id="2471"/>
      <w:r>
        <w:rPr>
          <w:rFonts w:ascii="Arial" w:eastAsia="Arial" w:hAnsi="Arial" w:cs="Arial"/>
          <w:color w:val="000000"/>
          <w:sz w:val="20"/>
        </w:rPr>
        <w:t xml:space="preserve">Here, the district court erred in invoking primary jurisdiction. </w:t>
      </w:r>
      <w:bookmarkStart w:id="2472" w:name="Bookmark_LNHNREFclscc24_0"/>
      <w:bookmarkEnd w:id="2472"/>
      <w:r>
        <w:rPr>
          <w:rFonts w:ascii="Arial" w:eastAsia="Arial" w:hAnsi="Arial" w:cs="Arial"/>
          <w:color w:val="000000"/>
          <w:sz w:val="20"/>
        </w:rPr>
        <w:t xml:space="preserve">The purpose of the doctrine is not to "secure expert advice" from an agency "every time a court is presented with an issue conceivably within the agency's ambit." </w:t>
      </w:r>
      <w:bookmarkStart w:id="2473" w:name="Bookmark_I5V6V7PD2D6N1V0010000400"/>
      <w:bookmarkEnd w:id="2473"/>
      <w:r>
        <w:rPr>
          <w:rFonts w:ascii="Arial" w:eastAsia="Arial" w:hAnsi="Arial" w:cs="Arial"/>
          <w:i/>
          <w:color w:val="000000"/>
          <w:sz w:val="20"/>
        </w:rPr>
        <w:t>Brown v. MCI WorldCom Network Servs., Inc.</w:t>
      </w:r>
      <w:r>
        <w:rPr>
          <w:rFonts w:ascii="Arial" w:eastAsia="Arial" w:hAnsi="Arial" w:cs="Arial"/>
          <w:color w:val="000000"/>
          <w:sz w:val="20"/>
        </w:rPr>
        <w:t xml:space="preserve">, 277 F.3d 1166, 1172 (9th Cir. 2002); </w:t>
      </w:r>
      <w:r>
        <w:rPr>
          <w:rFonts w:ascii="Arial" w:eastAsia="Arial" w:hAnsi="Arial" w:cs="Arial"/>
          <w:i/>
          <w:color w:val="000000"/>
          <w:sz w:val="20"/>
        </w:rPr>
        <w:t xml:space="preserve">see also </w:t>
      </w:r>
      <w:bookmarkStart w:id="2474" w:name="Bookmark_I5V6V7PD2D6N1V0030000400"/>
      <w:bookmarkEnd w:id="2474"/>
      <w:r>
        <w:rPr>
          <w:rFonts w:ascii="Arial" w:eastAsia="Arial" w:hAnsi="Arial" w:cs="Arial"/>
          <w:i/>
          <w:color w:val="000000"/>
          <w:sz w:val="20"/>
        </w:rPr>
        <w:t>Astiana</w:t>
      </w:r>
      <w:r>
        <w:rPr>
          <w:rFonts w:ascii="Arial" w:eastAsia="Arial" w:hAnsi="Arial" w:cs="Arial"/>
          <w:color w:val="000000"/>
          <w:sz w:val="20"/>
        </w:rPr>
        <w:t xml:space="preserve">, 783 F.3d at 760 ("Not every case that implicates the expertise of federal agencies warrants invocation of primary jurisdiction."). Rather, "'efficiency' is the 'deciding factor' in whether to invoke primary jurisdiction." </w:t>
      </w:r>
      <w:bookmarkStart w:id="2475" w:name="Bookmark_I5V6V7PD2D6N1V0050000400"/>
      <w:bookmarkEnd w:id="2475"/>
      <w:r>
        <w:rPr>
          <w:rFonts w:ascii="Arial" w:eastAsia="Arial" w:hAnsi="Arial" w:cs="Arial"/>
          <w:i/>
          <w:color w:val="000000"/>
          <w:sz w:val="20"/>
        </w:rPr>
        <w:t>Astiana</w:t>
      </w:r>
      <w:r>
        <w:rPr>
          <w:rFonts w:ascii="Arial" w:eastAsia="Arial" w:hAnsi="Arial" w:cs="Arial"/>
          <w:color w:val="000000"/>
          <w:sz w:val="20"/>
        </w:rPr>
        <w:t>, 783 F.3d at 760 (citation omitted). Our precedent is clear:</w:t>
      </w:r>
    </w:p>
    <w:p w:rsidR="00E456CD" w:rsidRDefault="00000000">
      <w:pPr>
        <w:pStyle w:val="Normal11"/>
        <w:widowControl w:val="0"/>
        <w:spacing w:before="200" w:line="260" w:lineRule="atLeast"/>
        <w:ind w:left="400"/>
        <w:jc w:val="both"/>
      </w:pPr>
      <w:bookmarkStart w:id="2476" w:name="Bookmark_para_36_3"/>
      <w:bookmarkStart w:id="2477" w:name="Bookmark_I29HTH8WVN60000DDMM00019"/>
      <w:bookmarkStart w:id="2478" w:name="Bookmark_I5V6V7PD2N1PT80030000400"/>
      <w:bookmarkEnd w:id="2476"/>
      <w:bookmarkEnd w:id="2477"/>
      <w:bookmarkEnd w:id="2478"/>
      <w:r>
        <w:rPr>
          <w:rFonts w:ascii="Arial" w:eastAsia="Arial" w:hAnsi="Arial" w:cs="Arial"/>
          <w:color w:val="000000"/>
          <w:sz w:val="20"/>
        </w:rPr>
        <w:t xml:space="preserve">[E]ven when agency expertise would be helpful, a court should not invoke primary jurisdiction when the agency </w:t>
      </w:r>
      <w:r>
        <w:rPr>
          <w:rFonts w:ascii="Arial" w:eastAsia="Arial" w:hAnsi="Arial" w:cs="Arial"/>
          <w:i/>
          <w:color w:val="000000"/>
          <w:sz w:val="20"/>
        </w:rPr>
        <w:t>is aware of but has expressed no interest</w:t>
      </w:r>
      <w:r>
        <w:rPr>
          <w:rFonts w:ascii="Arial" w:eastAsia="Arial" w:hAnsi="Arial" w:cs="Arial"/>
          <w:color w:val="000000"/>
          <w:sz w:val="20"/>
        </w:rPr>
        <w:t xml:space="preserve"> in the subject matter of the litigation. Similarly, primary jurisdiction is not required </w:t>
      </w:r>
      <w:r>
        <w:rPr>
          <w:rFonts w:ascii="Arial" w:eastAsia="Arial" w:hAnsi="Arial" w:cs="Arial"/>
          <w:i/>
          <w:color w:val="000000"/>
          <w:sz w:val="20"/>
        </w:rPr>
        <w:t>when a referral to the agency would significantly postpone a ruling</w:t>
      </w:r>
      <w:r>
        <w:rPr>
          <w:rFonts w:ascii="Arial" w:eastAsia="Arial" w:hAnsi="Arial" w:cs="Arial"/>
          <w:color w:val="000000"/>
          <w:sz w:val="20"/>
        </w:rPr>
        <w:t xml:space="preserve"> that a court is otherwise competent to make.</w:t>
      </w:r>
    </w:p>
    <w:p w:rsidR="00E456CD" w:rsidRDefault="00000000">
      <w:pPr>
        <w:pStyle w:val="Normal11"/>
        <w:widowControl w:val="0"/>
        <w:spacing w:before="200" w:line="260" w:lineRule="atLeast"/>
        <w:jc w:val="both"/>
      </w:pPr>
      <w:bookmarkStart w:id="2479" w:name="Bookmark_I5V6V7PD2N1PT80030000400_2"/>
      <w:bookmarkStart w:id="2480" w:name="Bookmark_I5V6V7PD2N1PT80020000400"/>
      <w:bookmarkEnd w:id="2479"/>
      <w:bookmarkEnd w:id="2480"/>
      <w:r>
        <w:rPr>
          <w:rFonts w:ascii="Arial" w:eastAsia="Arial" w:hAnsi="Arial" w:cs="Arial"/>
          <w:i/>
          <w:color w:val="000000"/>
          <w:sz w:val="20"/>
        </w:rPr>
        <w:t>Id.</w:t>
      </w:r>
      <w:r>
        <w:rPr>
          <w:rFonts w:ascii="Arial" w:eastAsia="Arial" w:hAnsi="Arial" w:cs="Arial"/>
          <w:color w:val="000000"/>
          <w:sz w:val="20"/>
        </w:rPr>
        <w:t xml:space="preserve"> at 761 (emphases added). Both circumstances are present here.</w:t>
      </w:r>
    </w:p>
    <w:p w:rsidR="00E456CD" w:rsidRDefault="00000000">
      <w:pPr>
        <w:pStyle w:val="Normal11"/>
        <w:widowControl w:val="0"/>
        <w:spacing w:before="200" w:line="260" w:lineRule="atLeast"/>
        <w:jc w:val="both"/>
      </w:pPr>
      <w:bookmarkStart w:id="2481" w:name="Bookmark_para_37_3"/>
      <w:bookmarkStart w:id="2482" w:name="Bookmark_I5V6V7PD2N1PT80050000400"/>
      <w:bookmarkEnd w:id="2481"/>
      <w:bookmarkEnd w:id="2482"/>
      <w:r>
        <w:rPr>
          <w:rFonts w:ascii="Arial" w:eastAsia="Arial" w:hAnsi="Arial" w:cs="Arial"/>
          <w:color w:val="000000"/>
          <w:sz w:val="20"/>
        </w:rPr>
        <w:t xml:space="preserve">First, DOJ is aware of the issue—it issued the ANPRM in 2010, </w:t>
      </w:r>
      <w:bookmarkStart w:id="2483" w:name="Bookmark_I5V6V7PD2N1PT80040000400"/>
      <w:bookmarkEnd w:id="2483"/>
      <w:r>
        <w:rPr>
          <w:rFonts w:ascii="Arial" w:eastAsia="Arial" w:hAnsi="Arial" w:cs="Arial"/>
          <w:color w:val="000000"/>
          <w:sz w:val="20"/>
        </w:rPr>
        <w:t xml:space="preserve">75 Fed. Reg. 43460-01 (July 26, 2010), and withdrew it in 2017, </w:t>
      </w:r>
      <w:bookmarkStart w:id="2484" w:name="Bookmark_I5V6V7PD28T3VH0010000400"/>
      <w:bookmarkEnd w:id="2484"/>
      <w:r>
        <w:rPr>
          <w:rFonts w:ascii="Arial" w:eastAsia="Arial" w:hAnsi="Arial" w:cs="Arial"/>
          <w:color w:val="000000"/>
          <w:sz w:val="20"/>
        </w:rPr>
        <w:t xml:space="preserve">82 Fed. Reg. 60932-01 (Dec. 26, 2017). </w:t>
      </w:r>
      <w:bookmarkStart w:id="2485" w:name="Bookmark_I5V6V7PD28T3VH0040000400"/>
      <w:bookmarkEnd w:id="2485"/>
      <w:r>
        <w:rPr>
          <w:rFonts w:ascii="Arial" w:eastAsia="Arial" w:hAnsi="Arial" w:cs="Arial"/>
          <w:color w:val="000000"/>
          <w:sz w:val="20"/>
        </w:rPr>
        <w:t xml:space="preserve">Second, [**24]  DOJ's withdrawal means that the potential for undue delay is not just likely, but inevitable. Robles has no ability to participate in an administrative hearing process with remedies. </w:t>
      </w:r>
      <w:bookmarkStart w:id="2486" w:name="Bookmark_I5V6V7PD28T3VH0040000400_2"/>
      <w:bookmarkEnd w:id="2486"/>
      <w:r>
        <w:rPr>
          <w:rFonts w:ascii="Arial" w:eastAsia="Arial" w:hAnsi="Arial" w:cs="Arial"/>
          <w:i/>
          <w:color w:val="000000"/>
          <w:sz w:val="20"/>
        </w:rPr>
        <w:t xml:space="preserve">See </w:t>
      </w:r>
      <w:bookmarkStart w:id="2487" w:name="Bookmark_I5V6V7PD28T3VH0030000400"/>
      <w:bookmarkEnd w:id="2487"/>
      <w:r>
        <w:rPr>
          <w:rFonts w:ascii="Arial" w:eastAsia="Arial" w:hAnsi="Arial" w:cs="Arial"/>
          <w:i/>
          <w:color w:val="000000"/>
          <w:sz w:val="20"/>
        </w:rPr>
        <w:t>Arizona ex rel. Goddard v. Harkins Admin. Servs., Inc.</w:t>
      </w:r>
      <w:r>
        <w:rPr>
          <w:rFonts w:ascii="Arial" w:eastAsia="Arial" w:hAnsi="Arial" w:cs="Arial"/>
          <w:color w:val="000000"/>
          <w:sz w:val="20"/>
        </w:rPr>
        <w:t>, 2011 U.S. Dist. LEXIS 127682, 2011 WL 13202686, at *3 (D. Az. Feb. 8, 2011) ("[T]he DOJ does not have an administrative process in which these parties can directly participate to resolve their dispute. The absence of such an administrative process argues against referral to an agency under the primary jurisdiction doctrine.").</w:t>
      </w:r>
    </w:p>
    <w:p w:rsidR="00E456CD" w:rsidRDefault="00000000">
      <w:pPr>
        <w:pStyle w:val="Normal11"/>
        <w:widowControl w:val="0"/>
        <w:spacing w:before="200" w:line="260" w:lineRule="atLeast"/>
        <w:jc w:val="both"/>
      </w:pPr>
      <w:bookmarkStart w:id="2488" w:name="Bookmark_para_38_3"/>
      <w:bookmarkStart w:id="2489" w:name="Bookmark_I5V6V7PD2N1PT90010000400"/>
      <w:bookmarkEnd w:id="2488"/>
      <w:bookmarkEnd w:id="2489"/>
      <w:r>
        <w:rPr>
          <w:rFonts w:ascii="Arial" w:eastAsia="Arial" w:hAnsi="Arial" w:cs="Arial"/>
          <w:color w:val="000000"/>
          <w:sz w:val="20"/>
        </w:rPr>
        <w:t xml:space="preserve">Therefore, according to the district court, Robles cannot vindicate his statutory rights unless DOJ reopens and completes its rulemaking process. This would "needlessly delay the resolution of" Robles' claims and undercut efficiency, "the 'deciding factor' in whether to invoke primary jurisdiction." </w:t>
      </w:r>
      <w:bookmarkStart w:id="2490" w:name="Bookmark_I5V6V7PD28T3VH0050000400"/>
      <w:bookmarkEnd w:id="2490"/>
      <w:r>
        <w:rPr>
          <w:rFonts w:ascii="Arial" w:eastAsia="Arial" w:hAnsi="Arial" w:cs="Arial"/>
          <w:i/>
          <w:color w:val="000000"/>
          <w:sz w:val="20"/>
        </w:rPr>
        <w:t>Astiana</w:t>
      </w:r>
      <w:r>
        <w:rPr>
          <w:rFonts w:ascii="Arial" w:eastAsia="Arial" w:hAnsi="Arial" w:cs="Arial"/>
          <w:color w:val="000000"/>
          <w:sz w:val="20"/>
        </w:rPr>
        <w:t xml:space="preserve">, 783 F.3d at 760 (citation omitted); </w:t>
      </w:r>
      <w:r>
        <w:rPr>
          <w:rFonts w:ascii="Arial" w:eastAsia="Arial" w:hAnsi="Arial" w:cs="Arial"/>
          <w:i/>
          <w:color w:val="000000"/>
          <w:sz w:val="20"/>
        </w:rPr>
        <w:t xml:space="preserve">see also </w:t>
      </w:r>
      <w:bookmarkStart w:id="2491" w:name="Bookmark_I5V6V7PD2N1PT90020000400"/>
      <w:bookmarkEnd w:id="2491"/>
      <w:r>
        <w:rPr>
          <w:rFonts w:ascii="Arial" w:eastAsia="Arial" w:hAnsi="Arial" w:cs="Arial"/>
          <w:i/>
          <w:color w:val="000000"/>
          <w:sz w:val="20"/>
        </w:rPr>
        <w:t>Reid</w:t>
      </w:r>
      <w:r>
        <w:rPr>
          <w:rFonts w:ascii="Arial" w:eastAsia="Arial" w:hAnsi="Arial" w:cs="Arial"/>
          <w:color w:val="000000"/>
          <w:sz w:val="20"/>
        </w:rPr>
        <w:t>, 780 F.3d at 966-67 (declining to invoke primary jurisdiction in part because "it has been over a decade since the FDA indicated that it would issue a new [rule]").</w:t>
      </w:r>
    </w:p>
    <w:p w:rsidR="00E456CD" w:rsidRDefault="00000000">
      <w:pPr>
        <w:pStyle w:val="Normal11"/>
        <w:widowControl w:val="0"/>
        <w:spacing w:before="200" w:line="260" w:lineRule="atLeast"/>
        <w:jc w:val="both"/>
      </w:pPr>
      <w:bookmarkStart w:id="2492" w:name="Bookmark_para_39_3"/>
      <w:bookmarkEnd w:id="2492"/>
      <w:r>
        <w:rPr>
          <w:rFonts w:ascii="Arial" w:eastAsia="Arial" w:hAnsi="Arial" w:cs="Arial"/>
          <w:color w:val="000000"/>
          <w:sz w:val="20"/>
        </w:rPr>
        <w:t xml:space="preserve">The delay is "needless" because the application of the ADA to the facts of this  [*911]  case are well within the court's competence. </w:t>
      </w:r>
      <w:bookmarkStart w:id="2493" w:name="Bookmark_I5V6V7PD2N1PT90050000400"/>
      <w:bookmarkEnd w:id="2493"/>
      <w:r>
        <w:rPr>
          <w:rFonts w:ascii="Arial" w:eastAsia="Arial" w:hAnsi="Arial" w:cs="Arial"/>
          <w:color w:val="000000"/>
          <w:sz w:val="20"/>
        </w:rPr>
        <w:t xml:space="preserve">Properly framed, the issues for the district court to resolve on remand are whether Domino's website and app provide the blind with auxiliary aids and services [**25]  for effective communication and full and equal enjoyment of its products and services. Courts are perfectly capable of interpreting the meaning of "equal" and "effective" and have done so in a variety of contexts. </w:t>
      </w:r>
      <w:bookmarkStart w:id="2494" w:name="Bookmark_I5V6V7PD2SF8580010000400"/>
      <w:bookmarkEnd w:id="2494"/>
      <w:r>
        <w:rPr>
          <w:rFonts w:ascii="Arial" w:eastAsia="Arial" w:hAnsi="Arial" w:cs="Arial"/>
          <w:i/>
          <w:color w:val="000000"/>
          <w:sz w:val="20"/>
        </w:rPr>
        <w:t>See supra</w:t>
      </w:r>
      <w:r>
        <w:rPr>
          <w:rFonts w:ascii="Arial" w:eastAsia="Arial" w:hAnsi="Arial" w:cs="Arial"/>
          <w:color w:val="000000"/>
          <w:sz w:val="20"/>
        </w:rPr>
        <w:t xml:space="preserve"> note 10 (providing examples of circuit courts interpreting ADA's requirements of "full and equal enjoyment" and "auxiliary aids and services" in non-website contexts); </w:t>
      </w:r>
      <w:r>
        <w:rPr>
          <w:rFonts w:ascii="Arial" w:eastAsia="Arial" w:hAnsi="Arial" w:cs="Arial"/>
          <w:i/>
          <w:color w:val="000000"/>
          <w:sz w:val="20"/>
        </w:rPr>
        <w:t xml:space="preserve">see also </w:t>
      </w:r>
      <w:bookmarkStart w:id="2495" w:name="Bookmark_I5V6V7PD2N1PT90040000400"/>
      <w:bookmarkEnd w:id="2495"/>
      <w:r>
        <w:rPr>
          <w:rFonts w:ascii="Arial" w:eastAsia="Arial" w:hAnsi="Arial" w:cs="Arial"/>
          <w:i/>
          <w:color w:val="000000"/>
          <w:sz w:val="20"/>
        </w:rPr>
        <w:t>Georgia v. Ashcroft</w:t>
      </w:r>
      <w:r>
        <w:rPr>
          <w:rFonts w:ascii="Arial" w:eastAsia="Arial" w:hAnsi="Arial" w:cs="Arial"/>
          <w:color w:val="000000"/>
          <w:sz w:val="20"/>
        </w:rPr>
        <w:t xml:space="preserve">, 539 U.S. 461, 462, 123 S. Ct. 2498, 156 L. Ed. 2d 428 (2003) (interpreting "effective exercise of the electoral franchise"), superseded by statute, 52 U.S.C. §§ 10304(b),(d), as recognized in </w:t>
      </w:r>
      <w:bookmarkStart w:id="2496" w:name="Bookmark_I5V6V7PD2SF8570010000400"/>
      <w:bookmarkEnd w:id="2496"/>
      <w:r>
        <w:rPr>
          <w:rFonts w:ascii="Arial" w:eastAsia="Arial" w:hAnsi="Arial" w:cs="Arial"/>
          <w:i/>
          <w:color w:val="000000"/>
          <w:sz w:val="20"/>
        </w:rPr>
        <w:t>Ala. Legislative Black Caucus v. Alabama</w:t>
      </w:r>
      <w:r>
        <w:rPr>
          <w:rFonts w:ascii="Arial" w:eastAsia="Arial" w:hAnsi="Arial" w:cs="Arial"/>
          <w:color w:val="000000"/>
          <w:sz w:val="20"/>
        </w:rPr>
        <w:t xml:space="preserve">, 135 S. Ct. 1257, 1273, 191 L. Ed. 2d 314 (2015); </w:t>
      </w:r>
      <w:bookmarkStart w:id="2497" w:name="Bookmark_I5V6V7PD2SF8570030000400"/>
      <w:bookmarkEnd w:id="2497"/>
      <w:r>
        <w:rPr>
          <w:rFonts w:ascii="Arial" w:eastAsia="Arial" w:hAnsi="Arial" w:cs="Arial"/>
          <w:i/>
          <w:color w:val="000000"/>
          <w:sz w:val="20"/>
        </w:rPr>
        <w:t>Strickland v. Washington</w:t>
      </w:r>
      <w:r>
        <w:rPr>
          <w:rFonts w:ascii="Arial" w:eastAsia="Arial" w:hAnsi="Arial" w:cs="Arial"/>
          <w:color w:val="000000"/>
          <w:sz w:val="20"/>
        </w:rPr>
        <w:t xml:space="preserve">, 466 U.S. 668, 687-88, 104 S. Ct. 2052, 80 L. Ed. 2d 674 (1984) (interpreting right to "effective assistance of counsel"). </w:t>
      </w:r>
      <w:bookmarkStart w:id="2498" w:name="Bookmark_I5V6V7PD2SF8580010000400_2"/>
      <w:bookmarkEnd w:id="2498"/>
      <w:r>
        <w:rPr>
          <w:rFonts w:ascii="Arial" w:eastAsia="Arial" w:hAnsi="Arial" w:cs="Arial"/>
          <w:color w:val="000000"/>
          <w:sz w:val="20"/>
        </w:rPr>
        <w:t xml:space="preserve">In addition, if the court requires specialized or technical knowledge to understand Robles' assertions, the parties can submit expert testimony. </w:t>
      </w:r>
      <w:r>
        <w:rPr>
          <w:rFonts w:ascii="Arial" w:eastAsia="Arial" w:hAnsi="Arial" w:cs="Arial"/>
          <w:i/>
          <w:color w:val="000000"/>
          <w:sz w:val="20"/>
        </w:rPr>
        <w:t>See, e.g.</w:t>
      </w:r>
      <w:r>
        <w:rPr>
          <w:rFonts w:ascii="Arial" w:eastAsia="Arial" w:hAnsi="Arial" w:cs="Arial"/>
          <w:color w:val="000000"/>
          <w:sz w:val="20"/>
        </w:rPr>
        <w:t xml:space="preserve">, </w:t>
      </w:r>
      <w:bookmarkStart w:id="2499" w:name="Bookmark_I5V6V7PD2SF8570050000400"/>
      <w:bookmarkEnd w:id="2499"/>
      <w:r>
        <w:rPr>
          <w:rFonts w:ascii="Arial" w:eastAsia="Arial" w:hAnsi="Arial" w:cs="Arial"/>
          <w:i/>
          <w:color w:val="000000"/>
          <w:sz w:val="20"/>
        </w:rPr>
        <w:t>Nat'l Fed'n of the Blind v. Lamone</w:t>
      </w:r>
      <w:r>
        <w:rPr>
          <w:rFonts w:ascii="Arial" w:eastAsia="Arial" w:hAnsi="Arial" w:cs="Arial"/>
          <w:color w:val="000000"/>
          <w:sz w:val="20"/>
        </w:rPr>
        <w:t xml:space="preserve">, 813 F.3d 494, 501-02 (4th Cir. 2016) (relying on credited expert testimony on security risks associated with "online ballot marking tool," which the court held was a "reasonable modification" to make absentee voting accessible to blind voters); </w:t>
      </w:r>
      <w:r>
        <w:rPr>
          <w:rFonts w:ascii="Arial" w:eastAsia="Arial" w:hAnsi="Arial" w:cs="Arial"/>
          <w:i/>
          <w:color w:val="000000"/>
          <w:sz w:val="20"/>
        </w:rPr>
        <w:t xml:space="preserve">cf. </w:t>
      </w:r>
      <w:bookmarkStart w:id="2500" w:name="Bookmark_I5V6V7PD2SF8580020000400"/>
      <w:bookmarkEnd w:id="2500"/>
      <w:r>
        <w:rPr>
          <w:rFonts w:ascii="Arial" w:eastAsia="Arial" w:hAnsi="Arial" w:cs="Arial"/>
          <w:i/>
          <w:color w:val="000000"/>
          <w:sz w:val="20"/>
        </w:rPr>
        <w:t>Strong v. Valdez Fine Foods</w:t>
      </w:r>
      <w:r>
        <w:rPr>
          <w:rFonts w:ascii="Arial" w:eastAsia="Arial" w:hAnsi="Arial" w:cs="Arial"/>
          <w:color w:val="000000"/>
          <w:sz w:val="20"/>
        </w:rPr>
        <w:t>, 724 F.3d 1042, 1046-47 (9th Cir. 2013) (holding that expert testimony is not required to understand plaintiff's straightforward ADA claim about physical barriers). Whether Domino's website and app are effective means of communication is a fact-based inquiry within a court's competency.</w:t>
      </w:r>
    </w:p>
    <w:p w:rsidR="00E456CD" w:rsidRDefault="00000000">
      <w:pPr>
        <w:pStyle w:val="Normal11"/>
        <w:widowControl w:val="0"/>
        <w:spacing w:before="200" w:line="260" w:lineRule="atLeast"/>
        <w:jc w:val="both"/>
      </w:pPr>
      <w:bookmarkStart w:id="2501" w:name="Bookmark_para_40_3"/>
      <w:bookmarkStart w:id="2502" w:name="Bookmark_I5V6V7PD2SF8580050000400"/>
      <w:bookmarkEnd w:id="2501"/>
      <w:bookmarkEnd w:id="2502"/>
      <w:r>
        <w:rPr>
          <w:rFonts w:ascii="Arial" w:eastAsia="Arial" w:hAnsi="Arial" w:cs="Arial"/>
          <w:color w:val="000000"/>
          <w:sz w:val="20"/>
        </w:rPr>
        <w:t xml:space="preserve">Thus, we reverse [**26]  the district court's reliance on the primary jurisdiction doctrine. Rather than promote efficiency—the deciding factor in whether to invoke primary jurisdiction—the district court's ruling unduly delays the resolution of an issue that a court can decide. </w:t>
      </w:r>
      <w:r>
        <w:rPr>
          <w:rFonts w:ascii="Arial" w:eastAsia="Arial" w:hAnsi="Arial" w:cs="Arial"/>
          <w:i/>
          <w:color w:val="000000"/>
          <w:sz w:val="20"/>
        </w:rPr>
        <w:t xml:space="preserve">See </w:t>
      </w:r>
      <w:bookmarkStart w:id="2503" w:name="Bookmark_I5V6V7PD2SF8580040000400"/>
      <w:bookmarkEnd w:id="2503"/>
      <w:r>
        <w:rPr>
          <w:rFonts w:ascii="Arial" w:eastAsia="Arial" w:hAnsi="Arial" w:cs="Arial"/>
          <w:i/>
          <w:color w:val="000000"/>
          <w:sz w:val="20"/>
        </w:rPr>
        <w:t>Astiana</w:t>
      </w:r>
      <w:r>
        <w:rPr>
          <w:rFonts w:ascii="Arial" w:eastAsia="Arial" w:hAnsi="Arial" w:cs="Arial"/>
          <w:color w:val="000000"/>
          <w:sz w:val="20"/>
        </w:rPr>
        <w:t>, 783 F.3d at 760-62.</w:t>
      </w:r>
    </w:p>
    <w:p w:rsidR="00E456CD" w:rsidRDefault="00000000">
      <w:pPr>
        <w:pStyle w:val="Normal11"/>
        <w:widowControl w:val="0"/>
        <w:spacing w:before="240" w:line="260" w:lineRule="atLeast"/>
      </w:pPr>
      <w:r>
        <w:br/>
      </w:r>
      <w:r>
        <w:rPr>
          <w:rFonts w:ascii="Arial" w:eastAsia="Arial" w:hAnsi="Arial" w:cs="Arial"/>
          <w:b/>
          <w:color w:val="000000"/>
          <w:sz w:val="20"/>
        </w:rPr>
        <w:t>IV. CONCLUSION</w:t>
      </w:r>
    </w:p>
    <w:p w:rsidR="00E456CD" w:rsidRDefault="00000000">
      <w:pPr>
        <w:pStyle w:val="Normal11"/>
        <w:widowControl w:val="0"/>
        <w:spacing w:before="200" w:line="260" w:lineRule="atLeast"/>
        <w:jc w:val="both"/>
      </w:pPr>
      <w:bookmarkStart w:id="2504" w:name="Bookmark_para_41_3"/>
      <w:bookmarkEnd w:id="2504"/>
      <w:r>
        <w:rPr>
          <w:rFonts w:ascii="Arial" w:eastAsia="Arial" w:hAnsi="Arial" w:cs="Arial"/>
          <w:color w:val="000000"/>
          <w:sz w:val="20"/>
        </w:rPr>
        <w:t>We express no opinion about whether Domino's website or app comply with the ADA. We leave it to the district court, after discovery, to decide in the first instance whether Domino's website and app provide the blind with effective communication and full and equal enjoyment of its products and services as the ADA mandates.</w:t>
      </w:r>
      <w:r>
        <w:rPr>
          <w:rFonts w:ascii="Arial" w:eastAsia="Arial" w:hAnsi="Arial" w:cs="Arial"/>
          <w:vertAlign w:val="superscript"/>
        </w:rPr>
        <w:footnoteReference w:customMarkFollows="1" w:id="98"/>
        <w:t>11</w:t>
      </w:r>
    </w:p>
    <w:p w:rsidR="00E456CD" w:rsidRDefault="00000000">
      <w:pPr>
        <w:pStyle w:val="Normal11"/>
        <w:widowControl w:val="0"/>
        <w:spacing w:before="200" w:line="260" w:lineRule="atLeast"/>
        <w:jc w:val="both"/>
      </w:pPr>
      <w:bookmarkStart w:id="2506" w:name="Bookmark_para_42_2"/>
      <w:bookmarkEnd w:id="2506"/>
      <w:r>
        <w:rPr>
          <w:rFonts w:ascii="Arial" w:eastAsia="Arial" w:hAnsi="Arial" w:cs="Arial"/>
          <w:b/>
          <w:color w:val="000000"/>
          <w:sz w:val="20"/>
        </w:rPr>
        <w:t>REVERSED AND REMANDED</w:t>
      </w:r>
      <w:r>
        <w:rPr>
          <w:rFonts w:ascii="Arial" w:eastAsia="Arial" w:hAnsi="Arial" w:cs="Arial"/>
          <w:color w:val="000000"/>
          <w:sz w:val="20"/>
        </w:rPr>
        <w:t>.</w:t>
      </w:r>
    </w:p>
    <w:p w:rsidR="00E456CD" w:rsidRDefault="00E456CD">
      <w:pPr>
        <w:pStyle w:val="Normal11"/>
      </w:pPr>
    </w:p>
    <w:p w:rsidR="00E456CD" w:rsidRDefault="00000000">
      <w:pPr>
        <w:pStyle w:val="Normal11"/>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04714063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8F931" id="Line 2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2"/>
        <w:sectPr w:rsidR="00E456CD">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gutter="0"/>
          <w:cols w:space="720"/>
          <w:titlePg/>
        </w:sectPr>
      </w:pPr>
    </w:p>
    <w:p w:rsidR="00E456CD" w:rsidRDefault="00E456CD">
      <w:pPr>
        <w:pStyle w:val="Normal12"/>
      </w:pPr>
    </w:p>
    <w:p w:rsidR="00E456CD" w:rsidRDefault="00000000">
      <w:pPr>
        <w:pStyle w:val="Heading111"/>
        <w:keepNext w:val="0"/>
        <w:widowControl w:val="0"/>
        <w:spacing w:after="200" w:line="340" w:lineRule="atLeast"/>
        <w:jc w:val="center"/>
      </w:pPr>
      <w:r>
        <w:rPr>
          <w:rFonts w:eastAsia="Arial"/>
          <w:color w:val="000000"/>
          <w:sz w:val="28"/>
        </w:rPr>
        <w:t>Silguero v. CSL Plasma, Inc.</w:t>
      </w:r>
    </w:p>
    <w:p w:rsidR="00E456CD" w:rsidRDefault="00000000">
      <w:pPr>
        <w:pStyle w:val="Normal12"/>
        <w:widowControl w:val="0"/>
        <w:spacing w:before="120" w:line="260" w:lineRule="atLeast"/>
        <w:jc w:val="center"/>
      </w:pPr>
      <w:r>
        <w:rPr>
          <w:rFonts w:ascii="Arial" w:eastAsia="Arial" w:hAnsi="Arial" w:cs="Arial"/>
          <w:color w:val="000000"/>
          <w:sz w:val="20"/>
        </w:rPr>
        <w:t>United States Court of Appeals for the Fifth Circuit</w:t>
      </w:r>
    </w:p>
    <w:p w:rsidR="00E456CD" w:rsidRDefault="00000000">
      <w:pPr>
        <w:pStyle w:val="Normal12"/>
        <w:widowControl w:val="0"/>
        <w:spacing w:before="120" w:line="260" w:lineRule="atLeast"/>
        <w:jc w:val="center"/>
      </w:pPr>
      <w:r>
        <w:rPr>
          <w:rFonts w:ascii="Arial" w:eastAsia="Arial" w:hAnsi="Arial" w:cs="Arial"/>
          <w:color w:val="000000"/>
          <w:sz w:val="20"/>
        </w:rPr>
        <w:t>October 23, 2018, Filed</w:t>
      </w:r>
    </w:p>
    <w:p w:rsidR="00E456CD" w:rsidRDefault="00000000">
      <w:pPr>
        <w:pStyle w:val="Normal12"/>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17-41206</w:t>
      </w:r>
    </w:p>
    <w:p w:rsidR="00E456CD" w:rsidRDefault="00E456CD">
      <w:pPr>
        <w:pStyle w:val="Normal12"/>
        <w:widowControl w:val="0"/>
        <w:spacing w:line="240" w:lineRule="atLeast"/>
        <w:jc w:val="both"/>
      </w:pPr>
      <w:bookmarkStart w:id="2507" w:name="Bookmark_13"/>
      <w:bookmarkEnd w:id="2507"/>
    </w:p>
    <w:p w:rsidR="00E456CD" w:rsidRDefault="00000000">
      <w:pPr>
        <w:pStyle w:val="Normal12"/>
        <w:widowControl w:val="0"/>
        <w:spacing w:before="200" w:line="240" w:lineRule="atLeast"/>
      </w:pPr>
      <w:bookmarkStart w:id="2508" w:name="Reporter_11"/>
      <w:bookmarkEnd w:id="2508"/>
      <w:r>
        <w:rPr>
          <w:rFonts w:ascii="Arial" w:eastAsia="Arial" w:hAnsi="Arial" w:cs="Arial"/>
          <w:b/>
          <w:color w:val="000000"/>
          <w:sz w:val="18"/>
        </w:rPr>
        <w:t>Reporter</w:t>
      </w:r>
    </w:p>
    <w:p w:rsidR="00E456CD" w:rsidRDefault="00000000">
      <w:pPr>
        <w:pStyle w:val="Normal12"/>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907 F.3d 323 *; 2018 U.S. App. LEXIS 29893 **</w:t>
      </w:r>
    </w:p>
    <w:p w:rsidR="00E456CD" w:rsidRDefault="00000000">
      <w:pPr>
        <w:pStyle w:val="Normal12"/>
        <w:widowControl w:val="0"/>
        <w:spacing w:before="120" w:line="260" w:lineRule="atLeast"/>
      </w:pPr>
      <w:r>
        <w:rPr>
          <w:rFonts w:ascii="Arial" w:eastAsia="Arial" w:hAnsi="Arial" w:cs="Arial"/>
          <w:color w:val="000000"/>
          <w:sz w:val="20"/>
        </w:rPr>
        <w:t>MARK SILGUERO, Plaintiff - Appellant, AMY WOLFE, Intervenor - Appellant v. CSL PLASMA, INCORPORATED, Defendant - Appellee</w:t>
      </w:r>
    </w:p>
    <w:p w:rsidR="00E456CD" w:rsidRDefault="00000000">
      <w:pPr>
        <w:pStyle w:val="Normal12"/>
        <w:widowControl w:val="0"/>
        <w:spacing w:before="240" w:line="260" w:lineRule="atLeast"/>
      </w:pPr>
      <w:bookmarkStart w:id="2509" w:name="Subsequent_History_3"/>
      <w:bookmarkEnd w:id="2509"/>
      <w:r>
        <w:rPr>
          <w:rFonts w:ascii="Arial" w:eastAsia="Arial" w:hAnsi="Arial" w:cs="Arial"/>
          <w:b/>
          <w:color w:val="000000"/>
          <w:sz w:val="20"/>
        </w:rPr>
        <w:t>Subsequent History:</w:t>
      </w:r>
      <w:r>
        <w:rPr>
          <w:rFonts w:ascii="Arial" w:eastAsia="Arial" w:hAnsi="Arial" w:cs="Arial"/>
          <w:color w:val="000000"/>
          <w:sz w:val="20"/>
        </w:rPr>
        <w:t> Later proceeding at Silguero v. CSL Plasma, Inc., 2018 Tex. LEXIS 1109 (Tex., Oct. 26, 2018)</w:t>
      </w:r>
    </w:p>
    <w:p w:rsidR="00E456CD" w:rsidRDefault="00000000">
      <w:pPr>
        <w:pStyle w:val="Normal12"/>
        <w:widowControl w:val="0"/>
        <w:spacing w:before="120" w:line="260" w:lineRule="atLeast"/>
      </w:pPr>
      <w:r>
        <w:rPr>
          <w:rFonts w:ascii="Arial" w:eastAsia="Arial" w:hAnsi="Arial" w:cs="Arial"/>
          <w:color w:val="000000"/>
          <w:sz w:val="20"/>
        </w:rPr>
        <w:t>Later proceeding at Silguero v. CSL Plasma, Inc., 2019 Tex. LEXIS 93 (Tex., Jan. 25, 2019)</w:t>
      </w:r>
    </w:p>
    <w:p w:rsidR="00E456CD" w:rsidRDefault="00000000">
      <w:pPr>
        <w:pStyle w:val="Normal12"/>
        <w:widowControl w:val="0"/>
        <w:spacing w:before="120" w:line="260" w:lineRule="atLeast"/>
      </w:pPr>
      <w:r>
        <w:rPr>
          <w:rFonts w:ascii="Arial" w:eastAsia="Arial" w:hAnsi="Arial" w:cs="Arial"/>
          <w:color w:val="000000"/>
          <w:sz w:val="20"/>
        </w:rPr>
        <w:t>Certified question answered by Silguero v. CSL Plasma, 2019 Tex. LEXIS 732 (Tex., June 28, 2019)</w:t>
      </w:r>
    </w:p>
    <w:p w:rsidR="00E456CD" w:rsidRDefault="00000000">
      <w:pPr>
        <w:pStyle w:val="Normal12"/>
        <w:widowControl w:val="0"/>
        <w:spacing w:before="240" w:line="260" w:lineRule="atLeast"/>
        <w:jc w:val="both"/>
      </w:pPr>
      <w:bookmarkStart w:id="2510" w:name="Prior_History_11"/>
      <w:bookmarkEnd w:id="2510"/>
      <w:r>
        <w:rPr>
          <w:rFonts w:ascii="Arial" w:eastAsia="Arial" w:hAnsi="Arial" w:cs="Arial"/>
          <w:b/>
          <w:color w:val="000000"/>
          <w:sz w:val="20"/>
        </w:rPr>
        <w:t>Prior History:</w:t>
      </w:r>
      <w:r>
        <w:rPr>
          <w:rFonts w:ascii="Arial" w:eastAsia="Arial" w:hAnsi="Arial" w:cs="Arial"/>
          <w:color w:val="000000"/>
          <w:sz w:val="20"/>
        </w:rPr>
        <w:t> </w:t>
      </w:r>
      <w:bookmarkStart w:id="2511" w:name="Bookmark_para_1_11"/>
      <w:bookmarkEnd w:id="2511"/>
      <w:r>
        <w:rPr>
          <w:rFonts w:ascii="Arial" w:eastAsia="Arial" w:hAnsi="Arial" w:cs="Arial"/>
          <w:color w:val="000000"/>
          <w:sz w:val="20"/>
        </w:rPr>
        <w:t> [**1] Appeal from the United States District Court for the Southern District of Texas.</w:t>
      </w:r>
    </w:p>
    <w:p w:rsidR="00E456CD" w:rsidRDefault="00000000">
      <w:pPr>
        <w:pStyle w:val="Normal12"/>
        <w:widowControl w:val="0"/>
        <w:spacing w:before="120" w:line="260" w:lineRule="atLeast"/>
      </w:pPr>
      <w:r>
        <w:rPr>
          <w:rFonts w:ascii="Arial" w:eastAsia="Arial" w:hAnsi="Arial" w:cs="Arial"/>
          <w:color w:val="000000"/>
          <w:sz w:val="20"/>
        </w:rPr>
        <w:t>Silguero v. CSL Plasma, Inc., 2017 U.S. Dist. LEXIS 223103 (S.D. Tex., Nov. 2, 2017)</w:t>
      </w:r>
    </w:p>
    <w:p w:rsidR="00E456CD" w:rsidRDefault="00000000">
      <w:pPr>
        <w:pStyle w:val="Normal12"/>
        <w:widowControl w:val="0"/>
        <w:spacing w:before="240" w:line="260" w:lineRule="atLeast"/>
      </w:pPr>
      <w:bookmarkStart w:id="2512" w:name="Counsel_11"/>
      <w:bookmarkEnd w:id="2512"/>
      <w:r>
        <w:rPr>
          <w:rFonts w:ascii="Arial" w:eastAsia="Arial" w:hAnsi="Arial" w:cs="Arial"/>
          <w:b/>
          <w:color w:val="000000"/>
          <w:sz w:val="20"/>
        </w:rPr>
        <w:t>Counsel:</w:t>
      </w:r>
      <w:r>
        <w:rPr>
          <w:rFonts w:ascii="Arial" w:eastAsia="Arial" w:hAnsi="Arial" w:cs="Arial"/>
          <w:color w:val="000000"/>
          <w:sz w:val="20"/>
        </w:rPr>
        <w:t> For MARK SILGUERO, AMY WOLFE, Plaintiffs - Appellants: Ryan C. Downer, Esq., Assistant Counsel, Michael G. Allen, Sasha M. Samberg-Champion, Esq., Relman, Dane &amp; Colfax, P.L.L.C., Washington, DC; Lia Sifuentes Davis, Brian D. East, Senior Attorney, Disability Rights Texas, Central Texas Regional Office, Austin, TX.</w:t>
      </w:r>
    </w:p>
    <w:p w:rsidR="00E456CD" w:rsidRDefault="00000000">
      <w:pPr>
        <w:pStyle w:val="Normal12"/>
        <w:widowControl w:val="0"/>
        <w:spacing w:before="120" w:line="260" w:lineRule="atLeast"/>
      </w:pPr>
      <w:r>
        <w:rPr>
          <w:rFonts w:ascii="Arial" w:eastAsia="Arial" w:hAnsi="Arial" w:cs="Arial"/>
          <w:color w:val="000000"/>
          <w:sz w:val="20"/>
        </w:rPr>
        <w:t>For CSL PLASMA, INCORPORATED, Defendant - Appellee: Bruce Jay Douglas, Stephanie Jenaye Willing, Esq., Ogletree, Deakins, Nash, Smoak &amp; Stewart, P.C., Minneapolis, MN.</w:t>
      </w:r>
    </w:p>
    <w:p w:rsidR="00E456CD" w:rsidRDefault="00000000">
      <w:pPr>
        <w:pStyle w:val="Normal12"/>
        <w:widowControl w:val="0"/>
        <w:spacing w:before="120" w:line="260" w:lineRule="atLeast"/>
      </w:pPr>
      <w:r>
        <w:rPr>
          <w:rFonts w:ascii="Arial" w:eastAsia="Arial" w:hAnsi="Arial" w:cs="Arial"/>
          <w:color w:val="000000"/>
          <w:sz w:val="20"/>
        </w:rPr>
        <w:t>For PARALYZED VETERANS OF AMERICA, Amicus Curiae: Rakesh Kilaru, Wilkinson Walsh + Eskovitz, L.L.P., Washington, DC.</w:t>
      </w:r>
    </w:p>
    <w:p w:rsidR="00E456CD" w:rsidRDefault="00000000">
      <w:pPr>
        <w:pStyle w:val="Normal12"/>
        <w:widowControl w:val="0"/>
        <w:spacing w:before="120" w:line="260" w:lineRule="atLeast"/>
      </w:pPr>
      <w:r>
        <w:rPr>
          <w:rFonts w:ascii="Arial" w:eastAsia="Arial" w:hAnsi="Arial" w:cs="Arial"/>
          <w:color w:val="000000"/>
          <w:sz w:val="20"/>
        </w:rPr>
        <w:t>For UNITED STATES OF AMERICA, Amicus Curiae: Elizabeth Nash, Tovah Calderon, U.S. Department of Justice, Civil Rights Div - Appellate Section, Washington, DC.</w:t>
      </w:r>
    </w:p>
    <w:p w:rsidR="00E456CD" w:rsidRDefault="00000000">
      <w:pPr>
        <w:pStyle w:val="Normal12"/>
        <w:widowControl w:val="0"/>
        <w:spacing w:before="120" w:line="260" w:lineRule="atLeast"/>
      </w:pPr>
      <w:r>
        <w:rPr>
          <w:rFonts w:ascii="Arial" w:eastAsia="Arial" w:hAnsi="Arial" w:cs="Arial"/>
          <w:color w:val="000000"/>
          <w:sz w:val="20"/>
        </w:rPr>
        <w:t>For OCTAPHARMA PLASMA, INCORPORATED, Amicus Curiae: Cary Baxter Davis, Mark Hiller, Robinson, Bradshaw &amp; Hinson, P.A., Charlotte, NC.</w:t>
      </w:r>
    </w:p>
    <w:p w:rsidR="00E456CD" w:rsidRDefault="00000000">
      <w:pPr>
        <w:pStyle w:val="Normal12"/>
        <w:widowControl w:val="0"/>
        <w:spacing w:before="120" w:line="260" w:lineRule="atLeast"/>
      </w:pPr>
      <w:r>
        <w:rPr>
          <w:rFonts w:ascii="Arial" w:eastAsia="Arial" w:hAnsi="Arial" w:cs="Arial"/>
          <w:color w:val="000000"/>
          <w:sz w:val="20"/>
        </w:rPr>
        <w:t>For PLASMA PROTEIN THERAPEUTICS ASSOCIATION, Amicus Curiae: John Delacourt, Plasma Protein Therapeutics Association, Washington, DC; Micheal Wayne Dobbs, Kelley Drye &amp; Warren, L.L.P., Houston, TX.</w:t>
      </w:r>
    </w:p>
    <w:p w:rsidR="00E456CD" w:rsidRDefault="00000000">
      <w:pPr>
        <w:pStyle w:val="Normal12"/>
        <w:widowControl w:val="0"/>
        <w:spacing w:before="240" w:line="260" w:lineRule="atLeast"/>
      </w:pPr>
      <w:bookmarkStart w:id="2513" w:name="Judges_11"/>
      <w:bookmarkEnd w:id="2513"/>
      <w:r>
        <w:rPr>
          <w:rFonts w:ascii="Arial" w:eastAsia="Arial" w:hAnsi="Arial" w:cs="Arial"/>
          <w:b/>
          <w:color w:val="000000"/>
          <w:sz w:val="20"/>
        </w:rPr>
        <w:t>Judges:</w:t>
      </w:r>
      <w:r>
        <w:rPr>
          <w:rFonts w:ascii="Arial" w:eastAsia="Arial" w:hAnsi="Arial" w:cs="Arial"/>
          <w:color w:val="000000"/>
          <w:sz w:val="20"/>
        </w:rPr>
        <w:t> Before KING, ELROD, and HAYNES, Circuit [**2]  Judges.</w:t>
      </w:r>
    </w:p>
    <w:p w:rsidR="00E456CD" w:rsidRDefault="00000000">
      <w:pPr>
        <w:pStyle w:val="Normal12"/>
        <w:widowControl w:val="0"/>
        <w:spacing w:before="240" w:line="260" w:lineRule="atLeast"/>
      </w:pPr>
      <w:bookmarkStart w:id="2514" w:name="Opinion_by_8"/>
      <w:bookmarkEnd w:id="2514"/>
      <w:r>
        <w:rPr>
          <w:rFonts w:ascii="Arial" w:eastAsia="Arial" w:hAnsi="Arial" w:cs="Arial"/>
          <w:b/>
          <w:color w:val="000000"/>
          <w:sz w:val="20"/>
        </w:rPr>
        <w:t>Opinion by:</w:t>
      </w:r>
      <w:r>
        <w:rPr>
          <w:rFonts w:ascii="Arial" w:eastAsia="Arial" w:hAnsi="Arial" w:cs="Arial"/>
          <w:color w:val="000000"/>
          <w:sz w:val="20"/>
        </w:rPr>
        <w:t> HAYNES</w:t>
      </w:r>
    </w:p>
    <w:p w:rsidR="00E456CD" w:rsidRDefault="00000000">
      <w:pPr>
        <w:pStyle w:val="Normal12"/>
        <w:keepNext/>
        <w:widowControl w:val="0"/>
        <w:spacing w:before="240" w:line="340" w:lineRule="atLeast"/>
      </w:pPr>
      <w:bookmarkStart w:id="2515" w:name="Opinion_11"/>
      <w:bookmarkEnd w:id="2515"/>
      <w:r>
        <w:rPr>
          <w:rFonts w:ascii="Arial" w:eastAsia="Arial" w:hAnsi="Arial" w:cs="Arial"/>
          <w:b/>
          <w:color w:val="000000"/>
          <w:sz w:val="28"/>
        </w:rPr>
        <w:t>Opinion</w:t>
      </w:r>
    </w:p>
    <w:p w:rsidR="00E456CD" w:rsidRDefault="00E22289">
      <w:pPr>
        <w:pStyle w:val="Normal12"/>
        <w:spacing w:line="60" w:lineRule="exact"/>
      </w:pPr>
      <w:r>
        <w:rPr>
          <w:noProof/>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019694128"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D466B" id="Line 2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2"/>
      </w:pPr>
    </w:p>
    <w:p w:rsidR="00E456CD" w:rsidRDefault="00000000">
      <w:pPr>
        <w:pStyle w:val="Normal12"/>
        <w:widowControl w:val="0"/>
        <w:spacing w:before="200" w:line="260" w:lineRule="atLeast"/>
        <w:jc w:val="both"/>
      </w:pPr>
      <w:bookmarkStart w:id="2516" w:name="Bookmark_para_2_11"/>
      <w:bookmarkEnd w:id="2516"/>
      <w:r>
        <w:rPr>
          <w:rFonts w:ascii="Arial" w:eastAsia="Arial" w:hAnsi="Arial" w:cs="Arial"/>
          <w:color w:val="000000"/>
          <w:sz w:val="20"/>
        </w:rPr>
        <w:t> [*325]  HAYNES, Circuit Judge:</w:t>
      </w:r>
    </w:p>
    <w:p w:rsidR="00E456CD" w:rsidRDefault="00000000">
      <w:pPr>
        <w:pStyle w:val="Normal12"/>
        <w:widowControl w:val="0"/>
        <w:spacing w:before="200" w:line="260" w:lineRule="atLeast"/>
        <w:jc w:val="both"/>
      </w:pPr>
      <w:bookmarkStart w:id="2517" w:name="Bookmark_para_3_11"/>
      <w:bookmarkEnd w:id="2517"/>
      <w:r>
        <w:rPr>
          <w:rFonts w:ascii="Arial" w:eastAsia="Arial" w:hAnsi="Arial" w:cs="Arial"/>
          <w:color w:val="000000"/>
          <w:sz w:val="20"/>
        </w:rPr>
        <w:t>CSL Plasma, Inc. is a plasma collection center that will pay anyone who passes its screening test to donate plasma. Mark Silguero and Amy Wolfe are both individuals with disabilities who attempted to donate plasma but whom CSL Plasma deferred for reasons they allege related to their disabilities. Silguero used a cane and had a limp; Wolfe had anxiety and required the use of a service animal. Silguero and Wolfe sued under the Americans with Disabilities Act ("ADA") and Chapter 121 of the Texas Human Resources Code ("THRC"). The district court granted summary judgment in CSL Plasma's favor. It concluded that those laws did not apply because CSL Plasma was neither a "public accommodation" under the ADA nor a "public facility" under the THRC.</w:t>
      </w:r>
    </w:p>
    <w:p w:rsidR="00E456CD" w:rsidRDefault="00000000">
      <w:pPr>
        <w:pStyle w:val="Normal12"/>
        <w:widowControl w:val="0"/>
        <w:spacing w:before="200" w:line="260" w:lineRule="atLeast"/>
        <w:jc w:val="both"/>
      </w:pPr>
      <w:bookmarkStart w:id="2518" w:name="Bookmark_para_4_11"/>
      <w:bookmarkEnd w:id="2518"/>
      <w:r>
        <w:rPr>
          <w:rFonts w:ascii="Arial" w:eastAsia="Arial" w:hAnsi="Arial" w:cs="Arial"/>
          <w:color w:val="000000"/>
          <w:sz w:val="20"/>
        </w:rPr>
        <w:t>We affirm the district court's decision regarding the scope of the ADA. The core dispute is whether CSL Plasma is a "service establishment" within the definition of "public accommodation." We conclude it is not. CSL Plasma does not provide any "service" to customers. Instead, it pays them for the inconvenience of donating plasma so that it can collect a commercially valuable asset. We certify the THRC questions to [**3]  the Supreme Court of Texas.</w:t>
      </w:r>
    </w:p>
    <w:p w:rsidR="00E456CD" w:rsidRDefault="00000000">
      <w:pPr>
        <w:pStyle w:val="Normal12"/>
        <w:widowControl w:val="0"/>
        <w:spacing w:before="240" w:line="260" w:lineRule="atLeast"/>
      </w:pPr>
      <w:r>
        <w:br/>
      </w:r>
      <w:r>
        <w:rPr>
          <w:rFonts w:ascii="Arial" w:eastAsia="Arial" w:hAnsi="Arial" w:cs="Arial"/>
          <w:b/>
          <w:color w:val="000000"/>
          <w:sz w:val="20"/>
        </w:rPr>
        <w:t>I. Background</w:t>
      </w:r>
    </w:p>
    <w:p w:rsidR="00E456CD" w:rsidRDefault="00000000">
      <w:pPr>
        <w:pStyle w:val="Normal12"/>
        <w:widowControl w:val="0"/>
        <w:spacing w:before="200" w:line="260" w:lineRule="atLeast"/>
        <w:jc w:val="both"/>
      </w:pPr>
      <w:bookmarkStart w:id="2519" w:name="Bookmark_para_5_11"/>
      <w:bookmarkEnd w:id="2519"/>
      <w:r>
        <w:rPr>
          <w:rFonts w:ascii="Arial" w:eastAsia="Arial" w:hAnsi="Arial" w:cs="Arial"/>
          <w:color w:val="000000"/>
          <w:sz w:val="20"/>
        </w:rPr>
        <w:t>CSL Plasma operates a network of plasma collection centers. It offers to pay members of the public to donate</w:t>
      </w:r>
      <w:r>
        <w:rPr>
          <w:rFonts w:ascii="Arial" w:eastAsia="Arial" w:hAnsi="Arial" w:cs="Arial"/>
          <w:vertAlign w:val="superscript"/>
        </w:rPr>
        <w:footnoteReference w:customMarkFollows="1" w:id="99"/>
        <w:t>1</w:t>
      </w:r>
      <w:r>
        <w:rPr>
          <w:rFonts w:ascii="Arial" w:eastAsia="Arial" w:hAnsi="Arial" w:cs="Arial"/>
          <w:color w:val="000000"/>
          <w:sz w:val="20"/>
        </w:rPr>
        <w:t xml:space="preserve"> plasma. Individuals who wish to donate must pass a screening evaluation that confirms that the individual donating and the plasma extracted meet Food and Drug Administration (FDA) regulations. Those who do not pass the screening, for whatever reason, are deferred—told they will not be permitted to donate and will not be paid.</w:t>
      </w:r>
    </w:p>
    <w:p w:rsidR="00E456CD" w:rsidRDefault="00000000">
      <w:pPr>
        <w:pStyle w:val="Normal12"/>
        <w:widowControl w:val="0"/>
        <w:spacing w:before="200" w:line="260" w:lineRule="atLeast"/>
        <w:jc w:val="both"/>
      </w:pPr>
      <w:bookmarkStart w:id="2521" w:name="Bookmark_para_6_11"/>
      <w:bookmarkEnd w:id="2521"/>
      <w:r>
        <w:rPr>
          <w:rFonts w:ascii="Arial" w:eastAsia="Arial" w:hAnsi="Arial" w:cs="Arial"/>
          <w:color w:val="000000"/>
          <w:sz w:val="20"/>
        </w:rPr>
        <w:t>Those who pass the screening are taken to a room where they are connected to specialized machinery that removes their blood, separates the plasma, and then re-circulates the remaining elements of blood into their system. After CSL Plasma extracts the plasma, it pays the individual. There is no indication in the record that members of the public pay CSL Plasma in exchange for plasma collection or that it offers any services for which the public can  [*326]  pay. CSL Plasma sells the plasma it collects to other private entities who use it for various medical purposes.</w:t>
      </w:r>
      <w:r>
        <w:rPr>
          <w:rFonts w:ascii="Arial" w:eastAsia="Arial" w:hAnsi="Arial" w:cs="Arial"/>
          <w:vertAlign w:val="superscript"/>
        </w:rPr>
        <w:footnoteReference w:customMarkFollows="1" w:id="100"/>
        <w:t>2</w:t>
      </w:r>
      <w:r>
        <w:rPr>
          <w:rFonts w:ascii="Arial" w:eastAsia="Arial" w:hAnsi="Arial" w:cs="Arial"/>
          <w:color w:val="000000"/>
          <w:sz w:val="20"/>
        </w:rPr>
        <w:t xml:space="preserve"> Nothing in the record indicates that CSL Plasma enters into any sort of contingency fee arrangement with members of the public, where the individual donating [**4]  receives a percentage of the eventual sale price.</w:t>
      </w:r>
    </w:p>
    <w:p w:rsidR="00E456CD" w:rsidRDefault="00000000">
      <w:pPr>
        <w:pStyle w:val="Normal12"/>
        <w:widowControl w:val="0"/>
        <w:spacing w:before="200" w:line="260" w:lineRule="atLeast"/>
        <w:jc w:val="both"/>
      </w:pPr>
      <w:bookmarkStart w:id="2523" w:name="Bookmark_para_7_11"/>
      <w:bookmarkEnd w:id="2523"/>
      <w:r>
        <w:rPr>
          <w:rFonts w:ascii="Arial" w:eastAsia="Arial" w:hAnsi="Arial" w:cs="Arial"/>
          <w:color w:val="000000"/>
          <w:sz w:val="20"/>
        </w:rPr>
        <w:t>Silguero and Wolfe are two individuals who attempted to donate plasma at CSL Plasma but were both deferred. Silguero had previously donated before his deferral, while Wolfe had never donated before. The parties dispute the precise motivation for why Silguero and Wolfe were each deferred. But all agree that the deferrals were based on pre-existing policies implicating Silguero's and Wolfe's disabilities.</w:t>
      </w:r>
      <w:r>
        <w:rPr>
          <w:rFonts w:ascii="Arial" w:eastAsia="Arial" w:hAnsi="Arial" w:cs="Arial"/>
          <w:vertAlign w:val="superscript"/>
        </w:rPr>
        <w:footnoteReference w:customMarkFollows="1" w:id="101"/>
        <w:t>3</w:t>
      </w:r>
    </w:p>
    <w:p w:rsidR="00E456CD" w:rsidRDefault="00000000">
      <w:pPr>
        <w:pStyle w:val="Normal12"/>
        <w:widowControl w:val="0"/>
        <w:spacing w:before="200" w:line="260" w:lineRule="atLeast"/>
        <w:jc w:val="both"/>
      </w:pPr>
      <w:bookmarkStart w:id="2525" w:name="Bookmark_para_8_11"/>
      <w:bookmarkEnd w:id="2525"/>
      <w:r>
        <w:rPr>
          <w:rFonts w:ascii="Arial" w:eastAsia="Arial" w:hAnsi="Arial" w:cs="Arial"/>
          <w:color w:val="000000"/>
          <w:sz w:val="20"/>
        </w:rPr>
        <w:t>Silguero was initially deferred in December 2013, and he says that the deferral was based on CSL Plasma's policy not to accept donors who have an "unsteady gait," though the precise reason for his initial deferral has changed over time. Silguero has bad knees and requires the use of a cane to walk. After the initial deferral, CSL Plasma permanently deferred him because he allegedly later threatened employees for initially deferring him. Silguero has presented evidence that he never threatened employees or reacted inappropriately to the initial deferral; he asserts that CSL Plasma's reason for his permanent deferral is essentially a pretext to cover for discrimination based on his disability. He remains permanently deferred.</w:t>
      </w:r>
      <w:r>
        <w:rPr>
          <w:rFonts w:ascii="Arial" w:eastAsia="Arial" w:hAnsi="Arial" w:cs="Arial"/>
          <w:vertAlign w:val="superscript"/>
        </w:rPr>
        <w:footnoteReference w:customMarkFollows="1" w:id="102"/>
        <w:t>4</w:t>
      </w:r>
    </w:p>
    <w:p w:rsidR="00E456CD" w:rsidRDefault="00000000">
      <w:pPr>
        <w:pStyle w:val="Normal12"/>
        <w:widowControl w:val="0"/>
        <w:spacing w:before="200" w:line="260" w:lineRule="atLeast"/>
        <w:jc w:val="both"/>
      </w:pPr>
      <w:bookmarkStart w:id="2527" w:name="Bookmark_para_9_11"/>
      <w:bookmarkEnd w:id="2527"/>
      <w:r>
        <w:rPr>
          <w:rFonts w:ascii="Arial" w:eastAsia="Arial" w:hAnsi="Arial" w:cs="Arial"/>
          <w:color w:val="000000"/>
          <w:sz w:val="20"/>
        </w:rPr>
        <w:t>Wolfe was deferred [**5]  in October 2016 based on CSL Plasma's policy not to accept donors whose anxiety was severe enough to require the use of a service animal.</w:t>
      </w:r>
      <w:r>
        <w:rPr>
          <w:rFonts w:ascii="Arial" w:eastAsia="Arial" w:hAnsi="Arial" w:cs="Arial"/>
          <w:vertAlign w:val="superscript"/>
        </w:rPr>
        <w:footnoteReference w:customMarkFollows="1" w:id="103"/>
        <w:t>5</w:t>
      </w:r>
      <w:r>
        <w:rPr>
          <w:rFonts w:ascii="Arial" w:eastAsia="Arial" w:hAnsi="Arial" w:cs="Arial"/>
          <w:color w:val="000000"/>
          <w:sz w:val="20"/>
        </w:rPr>
        <w:t xml:space="preserve"> The parties agree that CSL Plasma had a preexisting policy that applied to all individuals who used animals to treat anxiety. At the time Wolfe tried to donate, a doctor at CSL Plasma was contacted to verify that she would be unable to donate due to her service animal.</w:t>
      </w:r>
      <w:r>
        <w:rPr>
          <w:rFonts w:ascii="Arial" w:eastAsia="Arial" w:hAnsi="Arial" w:cs="Arial"/>
          <w:vertAlign w:val="superscript"/>
        </w:rPr>
        <w:footnoteReference w:customMarkFollows="1" w:id="104"/>
        <w:t>6</w:t>
      </w:r>
      <w:r>
        <w:rPr>
          <w:rFonts w:ascii="Arial" w:eastAsia="Arial" w:hAnsi="Arial" w:cs="Arial"/>
          <w:color w:val="000000"/>
          <w:sz w:val="20"/>
        </w:rPr>
        <w:t xml:space="preserve"> The record is unclear to what extent the doctor reviewed information unique to Wolfe. But regardless of her unique circumstances, she will be unable to donate so long as she uses her service animal to treat the anxiety.</w:t>
      </w:r>
    </w:p>
    <w:p w:rsidR="00E456CD" w:rsidRDefault="00000000">
      <w:pPr>
        <w:pStyle w:val="Normal12"/>
        <w:widowControl w:val="0"/>
        <w:spacing w:before="200" w:line="260" w:lineRule="atLeast"/>
        <w:jc w:val="both"/>
      </w:pPr>
      <w:bookmarkStart w:id="2530" w:name="Bookmark_para_10_11"/>
      <w:bookmarkEnd w:id="2530"/>
      <w:r>
        <w:rPr>
          <w:rFonts w:ascii="Arial" w:eastAsia="Arial" w:hAnsi="Arial" w:cs="Arial"/>
          <w:color w:val="000000"/>
          <w:sz w:val="20"/>
        </w:rPr>
        <w:t xml:space="preserve">Silguero and Wolfe both sued, alleging unlawful discrimination under Title III of the ADA, 42 U.S.C. § 12182,  [*327]  and </w:t>
      </w:r>
      <w:r>
        <w:rPr>
          <w:rFonts w:ascii="Arial" w:eastAsia="Arial" w:hAnsi="Arial" w:cs="Arial"/>
          <w:smallCaps/>
          <w:color w:val="000000"/>
          <w:sz w:val="20"/>
        </w:rPr>
        <w:t>Chapter 121 of the THRC, Tex. Hum. Res. Code</w:t>
      </w:r>
      <w:r>
        <w:rPr>
          <w:rFonts w:ascii="Arial" w:eastAsia="Arial" w:hAnsi="Arial" w:cs="Arial"/>
          <w:color w:val="000000"/>
          <w:sz w:val="20"/>
        </w:rPr>
        <w:t xml:space="preserve"> § 121.001 </w:t>
      </w:r>
      <w:r>
        <w:rPr>
          <w:rFonts w:ascii="Arial" w:eastAsia="Arial" w:hAnsi="Arial" w:cs="Arial"/>
          <w:i/>
          <w:color w:val="000000"/>
          <w:sz w:val="20"/>
        </w:rPr>
        <w:t>et seq.</w:t>
      </w:r>
      <w:r>
        <w:rPr>
          <w:rFonts w:ascii="Arial" w:eastAsia="Arial" w:hAnsi="Arial" w:cs="Arial"/>
          <w:color w:val="000000"/>
          <w:sz w:val="20"/>
        </w:rPr>
        <w:t xml:space="preserve"> CSL Plasma moved for summary judgment, arguing that it was neither a "public accommodation" under the ADA nor a "public facility" under the THRC. It also argued that Silguero and Wolfe could not identify a genuine issue of material fact or show that CSL Plasma had done anything other than impose a legitimate safety requirement. The district court granted summary judgment, concluding that neither the ADA nor the THRC applied to CSL Plasma. It did [**6]  not address CSL Plasma's other arguments. Silguero and Wolfe now appeal.</w:t>
      </w:r>
    </w:p>
    <w:p w:rsidR="00E456CD" w:rsidRDefault="00000000">
      <w:pPr>
        <w:pStyle w:val="Normal12"/>
        <w:widowControl w:val="0"/>
        <w:spacing w:before="240" w:line="260" w:lineRule="atLeast"/>
      </w:pPr>
      <w:r>
        <w:br/>
      </w:r>
      <w:r>
        <w:rPr>
          <w:rFonts w:ascii="Arial" w:eastAsia="Arial" w:hAnsi="Arial" w:cs="Arial"/>
          <w:b/>
          <w:color w:val="000000"/>
          <w:sz w:val="20"/>
        </w:rPr>
        <w:t>II. Standard of Review</w:t>
      </w:r>
    </w:p>
    <w:p w:rsidR="00E456CD" w:rsidRDefault="00000000">
      <w:pPr>
        <w:pStyle w:val="Normal12"/>
        <w:widowControl w:val="0"/>
        <w:spacing w:before="200" w:line="260" w:lineRule="atLeast"/>
        <w:jc w:val="both"/>
      </w:pPr>
      <w:bookmarkStart w:id="2531" w:name="Bookmark_para_11_11"/>
      <w:bookmarkStart w:id="2532" w:name="Bookmark_I5TK4K2B2N1RB30020000400"/>
      <w:bookmarkStart w:id="2533" w:name="Bookmark_LNHNREFclscc1_9"/>
      <w:bookmarkEnd w:id="2531"/>
      <w:bookmarkEnd w:id="2532"/>
      <w:bookmarkEnd w:id="2533"/>
      <w:r>
        <w:rPr>
          <w:rFonts w:ascii="Arial" w:eastAsia="Arial" w:hAnsi="Arial" w:cs="Arial"/>
          <w:color w:val="000000"/>
          <w:sz w:val="20"/>
        </w:rPr>
        <w:t xml:space="preserve">This court reviews de novo a district court's grant of summary judgment, applying the same standard as the district court. </w:t>
      </w:r>
      <w:bookmarkStart w:id="2534" w:name="Bookmark_I5TK4K2B2SF8970010000400"/>
      <w:bookmarkStart w:id="2535" w:name="Bookmark_I5TK4K2B2N1RB30010000400"/>
      <w:bookmarkEnd w:id="2534"/>
      <w:bookmarkEnd w:id="2535"/>
      <w:r>
        <w:rPr>
          <w:rFonts w:ascii="Arial" w:eastAsia="Arial" w:hAnsi="Arial" w:cs="Arial"/>
          <w:i/>
          <w:color w:val="000000"/>
          <w:sz w:val="20"/>
        </w:rPr>
        <w:t>Austin v. Kroger Tex., L.P</w:t>
      </w:r>
      <w:r>
        <w:rPr>
          <w:rFonts w:ascii="Arial" w:eastAsia="Arial" w:hAnsi="Arial" w:cs="Arial"/>
          <w:color w:val="000000"/>
          <w:sz w:val="20"/>
        </w:rPr>
        <w:t xml:space="preserve">., 864 F.3d 326, 328 (5th Cir. 2017) (citing </w:t>
      </w:r>
      <w:bookmarkStart w:id="2536" w:name="Bookmark_I5TK4K2B2N1RB30030000400"/>
      <w:bookmarkEnd w:id="2536"/>
      <w:r>
        <w:rPr>
          <w:rFonts w:ascii="Arial" w:eastAsia="Arial" w:hAnsi="Arial" w:cs="Arial"/>
          <w:i/>
          <w:color w:val="000000"/>
          <w:sz w:val="20"/>
        </w:rPr>
        <w:t>Ford Motor Co. v. Tex. Dep't of Transp</w:t>
      </w:r>
      <w:r>
        <w:rPr>
          <w:rFonts w:ascii="Arial" w:eastAsia="Arial" w:hAnsi="Arial" w:cs="Arial"/>
          <w:color w:val="000000"/>
          <w:sz w:val="20"/>
        </w:rPr>
        <w:t xml:space="preserve">., 264 F.3d 493, 498 (5th Cir. 2001)). It reviews all evidence in the light most favorable to Silguero and Wolfe, the non-moving parties. </w:t>
      </w:r>
      <w:bookmarkStart w:id="2537" w:name="Bookmark_I5TK4K2B2SF8970010000400_2"/>
      <w:bookmarkEnd w:id="2537"/>
      <w:r>
        <w:rPr>
          <w:rFonts w:ascii="Arial" w:eastAsia="Arial" w:hAnsi="Arial" w:cs="Arial"/>
          <w:i/>
          <w:color w:val="000000"/>
          <w:sz w:val="20"/>
        </w:rPr>
        <w:t xml:space="preserve">See </w:t>
      </w:r>
      <w:bookmarkStart w:id="2538" w:name="Bookmark_I5TK4K2B2N1RB30050000400"/>
      <w:bookmarkEnd w:id="2538"/>
      <w:r>
        <w:rPr>
          <w:rFonts w:ascii="Arial" w:eastAsia="Arial" w:hAnsi="Arial" w:cs="Arial"/>
          <w:i/>
          <w:color w:val="000000"/>
          <w:sz w:val="20"/>
        </w:rPr>
        <w:t>id.</w:t>
      </w:r>
      <w:r>
        <w:rPr>
          <w:rFonts w:ascii="Arial" w:eastAsia="Arial" w:hAnsi="Arial" w:cs="Arial"/>
          <w:color w:val="000000"/>
          <w:sz w:val="20"/>
        </w:rPr>
        <w:t xml:space="preserve"> at 328-29.</w:t>
      </w:r>
    </w:p>
    <w:p w:rsidR="00E456CD" w:rsidRDefault="00000000">
      <w:pPr>
        <w:pStyle w:val="Normal12"/>
        <w:widowControl w:val="0"/>
        <w:spacing w:before="240" w:line="260" w:lineRule="atLeast"/>
      </w:pPr>
      <w:r>
        <w:br/>
      </w:r>
      <w:r>
        <w:rPr>
          <w:rFonts w:ascii="Arial" w:eastAsia="Arial" w:hAnsi="Arial" w:cs="Arial"/>
          <w:b/>
          <w:color w:val="000000"/>
          <w:sz w:val="20"/>
        </w:rPr>
        <w:t>III. Discussion</w:t>
      </w:r>
    </w:p>
    <w:p w:rsidR="00E456CD" w:rsidRDefault="00000000">
      <w:pPr>
        <w:pStyle w:val="Normal12"/>
        <w:widowControl w:val="0"/>
        <w:spacing w:before="200" w:line="260" w:lineRule="atLeast"/>
        <w:jc w:val="both"/>
      </w:pPr>
      <w:bookmarkStart w:id="2539" w:name="Bookmark_para_12_10"/>
      <w:bookmarkEnd w:id="2539"/>
      <w:r>
        <w:rPr>
          <w:rFonts w:ascii="Arial" w:eastAsia="Arial" w:hAnsi="Arial" w:cs="Arial"/>
          <w:color w:val="000000"/>
          <w:sz w:val="20"/>
        </w:rPr>
        <w:t>We first address why we agree with the district court that CSL Plasma is not a "public accommodation" under the ADA. We then explain why we certify questions about the THRC to the Supreme Court of Texas and set out the necessary information for the Supreme Court of Texas to answer the questions.</w:t>
      </w:r>
    </w:p>
    <w:p w:rsidR="00E456CD" w:rsidRDefault="00000000">
      <w:pPr>
        <w:pStyle w:val="Normal12"/>
        <w:widowControl w:val="0"/>
        <w:spacing w:before="240" w:line="260" w:lineRule="atLeast"/>
      </w:pPr>
      <w:r>
        <w:br/>
      </w:r>
      <w:r>
        <w:rPr>
          <w:rFonts w:ascii="Arial" w:eastAsia="Arial" w:hAnsi="Arial" w:cs="Arial"/>
          <w:b/>
          <w:color w:val="000000"/>
          <w:sz w:val="20"/>
        </w:rPr>
        <w:t>A. ADA Claim</w:t>
      </w:r>
    </w:p>
    <w:p w:rsidR="00E456CD" w:rsidRDefault="00000000">
      <w:pPr>
        <w:pStyle w:val="Normal12"/>
        <w:widowControl w:val="0"/>
        <w:spacing w:before="200" w:line="260" w:lineRule="atLeast"/>
        <w:jc w:val="both"/>
      </w:pPr>
      <w:bookmarkStart w:id="2540" w:name="Bookmark_para_13_9"/>
      <w:bookmarkEnd w:id="2540"/>
      <w:r>
        <w:rPr>
          <w:rFonts w:ascii="Arial" w:eastAsia="Arial" w:hAnsi="Arial" w:cs="Arial"/>
          <w:color w:val="000000"/>
          <w:sz w:val="20"/>
        </w:rPr>
        <w:t xml:space="preserve">The crux of this case is whether CSL Plasma is a "service establishment" under 42 U.S.C. § 12181(7)(F). If it is, then it is a "place of public accommodation," and Title III of the ADA applies to it. </w:t>
      </w:r>
      <w:r>
        <w:rPr>
          <w:rFonts w:ascii="Arial" w:eastAsia="Arial" w:hAnsi="Arial" w:cs="Arial"/>
          <w:i/>
          <w:color w:val="000000"/>
          <w:sz w:val="20"/>
        </w:rPr>
        <w:t>See</w:t>
      </w:r>
      <w:r>
        <w:rPr>
          <w:rFonts w:ascii="Arial" w:eastAsia="Arial" w:hAnsi="Arial" w:cs="Arial"/>
          <w:color w:val="000000"/>
          <w:sz w:val="20"/>
        </w:rPr>
        <w:t xml:space="preserve"> 42 U.S.C. § 12182(a). If it is not, then it cannot be held liable for discrimination under Title III.</w:t>
      </w:r>
      <w:r>
        <w:rPr>
          <w:rFonts w:ascii="Arial" w:eastAsia="Arial" w:hAnsi="Arial" w:cs="Arial"/>
          <w:vertAlign w:val="superscript"/>
        </w:rPr>
        <w:footnoteReference w:customMarkFollows="1" w:id="105"/>
        <w:t>7</w:t>
      </w:r>
    </w:p>
    <w:p w:rsidR="00E456CD" w:rsidRDefault="00000000">
      <w:pPr>
        <w:pStyle w:val="Normal12"/>
        <w:widowControl w:val="0"/>
        <w:spacing w:before="200" w:line="260" w:lineRule="atLeast"/>
        <w:jc w:val="both"/>
      </w:pPr>
      <w:bookmarkStart w:id="2542" w:name="Bookmark_para_14_9"/>
      <w:bookmarkStart w:id="2543" w:name="Bookmark_LNHNREFclscc2_9"/>
      <w:bookmarkEnd w:id="2542"/>
      <w:bookmarkEnd w:id="2543"/>
      <w:r>
        <w:rPr>
          <w:rFonts w:ascii="Arial" w:eastAsia="Arial" w:hAnsi="Arial" w:cs="Arial"/>
          <w:color w:val="000000"/>
          <w:sz w:val="20"/>
        </w:rPr>
        <w:t>The term "service establishment" appears in the definition of public accommodation. The definition includes twelve different categories of accommodations. The single category at issue in this case includes an enumerated list of fifteen establishments, followed by the catchall phrase [**7]  "or other service establishment." 42 U.S.C. § 12181(7)(F).</w:t>
      </w:r>
      <w:r>
        <w:rPr>
          <w:rFonts w:ascii="Arial" w:eastAsia="Arial" w:hAnsi="Arial" w:cs="Arial"/>
          <w:vertAlign w:val="superscript"/>
        </w:rPr>
        <w:footnoteReference w:customMarkFollows="1" w:id="106"/>
        <w:t>8</w:t>
      </w:r>
      <w:r>
        <w:rPr>
          <w:rFonts w:ascii="Arial" w:eastAsia="Arial" w:hAnsi="Arial" w:cs="Arial"/>
          <w:color w:val="000000"/>
          <w:sz w:val="20"/>
        </w:rPr>
        <w:t xml:space="preserve"> Silguero and Wolfe do not argue that plasma collection centers are among the enumerated items listed in that category.</w:t>
      </w:r>
    </w:p>
    <w:p w:rsidR="00E456CD" w:rsidRDefault="00000000">
      <w:pPr>
        <w:pStyle w:val="Normal12"/>
        <w:widowControl w:val="0"/>
        <w:spacing w:before="200" w:line="260" w:lineRule="atLeast"/>
        <w:jc w:val="both"/>
      </w:pPr>
      <w:bookmarkStart w:id="2545" w:name="Bookmark_para_15_9"/>
      <w:bookmarkEnd w:id="2545"/>
      <w:r>
        <w:rPr>
          <w:rFonts w:ascii="Arial" w:eastAsia="Arial" w:hAnsi="Arial" w:cs="Arial"/>
          <w:color w:val="000000"/>
          <w:sz w:val="20"/>
        </w:rPr>
        <w:t>Instead, the dispute is over the catchall phrase "other service establishment."</w:t>
      </w:r>
      <w:r>
        <w:rPr>
          <w:rFonts w:ascii="Arial" w:eastAsia="Arial" w:hAnsi="Arial" w:cs="Arial"/>
          <w:vertAlign w:val="superscript"/>
        </w:rPr>
        <w:footnoteReference w:customMarkFollows="1" w:id="107"/>
        <w:t>9</w:t>
      </w:r>
      <w:r>
        <w:rPr>
          <w:rFonts w:ascii="Arial" w:eastAsia="Arial" w:hAnsi="Arial" w:cs="Arial"/>
          <w:color w:val="000000"/>
          <w:sz w:val="20"/>
        </w:rPr>
        <w:t xml:space="preserve">  [*328]  The parties agree that a "service establishment" is, unsurprisingly, an "establishment" providing "services" to others. They also agree that CSL Plasma is an "establishment." They disagree about whether CSL Plasma provides "services" to others.</w:t>
      </w:r>
      <w:r>
        <w:rPr>
          <w:rFonts w:ascii="Arial" w:eastAsia="Arial" w:hAnsi="Arial" w:cs="Arial"/>
          <w:vertAlign w:val="superscript"/>
        </w:rPr>
        <w:footnoteReference w:customMarkFollows="1" w:id="108"/>
        <w:t>10</w:t>
      </w:r>
    </w:p>
    <w:p w:rsidR="00E456CD" w:rsidRDefault="00000000">
      <w:pPr>
        <w:pStyle w:val="Normal12"/>
        <w:widowControl w:val="0"/>
        <w:spacing w:before="200" w:line="260" w:lineRule="atLeast"/>
        <w:jc w:val="both"/>
      </w:pPr>
      <w:bookmarkStart w:id="2558" w:name="Bookmark_para_16_9"/>
      <w:bookmarkEnd w:id="2558"/>
      <w:r>
        <w:rPr>
          <w:rFonts w:ascii="Arial" w:eastAsia="Arial" w:hAnsi="Arial" w:cs="Arial"/>
          <w:color w:val="000000"/>
          <w:sz w:val="20"/>
        </w:rPr>
        <w:t xml:space="preserve">The word "service" generally denotes some "helpful act" or an "act giving assistance or advantage to another." </w:t>
      </w:r>
      <w:r>
        <w:rPr>
          <w:rFonts w:ascii="Arial" w:eastAsia="Arial" w:hAnsi="Arial" w:cs="Arial"/>
          <w:i/>
          <w:color w:val="000000"/>
          <w:sz w:val="20"/>
        </w:rPr>
        <w:t>See Service</w:t>
      </w:r>
      <w:r>
        <w:rPr>
          <w:rFonts w:ascii="Arial" w:eastAsia="Arial" w:hAnsi="Arial" w:cs="Arial"/>
          <w:color w:val="000000"/>
          <w:sz w:val="20"/>
        </w:rPr>
        <w:t xml:space="preserve">, </w:t>
      </w:r>
      <w:r>
        <w:rPr>
          <w:rFonts w:ascii="Arial" w:eastAsia="Arial" w:hAnsi="Arial" w:cs="Arial"/>
          <w:smallCaps/>
          <w:color w:val="000000"/>
          <w:sz w:val="20"/>
        </w:rPr>
        <w:t>Merriam-Webster Collegiate Dictionary</w:t>
      </w:r>
      <w:r>
        <w:rPr>
          <w:rFonts w:ascii="Arial" w:eastAsia="Arial" w:hAnsi="Arial" w:cs="Arial"/>
          <w:color w:val="000000"/>
          <w:sz w:val="20"/>
        </w:rPr>
        <w:t xml:space="preserve"> (10th ed. 1993); </w:t>
      </w:r>
      <w:r>
        <w:rPr>
          <w:rFonts w:ascii="Arial" w:eastAsia="Arial" w:hAnsi="Arial" w:cs="Arial"/>
          <w:i/>
          <w:color w:val="000000"/>
          <w:sz w:val="20"/>
        </w:rPr>
        <w:t>Service</w:t>
      </w:r>
      <w:r>
        <w:rPr>
          <w:rFonts w:ascii="Arial" w:eastAsia="Arial" w:hAnsi="Arial" w:cs="Arial"/>
          <w:color w:val="000000"/>
          <w:sz w:val="20"/>
        </w:rPr>
        <w:t xml:space="preserve">, </w:t>
      </w:r>
      <w:r>
        <w:rPr>
          <w:rFonts w:ascii="Arial" w:eastAsia="Arial" w:hAnsi="Arial" w:cs="Arial"/>
          <w:smallCaps/>
          <w:color w:val="000000"/>
          <w:sz w:val="20"/>
        </w:rPr>
        <w:t>Webster New World Collegiate Dictionary</w:t>
      </w:r>
      <w:r>
        <w:rPr>
          <w:rFonts w:ascii="Arial" w:eastAsia="Arial" w:hAnsi="Arial" w:cs="Arial"/>
          <w:color w:val="000000"/>
          <w:sz w:val="20"/>
        </w:rPr>
        <w:t xml:space="preserve"> (3d ed. 1996). The adjective "helpful" in the first definition implies that someone receives help from the act. In the second definition, the verb "giving" and the preposition "to" indicate that the "assistance or advantage" is conveyed from the act to the individual. Congress's use of the word "service" thus suggests not only that the establishment performed some action but also that the action helped or benefited the recipient. In the case of a "service [**8]  establishment," the establishment serves the members of the public who are "helped" or "benefited" by the service. Other definitions from authoritative dictionaries bolster this reading. For example, service can also be defined as "the provision (of labour, material appliances, etc.) for the carrying out of some work for which there is constant public demand." </w:t>
      </w:r>
      <w:r>
        <w:rPr>
          <w:rFonts w:ascii="Arial" w:eastAsia="Arial" w:hAnsi="Arial" w:cs="Arial"/>
          <w:i/>
          <w:color w:val="000000"/>
          <w:sz w:val="20"/>
        </w:rPr>
        <w:t>Service</w:t>
      </w:r>
      <w:r>
        <w:rPr>
          <w:rFonts w:ascii="Arial" w:eastAsia="Arial" w:hAnsi="Arial" w:cs="Arial"/>
          <w:color w:val="000000"/>
          <w:sz w:val="20"/>
        </w:rPr>
        <w:t xml:space="preserve">, </w:t>
      </w:r>
      <w:r>
        <w:rPr>
          <w:rFonts w:ascii="Arial" w:eastAsia="Arial" w:hAnsi="Arial" w:cs="Arial"/>
          <w:smallCaps/>
          <w:color w:val="000000"/>
          <w:sz w:val="20"/>
        </w:rPr>
        <w:t>Oxford-English Dictionary</w:t>
      </w:r>
      <w:r>
        <w:rPr>
          <w:rFonts w:ascii="Arial" w:eastAsia="Arial" w:hAnsi="Arial" w:cs="Arial"/>
          <w:color w:val="000000"/>
          <w:sz w:val="20"/>
        </w:rPr>
        <w:t xml:space="preserve"> (2d ed. 1988); </w:t>
      </w:r>
      <w:r>
        <w:rPr>
          <w:rFonts w:ascii="Arial" w:eastAsia="Arial" w:hAnsi="Arial" w:cs="Arial"/>
          <w:i/>
          <w:color w:val="000000"/>
          <w:sz w:val="20"/>
        </w:rPr>
        <w:t>see also Service</w:t>
      </w:r>
      <w:r>
        <w:rPr>
          <w:rFonts w:ascii="Arial" w:eastAsia="Arial" w:hAnsi="Arial" w:cs="Arial"/>
          <w:color w:val="000000"/>
          <w:sz w:val="20"/>
        </w:rPr>
        <w:t xml:space="preserve">, </w:t>
      </w:r>
      <w:r>
        <w:rPr>
          <w:rFonts w:ascii="Arial" w:eastAsia="Arial" w:hAnsi="Arial" w:cs="Arial"/>
          <w:smallCaps/>
          <w:color w:val="000000"/>
          <w:sz w:val="20"/>
        </w:rPr>
        <w:t>Random House Dictionary</w:t>
      </w:r>
      <w:r>
        <w:rPr>
          <w:rFonts w:ascii="Arial" w:eastAsia="Arial" w:hAnsi="Arial" w:cs="Arial"/>
          <w:color w:val="000000"/>
          <w:sz w:val="20"/>
        </w:rPr>
        <w:t xml:space="preserve"> (2d ed. 1987) ("[T]he organized system of apparatus, appliances, employees, etc., for supplying some accommodation required by the public."). The "provision" of the "work" goes to the "public" who "demands" it.</w:t>
      </w:r>
      <w:r>
        <w:rPr>
          <w:rFonts w:ascii="Arial" w:eastAsia="Arial" w:hAnsi="Arial" w:cs="Arial"/>
          <w:vertAlign w:val="superscript"/>
        </w:rPr>
        <w:footnoteReference w:customMarkFollows="1" w:id="109"/>
        <w:t>11</w:t>
      </w:r>
    </w:p>
    <w:p w:rsidR="00E456CD" w:rsidRDefault="00000000">
      <w:pPr>
        <w:pStyle w:val="Normal12"/>
        <w:widowControl w:val="0"/>
        <w:spacing w:before="200" w:line="260" w:lineRule="atLeast"/>
        <w:jc w:val="both"/>
      </w:pPr>
      <w:bookmarkStart w:id="2560" w:name="Bookmark_para_17_8"/>
      <w:bookmarkStart w:id="2561" w:name="Bookmark_I5KTRGC3YYX000558V400003"/>
      <w:bookmarkStart w:id="2562" w:name="Bookmark_I5TK4K2B28T40K0050000400"/>
      <w:bookmarkStart w:id="2563" w:name="Bookmark_I5KTRGC43T2000558V400004"/>
      <w:bookmarkStart w:id="2564" w:name="Bookmark_I5TK4K2B2D6N610020000400"/>
      <w:bookmarkEnd w:id="2560"/>
      <w:bookmarkEnd w:id="2561"/>
      <w:bookmarkEnd w:id="2562"/>
      <w:bookmarkEnd w:id="2563"/>
      <w:bookmarkEnd w:id="2564"/>
      <w:r>
        <w:rPr>
          <w:rFonts w:ascii="Arial" w:eastAsia="Arial" w:hAnsi="Arial" w:cs="Arial"/>
          <w:color w:val="000000"/>
          <w:sz w:val="20"/>
        </w:rPr>
        <w:t xml:space="preserve">Based on these dictionary definitions, </w:t>
      </w:r>
      <w:bookmarkStart w:id="2565" w:name="Bookmark_LNHNREFclscc3_8"/>
      <w:bookmarkEnd w:id="2565"/>
      <w:r>
        <w:rPr>
          <w:rFonts w:ascii="Arial" w:eastAsia="Arial" w:hAnsi="Arial" w:cs="Arial"/>
          <w:color w:val="000000"/>
          <w:sz w:val="20"/>
        </w:rPr>
        <w:t>a "service establishment" is an establishment that performs some act or work for an individual who benefits from the act or work.</w:t>
      </w:r>
      <w:r>
        <w:rPr>
          <w:rFonts w:ascii="Arial" w:eastAsia="Arial" w:hAnsi="Arial" w:cs="Arial"/>
          <w:vertAlign w:val="superscript"/>
        </w:rPr>
        <w:footnoteReference w:customMarkFollows="1" w:id="110"/>
        <w:t>12</w:t>
      </w:r>
      <w:r>
        <w:rPr>
          <w:rFonts w:ascii="Arial" w:eastAsia="Arial" w:hAnsi="Arial" w:cs="Arial"/>
          <w:color w:val="000000"/>
          <w:sz w:val="20"/>
        </w:rPr>
        <w:t xml:space="preserve"> Our definition is materially similar to the one developed by the Tenth Circuit, the only other federal court of appeals to address the ADA's applicability to plasma collection centers. </w:t>
      </w:r>
      <w:r>
        <w:rPr>
          <w:rFonts w:ascii="Arial" w:eastAsia="Arial" w:hAnsi="Arial" w:cs="Arial"/>
          <w:i/>
          <w:color w:val="000000"/>
          <w:sz w:val="20"/>
        </w:rPr>
        <w:t xml:space="preserve">See </w:t>
      </w:r>
      <w:bookmarkStart w:id="2572" w:name="Bookmark_I5TK4K2B28T40K0040000400"/>
      <w:bookmarkEnd w:id="2572"/>
      <w:r>
        <w:rPr>
          <w:rFonts w:ascii="Arial" w:eastAsia="Arial" w:hAnsi="Arial" w:cs="Arial"/>
          <w:i/>
          <w:color w:val="000000"/>
          <w:sz w:val="20"/>
        </w:rPr>
        <w:t>Levorsen v. Octapharma Plasma, Inc</w:t>
      </w:r>
      <w:r>
        <w:rPr>
          <w:rFonts w:ascii="Arial" w:eastAsia="Arial" w:hAnsi="Arial" w:cs="Arial"/>
          <w:color w:val="000000"/>
          <w:sz w:val="20"/>
        </w:rPr>
        <w:t xml:space="preserve">., 828 F.3d 1227 (10th Cir. 2016). It defined a "service establishment" to mean "a place of business  [*329]  or a public or private institution that, by its conduct or performance, assists [**9]  or benefits someone or something or provides useful labor without producing a tangible good for a customer or client." </w:t>
      </w:r>
      <w:bookmarkStart w:id="2573" w:name="Bookmark_I5TK4K2B2D6N610010000400"/>
      <w:bookmarkEnd w:id="2573"/>
      <w:r>
        <w:rPr>
          <w:rFonts w:ascii="Arial" w:eastAsia="Arial" w:hAnsi="Arial" w:cs="Arial"/>
          <w:i/>
          <w:color w:val="000000"/>
          <w:sz w:val="20"/>
        </w:rPr>
        <w:t>Id.</w:t>
      </w:r>
      <w:r>
        <w:rPr>
          <w:rFonts w:ascii="Arial" w:eastAsia="Arial" w:hAnsi="Arial" w:cs="Arial"/>
          <w:color w:val="000000"/>
          <w:sz w:val="20"/>
        </w:rPr>
        <w:t xml:space="preserve"> at 1231. Though its definition has additional verbs, each of the verbs connote aid or benefit performed by the establishment for the customer.</w:t>
      </w:r>
      <w:r>
        <w:rPr>
          <w:rFonts w:ascii="Arial" w:eastAsia="Arial" w:hAnsi="Arial" w:cs="Arial"/>
          <w:vertAlign w:val="superscript"/>
        </w:rPr>
        <w:footnoteReference w:customMarkFollows="1" w:id="111"/>
        <w:t>13</w:t>
      </w:r>
    </w:p>
    <w:p w:rsidR="00E456CD" w:rsidRDefault="00000000">
      <w:pPr>
        <w:pStyle w:val="Normal12"/>
        <w:widowControl w:val="0"/>
        <w:spacing w:before="200" w:line="260" w:lineRule="atLeast"/>
        <w:jc w:val="both"/>
      </w:pPr>
      <w:bookmarkStart w:id="2575" w:name="Bookmark_para_18_8"/>
      <w:bookmarkEnd w:id="2575"/>
      <w:r>
        <w:rPr>
          <w:rFonts w:ascii="Arial" w:eastAsia="Arial" w:hAnsi="Arial" w:cs="Arial"/>
          <w:color w:val="000000"/>
          <w:sz w:val="20"/>
        </w:rPr>
        <w:t>We disagree with the Tenth Circuit, however, about whether plasma collection centers provide a "service" to customers. Three textual clues lead us to that result. First, the word "service" implies that the customer is benefitted by the act, and no such benefit occurs here. Second, the list preceding the catchall term "other service establishment" does not include any establishments that provide a "service" without a detectable benefit to the customer. Finally, third, the structure of the ADA indicates that an establishment typically does not pay a customer for a "service" it provides.</w:t>
      </w:r>
    </w:p>
    <w:p w:rsidR="00E456CD" w:rsidRDefault="00000000">
      <w:pPr>
        <w:pStyle w:val="Normal12"/>
        <w:widowControl w:val="0"/>
        <w:spacing w:before="200" w:line="260" w:lineRule="atLeast"/>
        <w:jc w:val="both"/>
      </w:pPr>
      <w:bookmarkStart w:id="2576" w:name="Bookmark_para_19_8"/>
      <w:bookmarkEnd w:id="2576"/>
      <w:r>
        <w:rPr>
          <w:rFonts w:ascii="Arial" w:eastAsia="Arial" w:hAnsi="Arial" w:cs="Arial"/>
          <w:color w:val="000000"/>
          <w:sz w:val="20"/>
        </w:rPr>
        <w:t>First, the words "service establishment" alone imply that the plasma donation at issue here is not a "service." As our review of the dictionary definitions above demonstrates, the "service" in "service establishment" is generally viewed as flowing from the establishment to an individual. Here, donors receive no obvious "benefit" or "help" which would [**10]  make the plasma collection center's act a "service." They are hooked up to a machine and drained of life-sustaining fluid, subjecting them to discomfort and medical risks. Donors do not have the plasma earmarked for themselves or to aid a specific third party for whom they are concerned. Instead, the plasma becomes the property of the plasma collection center to do with it whatever it pleases. The labor is not "useful" to the donor; it is "useful" to the establishment. The donor is benefitted only by the payment of money, which is wholly collateral to the act of plasma collection. Thus, as plasma collection occurs in this case, the individual performs a service for the establishment, not the other way around.</w:t>
      </w:r>
    </w:p>
    <w:p w:rsidR="00E456CD" w:rsidRDefault="00000000">
      <w:pPr>
        <w:pStyle w:val="Normal12"/>
        <w:widowControl w:val="0"/>
        <w:spacing w:before="200" w:line="260" w:lineRule="atLeast"/>
        <w:jc w:val="both"/>
      </w:pPr>
      <w:bookmarkStart w:id="2577" w:name="Bookmark_para_20_8"/>
      <w:bookmarkStart w:id="2578" w:name="Bookmark_I5TK4K2B28T40M0030000400"/>
      <w:bookmarkEnd w:id="2577"/>
      <w:bookmarkEnd w:id="2578"/>
      <w:r>
        <w:rPr>
          <w:rFonts w:ascii="Arial" w:eastAsia="Arial" w:hAnsi="Arial" w:cs="Arial"/>
          <w:color w:val="000000"/>
          <w:sz w:val="20"/>
        </w:rPr>
        <w:t xml:space="preserve">Second, this reading of "service establishment" is bolstered by the enumerated list preceding that catchall phrase. </w:t>
      </w:r>
      <w:bookmarkStart w:id="2579" w:name="Bookmark_LNHNREFclscc4_8"/>
      <w:bookmarkEnd w:id="2579"/>
      <w:r>
        <w:rPr>
          <w:rFonts w:ascii="Arial" w:eastAsia="Arial" w:hAnsi="Arial" w:cs="Arial"/>
          <w:color w:val="000000"/>
          <w:sz w:val="20"/>
        </w:rPr>
        <w:t xml:space="preserve">Generally, a catchall phrase should be read in light of the preceding list, an interpretive maxim known as ejusdem generis ("of the same kind"). </w:t>
      </w:r>
      <w:r>
        <w:rPr>
          <w:rFonts w:ascii="Arial" w:eastAsia="Arial" w:hAnsi="Arial" w:cs="Arial"/>
          <w:i/>
          <w:color w:val="000000"/>
          <w:sz w:val="20"/>
        </w:rPr>
        <w:t xml:space="preserve">See </w:t>
      </w:r>
      <w:bookmarkStart w:id="2580" w:name="Bookmark_I5TK4K2B28T40M0020000400"/>
      <w:bookmarkEnd w:id="2580"/>
      <w:r>
        <w:rPr>
          <w:rFonts w:ascii="Arial" w:eastAsia="Arial" w:hAnsi="Arial" w:cs="Arial"/>
          <w:i/>
          <w:color w:val="000000"/>
          <w:sz w:val="20"/>
        </w:rPr>
        <w:t>Norfolk &amp; W. Ry. Co. v. Am. Train Dispatchers' Ass'n</w:t>
      </w:r>
      <w:r>
        <w:rPr>
          <w:rFonts w:ascii="Arial" w:eastAsia="Arial" w:hAnsi="Arial" w:cs="Arial"/>
          <w:color w:val="000000"/>
          <w:sz w:val="20"/>
        </w:rPr>
        <w:t xml:space="preserve">, 499 U.S. 117, 129, 111 S. Ct. 1156, 113 L. Ed. 2d 95 (1991). </w:t>
      </w:r>
      <w:bookmarkStart w:id="2581" w:name="Bookmark_I5TK4K2B28T40M0050000400"/>
      <w:bookmarkEnd w:id="2581"/>
      <w:r>
        <w:rPr>
          <w:rFonts w:ascii="Arial" w:eastAsia="Arial" w:hAnsi="Arial" w:cs="Arial"/>
          <w:color w:val="000000"/>
          <w:sz w:val="20"/>
        </w:rPr>
        <w:t xml:space="preserve">Silguero and Wolfe argue we should not apply ejusdem generis here for two reasons. </w:t>
      </w:r>
      <w:bookmarkStart w:id="2582" w:name="Bookmark_I5TK4K2B2HM6920020000400"/>
      <w:bookmarkEnd w:id="2582"/>
      <w:r>
        <w:rPr>
          <w:rFonts w:ascii="Arial" w:eastAsia="Arial" w:hAnsi="Arial" w:cs="Arial"/>
          <w:color w:val="000000"/>
          <w:sz w:val="20"/>
        </w:rPr>
        <w:t xml:space="preserve">One, the term "public accommodation" is to be liberally construed. </w:t>
      </w:r>
      <w:r>
        <w:rPr>
          <w:rFonts w:ascii="Arial" w:eastAsia="Arial" w:hAnsi="Arial" w:cs="Arial"/>
          <w:i/>
          <w:color w:val="000000"/>
          <w:sz w:val="20"/>
        </w:rPr>
        <w:t xml:space="preserve">See </w:t>
      </w:r>
      <w:bookmarkStart w:id="2583" w:name="Bookmark_I5TK4K2B28T40M0040000400"/>
      <w:bookmarkEnd w:id="2583"/>
      <w:r>
        <w:rPr>
          <w:rFonts w:ascii="Arial" w:eastAsia="Arial" w:hAnsi="Arial" w:cs="Arial"/>
          <w:i/>
          <w:color w:val="000000"/>
          <w:sz w:val="20"/>
        </w:rPr>
        <w:t>PGA Tour, Inc. v. Martin</w:t>
      </w:r>
      <w:r>
        <w:rPr>
          <w:rFonts w:ascii="Arial" w:eastAsia="Arial" w:hAnsi="Arial" w:cs="Arial"/>
          <w:color w:val="000000"/>
          <w:sz w:val="20"/>
        </w:rPr>
        <w:t xml:space="preserve">, 532 U.S. 661, 676-77, 121 S. Ct. 1879, 149 L. Ed. 2d 904 (2001). </w:t>
      </w:r>
      <w:bookmarkStart w:id="2584" w:name="Bookmark_I5TK4K2B2HM6920020000400_2"/>
      <w:bookmarkStart w:id="2585" w:name="Bookmark_I5TK4K2B2HM6920040000400"/>
      <w:bookmarkEnd w:id="2584"/>
      <w:bookmarkEnd w:id="2585"/>
      <w:r>
        <w:rPr>
          <w:rFonts w:ascii="Arial" w:eastAsia="Arial" w:hAnsi="Arial" w:cs="Arial"/>
          <w:color w:val="000000"/>
          <w:sz w:val="20"/>
        </w:rPr>
        <w:t xml:space="preserve">But even when a statute is to be construed liberally, it is [**11]  still not untethered from its text. </w:t>
      </w:r>
      <w:r>
        <w:rPr>
          <w:rFonts w:ascii="Arial" w:eastAsia="Arial" w:hAnsi="Arial" w:cs="Arial"/>
          <w:i/>
          <w:color w:val="000000"/>
          <w:sz w:val="20"/>
        </w:rPr>
        <w:t xml:space="preserve">See </w:t>
      </w:r>
      <w:bookmarkStart w:id="2586" w:name="Bookmark_I5TK4K2B2HM6920010000400"/>
      <w:bookmarkEnd w:id="2586"/>
      <w:r>
        <w:rPr>
          <w:rFonts w:ascii="Arial" w:eastAsia="Arial" w:hAnsi="Arial" w:cs="Arial"/>
          <w:i/>
          <w:color w:val="000000"/>
          <w:sz w:val="20"/>
        </w:rPr>
        <w:t>Watson v. Philip Morris Cos.</w:t>
      </w:r>
      <w:r>
        <w:rPr>
          <w:rFonts w:ascii="Arial" w:eastAsia="Arial" w:hAnsi="Arial" w:cs="Arial"/>
          <w:color w:val="000000"/>
          <w:sz w:val="20"/>
        </w:rPr>
        <w:t xml:space="preserve">, 551 U.S. 142, 147, 127 S. Ct. 2301, 168 L. Ed. 2d 42 (2007). </w:t>
      </w:r>
      <w:bookmarkStart w:id="2587" w:name="Bookmark_I5TK4K2B2HM6920040000400_2"/>
      <w:bookmarkEnd w:id="2587"/>
      <w:r>
        <w:rPr>
          <w:rFonts w:ascii="Arial" w:eastAsia="Arial" w:hAnsi="Arial" w:cs="Arial"/>
          <w:color w:val="000000"/>
          <w:sz w:val="20"/>
        </w:rPr>
        <w:t xml:space="preserve">Canons of interpretation help ensure that words are not stretched past the limits Congress intended. </w:t>
      </w:r>
      <w:r>
        <w:rPr>
          <w:rFonts w:ascii="Arial" w:eastAsia="Arial" w:hAnsi="Arial" w:cs="Arial"/>
          <w:i/>
          <w:color w:val="000000"/>
          <w:sz w:val="20"/>
        </w:rPr>
        <w:t xml:space="preserve">See </w:t>
      </w:r>
      <w:bookmarkStart w:id="2588" w:name="Bookmark_I5TK4K2B2HM6920030000400"/>
      <w:bookmarkEnd w:id="2588"/>
      <w:r>
        <w:rPr>
          <w:rFonts w:ascii="Arial" w:eastAsia="Arial" w:hAnsi="Arial" w:cs="Arial"/>
          <w:i/>
          <w:color w:val="000000"/>
          <w:sz w:val="20"/>
        </w:rPr>
        <w:t>Chickasaw Nation v. United States</w:t>
      </w:r>
      <w:r>
        <w:rPr>
          <w:rFonts w:ascii="Arial" w:eastAsia="Arial" w:hAnsi="Arial" w:cs="Arial"/>
          <w:color w:val="000000"/>
          <w:sz w:val="20"/>
        </w:rPr>
        <w:t>, 534 U.S. 84, 94, 122 S. Ct. 528, 151 L. Ed. 2d 474 (2001). If Congress wanted to cover all "establishments" it could have done so, omitting the word "service." So a "liberal" reading cannot be one which reads out one of the words. Thus, applying ejusdem generis helps us ensure we honor Congress's legislative choices.</w:t>
      </w:r>
    </w:p>
    <w:p w:rsidR="00E456CD" w:rsidRDefault="00000000">
      <w:pPr>
        <w:pStyle w:val="Normal12"/>
        <w:widowControl w:val="0"/>
        <w:spacing w:before="200" w:line="260" w:lineRule="atLeast"/>
        <w:jc w:val="both"/>
      </w:pPr>
      <w:bookmarkStart w:id="2589" w:name="Bookmark_para_21_8"/>
      <w:bookmarkStart w:id="2590" w:name="Bookmark_I5TK4K2B2N1RB40010000400"/>
      <w:bookmarkEnd w:id="2589"/>
      <w:bookmarkEnd w:id="2590"/>
      <w:r>
        <w:rPr>
          <w:rFonts w:ascii="Arial" w:eastAsia="Arial" w:hAnsi="Arial" w:cs="Arial"/>
          <w:color w:val="000000"/>
          <w:sz w:val="20"/>
        </w:rPr>
        <w:t>The second reason they offer for ignoring ejusdem generis is the legislative history. Legislative history is a last resort for  [*330]  ambiguous statutes, and it does not help the plaintiffs here in any event.</w:t>
      </w:r>
      <w:r>
        <w:rPr>
          <w:rFonts w:ascii="Arial" w:eastAsia="Arial" w:hAnsi="Arial" w:cs="Arial"/>
          <w:vertAlign w:val="superscript"/>
        </w:rPr>
        <w:footnoteReference w:customMarkFollows="1" w:id="112"/>
        <w:t>14</w:t>
      </w:r>
      <w:r>
        <w:rPr>
          <w:rFonts w:ascii="Arial" w:eastAsia="Arial" w:hAnsi="Arial" w:cs="Arial"/>
          <w:color w:val="000000"/>
          <w:sz w:val="20"/>
        </w:rPr>
        <w:t xml:space="preserve"> </w:t>
      </w:r>
      <w:r>
        <w:rPr>
          <w:rFonts w:ascii="Arial" w:eastAsia="Arial" w:hAnsi="Arial" w:cs="Arial"/>
          <w:i/>
          <w:color w:val="000000"/>
          <w:sz w:val="20"/>
        </w:rPr>
        <w:t xml:space="preserve">See </w:t>
      </w:r>
      <w:bookmarkStart w:id="2592" w:name="Bookmark_I5TK4K2B2HM6920050000400"/>
      <w:bookmarkEnd w:id="2592"/>
      <w:r>
        <w:rPr>
          <w:rFonts w:ascii="Arial" w:eastAsia="Arial" w:hAnsi="Arial" w:cs="Arial"/>
          <w:i/>
          <w:color w:val="000000"/>
          <w:sz w:val="20"/>
        </w:rPr>
        <w:t>Nat'l Ass'n of Mfrs. v. Dep't of Def.</w:t>
      </w:r>
      <w:r>
        <w:rPr>
          <w:rFonts w:ascii="Arial" w:eastAsia="Arial" w:hAnsi="Arial" w:cs="Arial"/>
          <w:color w:val="000000"/>
          <w:sz w:val="20"/>
        </w:rPr>
        <w:t>, 138 S. Ct. 617, 634, 199 L. Ed. 2d 501 (2018).</w:t>
      </w:r>
    </w:p>
    <w:p w:rsidR="00E456CD" w:rsidRDefault="00000000">
      <w:pPr>
        <w:pStyle w:val="Normal12"/>
        <w:widowControl w:val="0"/>
        <w:spacing w:before="200" w:line="260" w:lineRule="atLeast"/>
        <w:jc w:val="both"/>
      </w:pPr>
      <w:bookmarkStart w:id="2593" w:name="Bookmark_para_22_8"/>
      <w:bookmarkEnd w:id="2593"/>
      <w:r>
        <w:rPr>
          <w:rFonts w:ascii="Arial" w:eastAsia="Arial" w:hAnsi="Arial" w:cs="Arial"/>
          <w:color w:val="000000"/>
          <w:sz w:val="20"/>
        </w:rPr>
        <w:t>Applying ejusdem generis highlights how oddly plasma collection centers would fit into the list. Each of the items on the list in 42 U.S.C. § 12181(7)(F) involves establishments acting in some way that clearly benefits the individual. Dry-cleaners press customers' shirts. Lawyers file clients' pleadings. Hospitals mend patients' broken bones. For each, the establishment performs an action that directly benefits the individual, just as we defined the term above. But plasma collection does not provide any detectable benefit for donors.</w:t>
      </w:r>
    </w:p>
    <w:p w:rsidR="00E456CD" w:rsidRDefault="00000000">
      <w:pPr>
        <w:pStyle w:val="Normal12"/>
        <w:widowControl w:val="0"/>
        <w:spacing w:before="200" w:line="260" w:lineRule="atLeast"/>
        <w:jc w:val="both"/>
      </w:pPr>
      <w:bookmarkStart w:id="2594" w:name="Bookmark_para_23_8"/>
      <w:bookmarkEnd w:id="2594"/>
      <w:r>
        <w:rPr>
          <w:rFonts w:ascii="Arial" w:eastAsia="Arial" w:hAnsi="Arial" w:cs="Arial"/>
          <w:color w:val="000000"/>
          <w:sz w:val="20"/>
        </w:rPr>
        <w:t>Silguero and Wolfe contend that the list, however, supports [**12]  a broader reading of "service establishment" for two reasons. One, they argue that some of the establishments on the list may perform services for free. For instance, legal aid clinics provide services to the indigent free of charge. But the absence of payment does not change the fact that lawyers' work unambiguously is done to benefit clients so that the work would be a "service." Two, Silguero and Wolfe contend that one of the examples, a bank, may not only perform some services for free but may pay customers through interest on savings. But in that instance, any "free" services and payment are directly linked to the act the bank performs to benefit the customer. Banks manage money. They benefit customers by storing and leveraging it. Any payment customers receive is not a result of the customer's labor but is instead an intrinsic result of the act the bank performs to serve the customer. Contrast that with plasma collection centers. After the donor expends his time and resources donating plasma, the plasma belongs to the plasma collection center. The plasma collection center does not manage or oversee the plasma on behalf of the donor. Donors are therefore unlike bank customers [**13]  because they are not benefitted by the act the establishment performs.</w:t>
      </w:r>
    </w:p>
    <w:p w:rsidR="00E456CD" w:rsidRDefault="00000000">
      <w:pPr>
        <w:pStyle w:val="Normal12"/>
        <w:widowControl w:val="0"/>
        <w:spacing w:before="200" w:line="260" w:lineRule="atLeast"/>
        <w:jc w:val="both"/>
      </w:pPr>
      <w:bookmarkStart w:id="2595" w:name="Bookmark_para_24_7"/>
      <w:bookmarkEnd w:id="2595"/>
      <w:r>
        <w:rPr>
          <w:rFonts w:ascii="Arial" w:eastAsia="Arial" w:hAnsi="Arial" w:cs="Arial"/>
          <w:color w:val="000000"/>
          <w:sz w:val="20"/>
        </w:rPr>
        <w:t>The third reason we conclude that CSL Plasma does not provide a "service" is that CSL Plasma pays for plasma donation, which the structure of the ADA indicates is governed by other provisions. The parties agree that CSL Plasma pays all donors for plasma donation. That relationship is more akin to employment or contract work, not the provision of a "service" to a customer. Indeed, our lexicon confirms that society thinks of those relationships as different. "Customers" are "</w:t>
      </w:r>
      <w:r>
        <w:rPr>
          <w:rFonts w:ascii="Arial" w:eastAsia="Arial" w:hAnsi="Arial" w:cs="Arial"/>
          <w:i/>
          <w:color w:val="000000"/>
          <w:sz w:val="20"/>
        </w:rPr>
        <w:t>purchaser</w:t>
      </w:r>
      <w:r>
        <w:rPr>
          <w:rFonts w:ascii="Arial" w:eastAsia="Arial" w:hAnsi="Arial" w:cs="Arial"/>
          <w:color w:val="000000"/>
          <w:sz w:val="20"/>
        </w:rPr>
        <w:t>[</w:t>
      </w:r>
      <w:r>
        <w:rPr>
          <w:rFonts w:ascii="Arial" w:eastAsia="Arial" w:hAnsi="Arial" w:cs="Arial"/>
          <w:i/>
          <w:color w:val="000000"/>
          <w:sz w:val="20"/>
        </w:rPr>
        <w:t>s</w:t>
      </w:r>
      <w:r>
        <w:rPr>
          <w:rFonts w:ascii="Arial" w:eastAsia="Arial" w:hAnsi="Arial" w:cs="Arial"/>
          <w:color w:val="000000"/>
          <w:sz w:val="20"/>
        </w:rPr>
        <w:t xml:space="preserve">] of goods and services." </w:t>
      </w:r>
      <w:r>
        <w:rPr>
          <w:rFonts w:ascii="Arial" w:eastAsia="Arial" w:hAnsi="Arial" w:cs="Arial"/>
          <w:i/>
          <w:color w:val="000000"/>
          <w:sz w:val="20"/>
        </w:rPr>
        <w:t>See Customer</w:t>
      </w:r>
      <w:r>
        <w:rPr>
          <w:rFonts w:ascii="Arial" w:eastAsia="Arial" w:hAnsi="Arial" w:cs="Arial"/>
          <w:color w:val="000000"/>
          <w:sz w:val="20"/>
        </w:rPr>
        <w:t xml:space="preserve">, </w:t>
      </w:r>
      <w:r>
        <w:rPr>
          <w:rFonts w:ascii="Arial" w:eastAsia="Arial" w:hAnsi="Arial" w:cs="Arial"/>
          <w:smallCaps/>
          <w:color w:val="000000"/>
          <w:sz w:val="20"/>
        </w:rPr>
        <w:t>Oxford English Dictionary</w:t>
      </w:r>
      <w:r>
        <w:rPr>
          <w:rFonts w:ascii="Arial" w:eastAsia="Arial" w:hAnsi="Arial" w:cs="Arial"/>
          <w:color w:val="000000"/>
          <w:sz w:val="20"/>
        </w:rPr>
        <w:t xml:space="preserve"> (2d ed. 1989) (emphasis added). In contrast, an "employee" is a "person who works for an employer . . . for wages or a salary." </w:t>
      </w:r>
      <w:r>
        <w:rPr>
          <w:rFonts w:ascii="Arial" w:eastAsia="Arial" w:hAnsi="Arial" w:cs="Arial"/>
          <w:i/>
          <w:color w:val="000000"/>
          <w:sz w:val="20"/>
        </w:rPr>
        <w:t>See Employee</w:t>
      </w:r>
      <w:r>
        <w:rPr>
          <w:rFonts w:ascii="Arial" w:eastAsia="Arial" w:hAnsi="Arial" w:cs="Arial"/>
          <w:color w:val="000000"/>
          <w:sz w:val="20"/>
        </w:rPr>
        <w:t xml:space="preserve">, </w:t>
      </w:r>
      <w:r>
        <w:rPr>
          <w:rFonts w:ascii="Arial" w:eastAsia="Arial" w:hAnsi="Arial" w:cs="Arial"/>
          <w:smallCaps/>
          <w:color w:val="000000"/>
          <w:sz w:val="20"/>
        </w:rPr>
        <w:t>Oxford English Dictionary</w:t>
      </w:r>
      <w:r>
        <w:rPr>
          <w:rFonts w:ascii="Arial" w:eastAsia="Arial" w:hAnsi="Arial" w:cs="Arial"/>
          <w:color w:val="000000"/>
          <w:sz w:val="20"/>
        </w:rPr>
        <w:t xml:space="preserve"> (2d. 1989). Payment is thus relevant because it may indicate whether an individual  [*331]  is a customer or is instead an employee or other hired laborer.</w:t>
      </w:r>
    </w:p>
    <w:p w:rsidR="00E456CD" w:rsidRDefault="00000000">
      <w:pPr>
        <w:pStyle w:val="Normal12"/>
        <w:widowControl w:val="0"/>
        <w:spacing w:before="200" w:line="260" w:lineRule="atLeast"/>
        <w:jc w:val="both"/>
      </w:pPr>
      <w:bookmarkStart w:id="2596" w:name="Bookmark_para_25_7"/>
      <w:bookmarkStart w:id="2597" w:name="Bookmark_LNHNREFclscc5_8"/>
      <w:bookmarkEnd w:id="2596"/>
      <w:bookmarkEnd w:id="2597"/>
      <w:r>
        <w:rPr>
          <w:rFonts w:ascii="Arial" w:eastAsia="Arial" w:hAnsi="Arial" w:cs="Arial"/>
          <w:color w:val="000000"/>
          <w:sz w:val="20"/>
        </w:rPr>
        <w:t xml:space="preserve">The distinction between customer relationships and employment relationships is embodied in the structure of the ADA. Title I applies to employment relationships, while "service establishment" defines "public accommodations" under Title III. </w:t>
      </w:r>
      <w:r>
        <w:rPr>
          <w:rFonts w:ascii="Arial" w:eastAsia="Arial" w:hAnsi="Arial" w:cs="Arial"/>
          <w:i/>
          <w:color w:val="000000"/>
          <w:sz w:val="20"/>
        </w:rPr>
        <w:t>Compare</w:t>
      </w:r>
      <w:r>
        <w:rPr>
          <w:rFonts w:ascii="Arial" w:eastAsia="Arial" w:hAnsi="Arial" w:cs="Arial"/>
          <w:color w:val="000000"/>
          <w:sz w:val="20"/>
        </w:rPr>
        <w:t xml:space="preserve"> 42 U.S.C. § 12112(a) </w:t>
      </w:r>
      <w:r>
        <w:rPr>
          <w:rFonts w:ascii="Arial" w:eastAsia="Arial" w:hAnsi="Arial" w:cs="Arial"/>
          <w:i/>
          <w:color w:val="000000"/>
          <w:sz w:val="20"/>
        </w:rPr>
        <w:t>with</w:t>
      </w:r>
      <w:r>
        <w:rPr>
          <w:rFonts w:ascii="Arial" w:eastAsia="Arial" w:hAnsi="Arial" w:cs="Arial"/>
          <w:color w:val="000000"/>
          <w:sz w:val="20"/>
        </w:rPr>
        <w:t xml:space="preserve"> 42 U.S.C. § 12181(7)(A). Congress [**14]  made specific legislative choices about how broadly Title I would apply. </w:t>
      </w:r>
      <w:bookmarkStart w:id="2598" w:name="Bookmark_I5TK4K2B2N1RB40030000400"/>
      <w:bookmarkEnd w:id="2598"/>
      <w:r>
        <w:rPr>
          <w:rFonts w:ascii="Arial" w:eastAsia="Arial" w:hAnsi="Arial" w:cs="Arial"/>
          <w:color w:val="000000"/>
          <w:sz w:val="20"/>
        </w:rPr>
        <w:t xml:space="preserve">For instance, Title I protects only "employees" and extends only to employers hiring a sufficient number of employees. </w:t>
      </w:r>
      <w:r>
        <w:rPr>
          <w:rFonts w:ascii="Arial" w:eastAsia="Arial" w:hAnsi="Arial" w:cs="Arial"/>
          <w:i/>
          <w:color w:val="000000"/>
          <w:sz w:val="20"/>
        </w:rPr>
        <w:t>See</w:t>
      </w:r>
      <w:r>
        <w:rPr>
          <w:rFonts w:ascii="Arial" w:eastAsia="Arial" w:hAnsi="Arial" w:cs="Arial"/>
          <w:color w:val="000000"/>
          <w:sz w:val="20"/>
        </w:rPr>
        <w:t xml:space="preserve"> 42 U.S.C. § 12111(4)-(5). Thus, courts have often determined that employees at small businesses and independent contractors are not protected by Title I of the ADA. </w:t>
      </w:r>
      <w:r>
        <w:rPr>
          <w:rFonts w:ascii="Arial" w:eastAsia="Arial" w:hAnsi="Arial" w:cs="Arial"/>
          <w:i/>
          <w:color w:val="000000"/>
          <w:sz w:val="20"/>
        </w:rPr>
        <w:t xml:space="preserve">See </w:t>
      </w:r>
      <w:bookmarkStart w:id="2599" w:name="Bookmark_I5TK4K2B2N1RB40020000400"/>
      <w:bookmarkEnd w:id="2599"/>
      <w:r>
        <w:rPr>
          <w:rFonts w:ascii="Arial" w:eastAsia="Arial" w:hAnsi="Arial" w:cs="Arial"/>
          <w:i/>
          <w:color w:val="000000"/>
          <w:sz w:val="20"/>
        </w:rPr>
        <w:t>Clackamas Gastroenterology Assocs., P.C. v. Wells</w:t>
      </w:r>
      <w:r>
        <w:rPr>
          <w:rFonts w:ascii="Arial" w:eastAsia="Arial" w:hAnsi="Arial" w:cs="Arial"/>
          <w:color w:val="000000"/>
          <w:sz w:val="20"/>
        </w:rPr>
        <w:t xml:space="preserve">, 538 U.S. 440, 441, 123 S. Ct. 1673, 155 L. Ed. 2d 615 (2003) (noting that the ADA "is inapplicable to very small businesses"); </w:t>
      </w:r>
      <w:bookmarkStart w:id="2600" w:name="Bookmark_I5TK4K2B2N1RB40040000400"/>
      <w:bookmarkEnd w:id="2600"/>
      <w:r>
        <w:rPr>
          <w:rFonts w:ascii="Arial" w:eastAsia="Arial" w:hAnsi="Arial" w:cs="Arial"/>
          <w:i/>
          <w:color w:val="000000"/>
          <w:sz w:val="20"/>
        </w:rPr>
        <w:t>Flynn v. Distinctive Home Care, Inc</w:t>
      </w:r>
      <w:r>
        <w:rPr>
          <w:rFonts w:ascii="Arial" w:eastAsia="Arial" w:hAnsi="Arial" w:cs="Arial"/>
          <w:color w:val="000000"/>
          <w:sz w:val="20"/>
        </w:rPr>
        <w:t>., 812 F.3d 422, 427 &amp; n.20 (5th Cir. 2016) (collecting persuasive authority that independent contractors are not covered by Title I of the ADA). If we interpret "service establishment" in Title III so broadly that it includes employment and employment-like relationships, we risk overrunning Congress's legislative choices in Title I.</w:t>
      </w:r>
    </w:p>
    <w:p w:rsidR="00E456CD" w:rsidRDefault="00000000">
      <w:pPr>
        <w:pStyle w:val="Normal12"/>
        <w:widowControl w:val="0"/>
        <w:spacing w:before="200" w:line="260" w:lineRule="atLeast"/>
        <w:jc w:val="both"/>
      </w:pPr>
      <w:bookmarkStart w:id="2601" w:name="Bookmark_para_26_7"/>
      <w:bookmarkEnd w:id="2601"/>
      <w:r>
        <w:rPr>
          <w:rFonts w:ascii="Arial" w:eastAsia="Arial" w:hAnsi="Arial" w:cs="Arial"/>
          <w:color w:val="000000"/>
          <w:sz w:val="20"/>
        </w:rPr>
        <w:t>The way that Silguero and Wolfe interpret "service," Title III makes Title I largely redundant. They contend plasma collection benefits donors (and is therefore a "service") because it enables them to "realize" the "commercial value" of their plasma, which they could not otherwise do without CSL Plasma.</w:t>
      </w:r>
      <w:r>
        <w:rPr>
          <w:rFonts w:ascii="Arial" w:eastAsia="Arial" w:hAnsi="Arial" w:cs="Arial"/>
          <w:vertAlign w:val="superscript"/>
        </w:rPr>
        <w:footnoteReference w:customMarkFollows="1" w:id="113"/>
        <w:t>15</w:t>
      </w:r>
      <w:r>
        <w:rPr>
          <w:rFonts w:ascii="Arial" w:eastAsia="Arial" w:hAnsi="Arial" w:cs="Arial"/>
          <w:color w:val="000000"/>
          <w:sz w:val="20"/>
        </w:rPr>
        <w:t xml:space="preserve"> That conception of a "service" would turn virtually every employer and entrepreneur into a "service establishment." After all, a small restaurant enables cooks to "realize" the "commercial value" [**15]  of their skills by providing a location for hungry people to come. A construction general contractor enables construction independent contractors to "realize" the "commercial value" of their machinery by connecting them with clients in need. A commercial landscaper buying gravel from a rock quarry enables the quarry to "realize" the "commercial value" of its gravel by putting it to commercial use. Under Silguero and Wolfe's interpretation, employees or contractors of these establishments could simply dodge the narrowing scope of Title I and sue under Title III. It is illogical to construe one title to eviscerate the other.</w:t>
      </w:r>
    </w:p>
    <w:p w:rsidR="00E456CD" w:rsidRDefault="00000000">
      <w:pPr>
        <w:pStyle w:val="Normal12"/>
        <w:widowControl w:val="0"/>
        <w:spacing w:before="200" w:line="260" w:lineRule="atLeast"/>
        <w:jc w:val="both"/>
      </w:pPr>
      <w:bookmarkStart w:id="2603" w:name="Bookmark_para_27_7"/>
      <w:bookmarkStart w:id="2604" w:name="Bookmark_I5KTRGC4H8G000558V400007"/>
      <w:bookmarkStart w:id="2605" w:name="Bookmark_I5TK4K2B2D6N620020000400"/>
      <w:bookmarkEnd w:id="2603"/>
      <w:bookmarkEnd w:id="2604"/>
      <w:bookmarkEnd w:id="2605"/>
      <w:r>
        <w:rPr>
          <w:rFonts w:ascii="Arial" w:eastAsia="Arial" w:hAnsi="Arial" w:cs="Arial"/>
          <w:color w:val="000000"/>
          <w:sz w:val="20"/>
        </w:rPr>
        <w:t xml:space="preserve">We thus reject Silguero and Wolfe's argument that the direction of payment for services is irrelevant. </w:t>
      </w:r>
      <w:bookmarkStart w:id="2606" w:name="Bookmark_I5KTRGC4N3M000558V400008"/>
      <w:bookmarkStart w:id="2607" w:name="Bookmark_I5TK4K2B2D6N620040000400"/>
      <w:bookmarkEnd w:id="2606"/>
      <w:bookmarkEnd w:id="2607"/>
      <w:r>
        <w:rPr>
          <w:rFonts w:ascii="Arial" w:eastAsia="Arial" w:hAnsi="Arial" w:cs="Arial"/>
          <w:color w:val="000000"/>
          <w:sz w:val="20"/>
        </w:rPr>
        <w:t xml:space="preserve">In doing so, we reject the Tenth Circuit's conclusion that a service is provided "regardless of whether [establishments] provide or accept compensation as part of that process." </w:t>
      </w:r>
      <w:bookmarkStart w:id="2608" w:name="Bookmark_I5TK4K2B2D6N620010000400"/>
      <w:bookmarkEnd w:id="2608"/>
      <w:r>
        <w:rPr>
          <w:rFonts w:ascii="Arial" w:eastAsia="Arial" w:hAnsi="Arial" w:cs="Arial"/>
          <w:i/>
          <w:color w:val="000000"/>
          <w:sz w:val="20"/>
        </w:rPr>
        <w:t>Octapharma Plasma, Inc</w:t>
      </w:r>
      <w:r>
        <w:rPr>
          <w:rFonts w:ascii="Arial" w:eastAsia="Arial" w:hAnsi="Arial" w:cs="Arial"/>
          <w:color w:val="000000"/>
          <w:sz w:val="20"/>
        </w:rPr>
        <w:t xml:space="preserve">., 828 F.3d at 1233-34. We do not hold that payment from a customer to the establishment is necessary to be considered a "service establishment" or that a "service" is never performed when an establishment compensates an individual. </w:t>
      </w:r>
      <w:bookmarkStart w:id="2609" w:name="Bookmark_I5TK4K2B2D6N620040000400_2"/>
      <w:bookmarkEnd w:id="2609"/>
      <w:r>
        <w:rPr>
          <w:rFonts w:ascii="Arial" w:eastAsia="Arial" w:hAnsi="Arial" w:cs="Arial"/>
          <w:color w:val="000000"/>
          <w:sz w:val="20"/>
        </w:rPr>
        <w:t xml:space="preserve">We conclude merely that </w:t>
      </w:r>
      <w:bookmarkStart w:id="2610" w:name="Bookmark_LNHNREFclscc6_8"/>
      <w:bookmarkEnd w:id="2610"/>
      <w:r>
        <w:rPr>
          <w:rFonts w:ascii="Arial" w:eastAsia="Arial" w:hAnsi="Arial" w:cs="Arial"/>
          <w:color w:val="000000"/>
          <w:sz w:val="20"/>
        </w:rPr>
        <w:t>payment—to or by the establishment—is highly relevant [**16]  in determining whether an establishment  [*332]  provides a "service" to a customer and is therefore a "service establishment."</w:t>
      </w:r>
      <w:r>
        <w:rPr>
          <w:rFonts w:ascii="Arial" w:eastAsia="Arial" w:hAnsi="Arial" w:cs="Arial"/>
          <w:vertAlign w:val="superscript"/>
        </w:rPr>
        <w:footnoteReference w:customMarkFollows="1" w:id="114"/>
        <w:t>16</w:t>
      </w:r>
    </w:p>
    <w:p w:rsidR="00E456CD" w:rsidRDefault="00000000">
      <w:pPr>
        <w:pStyle w:val="Normal12"/>
        <w:widowControl w:val="0"/>
        <w:spacing w:before="200" w:line="260" w:lineRule="atLeast"/>
        <w:jc w:val="both"/>
      </w:pPr>
      <w:bookmarkStart w:id="2613" w:name="Bookmark_para_28_7"/>
      <w:bookmarkEnd w:id="2613"/>
      <w:r>
        <w:rPr>
          <w:rFonts w:ascii="Arial" w:eastAsia="Arial" w:hAnsi="Arial" w:cs="Arial"/>
          <w:color w:val="000000"/>
          <w:sz w:val="20"/>
        </w:rPr>
        <w:t>Here, CSL Plasma pays donors who receive no detectable benefit from the act of donation. Its entire business model is structured this way. It thus does not offer plasma collection as a "service" to the public and is therefore not a "service establishment." We affirm the district court's order granting summary judgment to CSL Plasma on Silguero's and Wolfe's ADA claims.</w:t>
      </w:r>
    </w:p>
    <w:p w:rsidR="00E456CD" w:rsidRDefault="00000000">
      <w:pPr>
        <w:pStyle w:val="Normal12"/>
        <w:widowControl w:val="0"/>
        <w:spacing w:before="240" w:line="260" w:lineRule="atLeast"/>
      </w:pPr>
      <w:r>
        <w:br/>
      </w:r>
      <w:r>
        <w:rPr>
          <w:rFonts w:ascii="Arial" w:eastAsia="Arial" w:hAnsi="Arial" w:cs="Arial"/>
          <w:b/>
          <w:color w:val="000000"/>
          <w:sz w:val="20"/>
        </w:rPr>
        <w:t>B. THRC Claim</w:t>
      </w:r>
    </w:p>
    <w:p w:rsidR="00E456CD" w:rsidRDefault="00000000">
      <w:pPr>
        <w:pStyle w:val="Normal12"/>
        <w:widowControl w:val="0"/>
        <w:spacing w:before="200" w:line="260" w:lineRule="atLeast"/>
        <w:jc w:val="both"/>
      </w:pPr>
      <w:bookmarkStart w:id="2614" w:name="Bookmark_para_29_7"/>
      <w:bookmarkEnd w:id="2614"/>
      <w:r>
        <w:rPr>
          <w:rFonts w:ascii="Arial" w:eastAsia="Arial" w:hAnsi="Arial" w:cs="Arial"/>
          <w:color w:val="000000"/>
          <w:sz w:val="20"/>
        </w:rPr>
        <w:t>Silguero and Wolfe have also sued under § 121.003(a) of the THRC, which provides similar protection for disabled individuals under state law. The district court concluded that CSL Plasma was not a "public facility" under the THRC and therefore was not subject to liability. We examine whether Texas has already addressed this question and, if not, whether we can and should certify the question to the state's highest civil court.</w:t>
      </w:r>
    </w:p>
    <w:p w:rsidR="00E456CD" w:rsidRDefault="00000000">
      <w:pPr>
        <w:pStyle w:val="Normal12"/>
        <w:widowControl w:val="0"/>
        <w:spacing w:before="200" w:line="260" w:lineRule="atLeast"/>
        <w:jc w:val="both"/>
      </w:pPr>
      <w:bookmarkStart w:id="2615" w:name="Bookmark_para_30_7"/>
      <w:bookmarkStart w:id="2616" w:name="Bookmark_LNHNREFclscc7_8"/>
      <w:bookmarkEnd w:id="2615"/>
      <w:bookmarkEnd w:id="2616"/>
      <w:r>
        <w:rPr>
          <w:rFonts w:ascii="Arial" w:eastAsia="Arial" w:hAnsi="Arial" w:cs="Arial"/>
          <w:color w:val="000000"/>
          <w:sz w:val="20"/>
        </w:rPr>
        <w:t xml:space="preserve">The THRC differs significantly from the ADA. It was enacted before the ADA. It is not split into various titles that cover distinctly different activities. It uses different terms to define its scope. </w:t>
      </w:r>
      <w:bookmarkStart w:id="2617" w:name="Bookmark_I5TK4K2B2SF8990010000400"/>
      <w:bookmarkEnd w:id="2617"/>
      <w:r>
        <w:rPr>
          <w:rFonts w:ascii="Arial" w:eastAsia="Arial" w:hAnsi="Arial" w:cs="Arial"/>
          <w:color w:val="000000"/>
          <w:sz w:val="20"/>
        </w:rPr>
        <w:t xml:space="preserve">Instead of applying to "public accommodations," it applies to "public facilit[ies]." [**17]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Tex. Hum. Res. Code.</w:t>
      </w:r>
      <w:r>
        <w:rPr>
          <w:rFonts w:ascii="Arial" w:eastAsia="Arial" w:hAnsi="Arial" w:cs="Arial"/>
          <w:color w:val="000000"/>
          <w:sz w:val="20"/>
        </w:rPr>
        <w:t xml:space="preserve"> § 121.003(a). The term "public facility" is defined in an entirely different manner than "public accommodation" under the ADA.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Tex. Hum. Res. Code</w:t>
      </w:r>
      <w:r>
        <w:rPr>
          <w:rFonts w:ascii="Arial" w:eastAsia="Arial" w:hAnsi="Arial" w:cs="Arial"/>
          <w:color w:val="000000"/>
          <w:sz w:val="20"/>
        </w:rPr>
        <w:t xml:space="preserve"> § 121.002(5). Recognizing these differences, the Supreme Court of Texas has said it will not look to federal courts' interpretations of "public accommodation" to interpret the term "public facility." </w:t>
      </w:r>
      <w:r>
        <w:rPr>
          <w:rFonts w:ascii="Arial" w:eastAsia="Arial" w:hAnsi="Arial" w:cs="Arial"/>
          <w:i/>
          <w:color w:val="000000"/>
          <w:sz w:val="20"/>
        </w:rPr>
        <w:t xml:space="preserve">See </w:t>
      </w:r>
      <w:bookmarkStart w:id="2618" w:name="Bookmark_I5TK4K2B2D6N620050000400"/>
      <w:bookmarkEnd w:id="2618"/>
      <w:r>
        <w:rPr>
          <w:rFonts w:ascii="Arial" w:eastAsia="Arial" w:hAnsi="Arial" w:cs="Arial"/>
          <w:i/>
          <w:color w:val="000000"/>
          <w:sz w:val="20"/>
        </w:rPr>
        <w:t>Beeman v. Livingston</w:t>
      </w:r>
      <w:r>
        <w:rPr>
          <w:rFonts w:ascii="Arial" w:eastAsia="Arial" w:hAnsi="Arial" w:cs="Arial"/>
          <w:color w:val="000000"/>
          <w:sz w:val="20"/>
        </w:rPr>
        <w:t>, 468 S.W.3d 534, 542-43 (Tex. 2015). We cannot simply assume that, because CSL Plasma is not a "public accommodation" under the ADA, it is not a "public facility" under the THRC.</w:t>
      </w:r>
    </w:p>
    <w:p w:rsidR="00E456CD" w:rsidRDefault="00000000">
      <w:pPr>
        <w:pStyle w:val="Normal12"/>
        <w:widowControl w:val="0"/>
        <w:spacing w:before="200" w:line="260" w:lineRule="atLeast"/>
        <w:jc w:val="both"/>
      </w:pPr>
      <w:bookmarkStart w:id="2619" w:name="Bookmark_para_31_7"/>
      <w:bookmarkStart w:id="2620" w:name="Bookmark_I5KTRGC6HCX000558V40000M"/>
      <w:bookmarkStart w:id="2621" w:name="Bookmark_I5TK4K2B2SF8990030000400"/>
      <w:bookmarkEnd w:id="2619"/>
      <w:bookmarkEnd w:id="2620"/>
      <w:bookmarkEnd w:id="2621"/>
      <w:r>
        <w:rPr>
          <w:rFonts w:ascii="Arial" w:eastAsia="Arial" w:hAnsi="Arial" w:cs="Arial"/>
          <w:color w:val="000000"/>
          <w:sz w:val="20"/>
        </w:rPr>
        <w:t xml:space="preserve">But answering the question of whether a plasma collection center is a "public facility" is difficult. Texas courts have not interpreted the term "public facility" often. The Supreme Court of Texas only appears to have done so once and in a far different context from this case. </w:t>
      </w:r>
      <w:r>
        <w:rPr>
          <w:rFonts w:ascii="Arial" w:eastAsia="Arial" w:hAnsi="Arial" w:cs="Arial"/>
          <w:i/>
          <w:color w:val="000000"/>
          <w:sz w:val="20"/>
        </w:rPr>
        <w:t xml:space="preserve">See </w:t>
      </w:r>
      <w:bookmarkStart w:id="2622" w:name="Bookmark_I5TK4K2B2SF8990020000400"/>
      <w:bookmarkEnd w:id="2622"/>
      <w:r>
        <w:rPr>
          <w:rFonts w:ascii="Arial" w:eastAsia="Arial" w:hAnsi="Arial" w:cs="Arial"/>
          <w:i/>
          <w:color w:val="000000"/>
          <w:sz w:val="20"/>
        </w:rPr>
        <w:t>id.</w:t>
      </w:r>
      <w:r>
        <w:rPr>
          <w:rFonts w:ascii="Arial" w:eastAsia="Arial" w:hAnsi="Arial" w:cs="Arial"/>
          <w:color w:val="000000"/>
          <w:sz w:val="20"/>
        </w:rPr>
        <w:t xml:space="preserve"> No Texas appellate court, to our knowledge, has addressed the application of the THRC to plasma collection centers. Thus, we examine whether we can and should certify the question to the Supreme Court of Texas.</w:t>
      </w:r>
    </w:p>
    <w:p w:rsidR="00E456CD" w:rsidRDefault="00000000">
      <w:pPr>
        <w:pStyle w:val="Normal12"/>
        <w:widowControl w:val="0"/>
        <w:spacing w:before="200" w:line="260" w:lineRule="atLeast"/>
        <w:jc w:val="both"/>
      </w:pPr>
      <w:bookmarkStart w:id="2623" w:name="Bookmark_para_32_7"/>
      <w:bookmarkStart w:id="2624" w:name="Bookmark_LNHNREFclscc8_8"/>
      <w:bookmarkEnd w:id="2623"/>
      <w:bookmarkEnd w:id="2624"/>
      <w:r>
        <w:rPr>
          <w:rFonts w:ascii="Arial" w:eastAsia="Arial" w:hAnsi="Arial" w:cs="Arial"/>
          <w:color w:val="000000"/>
          <w:sz w:val="20"/>
        </w:rPr>
        <w:t xml:space="preserve">The Texas Constitution grants the Supreme Court of Texas the power to answer questions of state law certified by a federal appellate court. </w:t>
      </w:r>
      <w:r>
        <w:rPr>
          <w:rFonts w:ascii="Arial" w:eastAsia="Arial" w:hAnsi="Arial" w:cs="Arial"/>
          <w:smallCaps/>
          <w:color w:val="000000"/>
          <w:sz w:val="20"/>
        </w:rPr>
        <w:t>Tex. Const.</w:t>
      </w:r>
      <w:r>
        <w:rPr>
          <w:rFonts w:ascii="Arial" w:eastAsia="Arial" w:hAnsi="Arial" w:cs="Arial"/>
          <w:color w:val="000000"/>
          <w:sz w:val="20"/>
        </w:rPr>
        <w:t xml:space="preserve"> art. V, § 3-c(a). Texas rules provide that we may certify "determinative questions of Texas law having no controlling [**18]  Supreme Court [of Texas] Precedent" to the Supreme Court of Texas. </w:t>
      </w:r>
      <w:r>
        <w:rPr>
          <w:rFonts w:ascii="Arial" w:eastAsia="Arial" w:hAnsi="Arial" w:cs="Arial"/>
          <w:smallCaps/>
          <w:color w:val="000000"/>
          <w:sz w:val="20"/>
        </w:rPr>
        <w:t>Tex. R. App. P.</w:t>
      </w:r>
      <w:r>
        <w:rPr>
          <w:rFonts w:ascii="Arial" w:eastAsia="Arial" w:hAnsi="Arial" w:cs="Arial"/>
          <w:color w:val="000000"/>
          <w:sz w:val="20"/>
        </w:rPr>
        <w:t xml:space="preserve"> 58.1. </w:t>
      </w:r>
      <w:bookmarkStart w:id="2625" w:name="Bookmark_I5KTRGC5G2G000558V40000B"/>
      <w:bookmarkStart w:id="2626" w:name="Bookmark_I5KTRGC5V86000558V40000F"/>
      <w:bookmarkStart w:id="2627" w:name="Bookmark_I5TK4K2B2SF8990050000400"/>
      <w:bookmarkEnd w:id="2625"/>
      <w:bookmarkEnd w:id="2626"/>
      <w:bookmarkEnd w:id="2627"/>
      <w:r>
        <w:rPr>
          <w:rFonts w:ascii="Arial" w:eastAsia="Arial" w:hAnsi="Arial" w:cs="Arial"/>
          <w:color w:val="000000"/>
          <w:sz w:val="20"/>
        </w:rPr>
        <w:t>Our case law provides factors to use in deciding whether to certify a question:</w:t>
      </w:r>
    </w:p>
    <w:p w:rsidR="00E456CD" w:rsidRDefault="00000000">
      <w:pPr>
        <w:pStyle w:val="Normal12"/>
        <w:widowControl w:val="0"/>
        <w:spacing w:before="200" w:line="260" w:lineRule="atLeast"/>
        <w:ind w:left="400"/>
        <w:jc w:val="both"/>
      </w:pPr>
      <w:bookmarkStart w:id="2628" w:name="Bookmark_para_33_6"/>
      <w:bookmarkStart w:id="2629" w:name="Bookmark_I71FBM685V700002PHH0052H"/>
      <w:bookmarkStart w:id="2630" w:name="Bookmark_I71FBM68FDX00002PHH0052M"/>
      <w:bookmarkStart w:id="2631" w:name="Bookmark_I5TK4K2B2SF8990050000400_2"/>
      <w:bookmarkEnd w:id="2628"/>
      <w:bookmarkEnd w:id="2629"/>
      <w:bookmarkEnd w:id="2630"/>
      <w:bookmarkEnd w:id="2631"/>
      <w:r>
        <w:rPr>
          <w:rFonts w:ascii="Arial" w:eastAsia="Arial" w:hAnsi="Arial" w:cs="Arial"/>
          <w:color w:val="000000"/>
          <w:sz w:val="20"/>
        </w:rPr>
        <w:t>(1) the closeness of the question and the existence of sufficient sources of state law; (2) the degree to which considerations of comity are relevant in light of the particular issue and case to be decided; and (3) practical limitations of the certification process: significant delay and possible inability to frame the issue so as to produce a helpful response on the part of the state court.</w:t>
      </w:r>
    </w:p>
    <w:p w:rsidR="00E456CD" w:rsidRDefault="00000000">
      <w:pPr>
        <w:pStyle w:val="Normal12"/>
        <w:widowControl w:val="0"/>
        <w:spacing w:before="200" w:line="260" w:lineRule="atLeast"/>
        <w:jc w:val="both"/>
      </w:pPr>
      <w:bookmarkStart w:id="2632" w:name="Bookmark_I5TK4K2B2SF8990050000400_3"/>
      <w:bookmarkStart w:id="2633" w:name="Bookmark_I5TK4K2B2SF8990040000400"/>
      <w:bookmarkEnd w:id="2632"/>
      <w:bookmarkEnd w:id="2633"/>
      <w:r>
        <w:rPr>
          <w:rFonts w:ascii="Arial" w:eastAsia="Arial" w:hAnsi="Arial" w:cs="Arial"/>
          <w:i/>
          <w:color w:val="000000"/>
          <w:sz w:val="20"/>
        </w:rPr>
        <w:t>Swindol v. Aurora Flight Scis. Corp</w:t>
      </w:r>
      <w:r>
        <w:rPr>
          <w:rFonts w:ascii="Arial" w:eastAsia="Arial" w:hAnsi="Arial" w:cs="Arial"/>
          <w:color w:val="000000"/>
          <w:sz w:val="20"/>
        </w:rPr>
        <w:t xml:space="preserve">., 805 F.3d 516, 522 (5th Cir. 2015) (internal quotation marks omitted) (quoting </w:t>
      </w:r>
      <w:bookmarkStart w:id="2634" w:name="Bookmark_I5TK4K2B28T40N0010000400"/>
      <w:bookmarkEnd w:id="2634"/>
      <w:r>
        <w:rPr>
          <w:rFonts w:ascii="Arial" w:eastAsia="Arial" w:hAnsi="Arial" w:cs="Arial"/>
          <w:i/>
          <w:color w:val="000000"/>
          <w:sz w:val="20"/>
        </w:rPr>
        <w:t>Williamson  [*333]  v. Elf Aquitaine, Inc</w:t>
      </w:r>
      <w:r>
        <w:rPr>
          <w:rFonts w:ascii="Arial" w:eastAsia="Arial" w:hAnsi="Arial" w:cs="Arial"/>
          <w:color w:val="000000"/>
          <w:sz w:val="20"/>
        </w:rPr>
        <w:t>., 138 F.3d 546, 549 (5th Cir. 1998)).</w:t>
      </w:r>
    </w:p>
    <w:p w:rsidR="00E456CD" w:rsidRDefault="00000000">
      <w:pPr>
        <w:pStyle w:val="Normal12"/>
        <w:widowControl w:val="0"/>
        <w:spacing w:before="200" w:line="260" w:lineRule="atLeast"/>
        <w:jc w:val="both"/>
      </w:pPr>
      <w:bookmarkStart w:id="2635" w:name="Bookmark_para_34_5"/>
      <w:bookmarkStart w:id="2636" w:name="Bookmark_I5KTRGC67RM000558V40000J"/>
      <w:bookmarkStart w:id="2637" w:name="Bookmark_I5KTRGC6CJS000558V40000K"/>
      <w:bookmarkStart w:id="2638" w:name="Bookmark_I5TK4K2B28T40N0040000400"/>
      <w:bookmarkEnd w:id="2635"/>
      <w:bookmarkEnd w:id="2636"/>
      <w:bookmarkEnd w:id="2637"/>
      <w:bookmarkEnd w:id="2638"/>
      <w:r>
        <w:rPr>
          <w:rFonts w:ascii="Arial" w:eastAsia="Arial" w:hAnsi="Arial" w:cs="Arial"/>
          <w:color w:val="000000"/>
          <w:sz w:val="20"/>
        </w:rPr>
        <w:t xml:space="preserve">Turning to the first factor, we have no state law guidance, and our federal analogue is not analogous. Applying the second factor, the answer to this important question could either impose future liability on many Texas businesses or preclude Texans from relying on an important anti-discrimination statute. In a prior case addressing these two factors, we have acknowledged that cases like this one—"where important state interests are at stake and the state courts have not provided clear guidance on how to proceed," </w:t>
      </w:r>
      <w:bookmarkStart w:id="2639" w:name="Bookmark_I5TK4K2B28T40N0030000400"/>
      <w:bookmarkEnd w:id="2639"/>
      <w:r>
        <w:rPr>
          <w:rFonts w:ascii="Arial" w:eastAsia="Arial" w:hAnsi="Arial" w:cs="Arial"/>
          <w:i/>
          <w:color w:val="000000"/>
          <w:sz w:val="20"/>
        </w:rPr>
        <w:t>Louisiana v. Anpac La. Ins. Co.</w:t>
      </w:r>
      <w:r>
        <w:rPr>
          <w:rFonts w:ascii="Arial" w:eastAsia="Arial" w:hAnsi="Arial" w:cs="Arial"/>
          <w:color w:val="000000"/>
          <w:sz w:val="20"/>
        </w:rPr>
        <w:t xml:space="preserve"> (</w:t>
      </w:r>
      <w:r>
        <w:rPr>
          <w:rFonts w:ascii="Arial" w:eastAsia="Arial" w:hAnsi="Arial" w:cs="Arial"/>
          <w:i/>
          <w:color w:val="000000"/>
          <w:sz w:val="20"/>
        </w:rPr>
        <w:t>In re Katrina Canal Breaches Litig</w:t>
      </w:r>
      <w:r>
        <w:rPr>
          <w:rFonts w:ascii="Arial" w:eastAsia="Arial" w:hAnsi="Arial" w:cs="Arial"/>
          <w:color w:val="000000"/>
          <w:sz w:val="20"/>
        </w:rPr>
        <w:t xml:space="preserve">.), 613 F.3d 504, 509 (5th Cir. 2010) (quoting </w:t>
      </w:r>
      <w:bookmarkStart w:id="2640" w:name="Bookmark_I5TK4K2B28T40N0050000400"/>
      <w:bookmarkEnd w:id="2640"/>
      <w:r>
        <w:rPr>
          <w:rFonts w:ascii="Arial" w:eastAsia="Arial" w:hAnsi="Arial" w:cs="Arial"/>
          <w:i/>
          <w:color w:val="000000"/>
          <w:sz w:val="20"/>
        </w:rPr>
        <w:t>Free v. Abbott Labs</w:t>
      </w:r>
      <w:r>
        <w:rPr>
          <w:rFonts w:ascii="Arial" w:eastAsia="Arial" w:hAnsi="Arial" w:cs="Arial"/>
          <w:color w:val="000000"/>
          <w:sz w:val="20"/>
        </w:rPr>
        <w:t>., 164 F.3d 270, 274 (5th Cir. 1999))—are candidates for certification.</w:t>
      </w:r>
    </w:p>
    <w:p w:rsidR="00E456CD" w:rsidRDefault="00000000">
      <w:pPr>
        <w:pStyle w:val="Normal12"/>
        <w:widowControl w:val="0"/>
        <w:spacing w:before="200" w:line="260" w:lineRule="atLeast"/>
        <w:jc w:val="both"/>
      </w:pPr>
      <w:bookmarkStart w:id="2641" w:name="Bookmark_para_35_4"/>
      <w:bookmarkEnd w:id="2641"/>
      <w:r>
        <w:rPr>
          <w:rFonts w:ascii="Arial" w:eastAsia="Arial" w:hAnsi="Arial" w:cs="Arial"/>
          <w:color w:val="000000"/>
          <w:sz w:val="20"/>
        </w:rPr>
        <w:t>With respect to the final factor, we perceive no [**19]  hardship in certifying the question. We can formulate discrete issues for consideration, and the Supreme Court of Texas has been prompt in its responses. (Of course, it has the discretion to decline certification if it disagrees with our analysis of these factors.) When asked at oral argument, neither party presented any reasons not to certify the relevant questions to the Supreme Court of Texas. We thus conclude certification is prudent and appropriate in this case.</w:t>
      </w:r>
    </w:p>
    <w:p w:rsidR="00E456CD" w:rsidRDefault="00000000">
      <w:pPr>
        <w:pStyle w:val="Normal12"/>
        <w:widowControl w:val="0"/>
        <w:spacing w:before="200" w:line="260" w:lineRule="atLeast"/>
        <w:jc w:val="both"/>
      </w:pPr>
      <w:bookmarkStart w:id="2642" w:name="Bookmark_para_36_4"/>
      <w:bookmarkEnd w:id="2642"/>
      <w:r>
        <w:rPr>
          <w:rFonts w:ascii="Arial" w:eastAsia="Arial" w:hAnsi="Arial" w:cs="Arial"/>
          <w:color w:val="000000"/>
          <w:sz w:val="20"/>
        </w:rPr>
        <w:t>Accordingly, we certify the following questions to the Supreme Court of Texas:</w:t>
      </w:r>
      <w:r>
        <w:rPr>
          <w:rFonts w:ascii="Arial" w:eastAsia="Arial" w:hAnsi="Arial" w:cs="Arial"/>
          <w:vertAlign w:val="superscript"/>
        </w:rPr>
        <w:footnoteReference w:customMarkFollows="1" w:id="115"/>
        <w:t>17</w:t>
      </w:r>
    </w:p>
    <w:p w:rsidR="00E456CD" w:rsidRDefault="00000000">
      <w:pPr>
        <w:pStyle w:val="Normal12"/>
        <w:widowControl w:val="0"/>
        <w:spacing w:line="260" w:lineRule="atLeast"/>
        <w:ind w:left="400"/>
        <w:jc w:val="both"/>
      </w:pPr>
      <w:bookmarkStart w:id="2644" w:name="Bookmark_para_37_4"/>
      <w:bookmarkEnd w:id="2644"/>
      <w:r>
        <w:rPr>
          <w:rFonts w:ascii="Arial" w:eastAsia="Arial" w:hAnsi="Arial" w:cs="Arial"/>
          <w:color w:val="000000"/>
          <w:sz w:val="20"/>
        </w:rPr>
        <w:t>1. Is a plasma collection center like the one described in Section I of this opinion a "public facility" under Texas Human Resources Code § 121.002(5)?</w:t>
      </w:r>
    </w:p>
    <w:p w:rsidR="00E456CD" w:rsidRDefault="00000000">
      <w:pPr>
        <w:pStyle w:val="Normal12"/>
        <w:widowControl w:val="0"/>
        <w:spacing w:before="200" w:line="260" w:lineRule="atLeast"/>
        <w:ind w:left="400"/>
        <w:jc w:val="both"/>
      </w:pPr>
      <w:bookmarkStart w:id="2645" w:name="Bookmark_para_38_4"/>
      <w:bookmarkEnd w:id="2645"/>
      <w:r>
        <w:rPr>
          <w:rFonts w:ascii="Arial" w:eastAsia="Arial" w:hAnsi="Arial" w:cs="Arial"/>
          <w:color w:val="000000"/>
          <w:sz w:val="20"/>
        </w:rPr>
        <w:t xml:space="preserve">2. If so, would Texas law allow the plasma collection center to reject a "person with a disability,"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Tex. Hum. Res. Code</w:t>
      </w:r>
      <w:r>
        <w:rPr>
          <w:rFonts w:ascii="Arial" w:eastAsia="Arial" w:hAnsi="Arial" w:cs="Arial"/>
          <w:color w:val="000000"/>
          <w:sz w:val="20"/>
        </w:rPr>
        <w:t xml:space="preserve"> § 121.002(4), based on the center's concerns for the individual's health that stem from the disability? What standard would apply to determining whether the plasma collection center properly rejected the person, rather than committed impermissible discrimination under Texas Human Resources Code § 121.003(a)?</w:t>
      </w:r>
    </w:p>
    <w:p w:rsidR="00E456CD" w:rsidRDefault="00000000">
      <w:pPr>
        <w:pStyle w:val="Normal12"/>
        <w:widowControl w:val="0"/>
        <w:spacing w:line="260" w:lineRule="atLeast"/>
        <w:jc w:val="both"/>
      </w:pPr>
      <w:r>
        <w:rPr>
          <w:rFonts w:ascii="Arial" w:eastAsia="Arial" w:hAnsi="Arial" w:cs="Arial"/>
          <w:color w:val="000000"/>
          <w:sz w:val="20"/>
        </w:rPr>
        <w:t>We disclaim any intention or desire that the Supreme Court of Texas confine its reply to the precise form or scope of the questions certified.</w:t>
      </w:r>
    </w:p>
    <w:p w:rsidR="00E456CD" w:rsidRDefault="00000000">
      <w:pPr>
        <w:pStyle w:val="Normal12"/>
        <w:widowControl w:val="0"/>
        <w:spacing w:before="240" w:line="260" w:lineRule="atLeast"/>
      </w:pPr>
      <w:r>
        <w:br/>
      </w:r>
      <w:r>
        <w:rPr>
          <w:rFonts w:ascii="Arial" w:eastAsia="Arial" w:hAnsi="Arial" w:cs="Arial"/>
          <w:b/>
          <w:color w:val="000000"/>
          <w:sz w:val="20"/>
        </w:rPr>
        <w:t>IV. Conclusion</w:t>
      </w:r>
    </w:p>
    <w:p w:rsidR="00E456CD" w:rsidRDefault="00000000">
      <w:pPr>
        <w:pStyle w:val="Normal12"/>
        <w:widowControl w:val="0"/>
        <w:spacing w:before="200" w:line="260" w:lineRule="atLeast"/>
        <w:jc w:val="both"/>
      </w:pPr>
      <w:bookmarkStart w:id="2646" w:name="Bookmark_para_39_4"/>
      <w:bookmarkEnd w:id="2646"/>
      <w:r>
        <w:rPr>
          <w:rFonts w:ascii="Arial" w:eastAsia="Arial" w:hAnsi="Arial" w:cs="Arial"/>
          <w:color w:val="000000"/>
          <w:sz w:val="20"/>
        </w:rPr>
        <w:t>We AFFIRM the district [**20]  court's grant of summary judgment on Silguero's and Wolfe's claims under the ADA. We CERTIFY to the Supreme Court of Texas the questions identified above.</w:t>
      </w:r>
    </w:p>
    <w:p w:rsidR="00E456CD" w:rsidRDefault="00E456CD">
      <w:pPr>
        <w:pStyle w:val="Normal12"/>
      </w:pPr>
    </w:p>
    <w:p w:rsidR="00E456CD" w:rsidRDefault="00000000">
      <w:pPr>
        <w:pStyle w:val="Normal12"/>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8691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34347484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51CD2" id="Line 29"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3"/>
        <w:sectPr w:rsidR="00E456CD">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gutter="0"/>
          <w:cols w:space="720"/>
          <w:titlePg/>
        </w:sectPr>
      </w:pPr>
    </w:p>
    <w:p w:rsidR="00E456CD" w:rsidRDefault="00E456CD">
      <w:pPr>
        <w:pStyle w:val="Normal13"/>
      </w:pPr>
    </w:p>
    <w:p w:rsidR="00E456CD" w:rsidRDefault="00000000">
      <w:pPr>
        <w:pStyle w:val="Heading112"/>
        <w:keepNext w:val="0"/>
        <w:widowControl w:val="0"/>
        <w:spacing w:after="200" w:line="340" w:lineRule="atLeast"/>
        <w:jc w:val="center"/>
      </w:pPr>
      <w:r>
        <w:rPr>
          <w:rFonts w:eastAsia="Arial"/>
          <w:color w:val="000000"/>
          <w:sz w:val="28"/>
        </w:rPr>
        <w:t>Bell-Kachelski v. Mich. Prot. &amp; Advocacy Serv.</w:t>
      </w:r>
    </w:p>
    <w:p w:rsidR="00E456CD" w:rsidRDefault="00000000">
      <w:pPr>
        <w:pStyle w:val="Normal13"/>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13"/>
        <w:widowControl w:val="0"/>
        <w:spacing w:before="120" w:line="260" w:lineRule="atLeast"/>
        <w:jc w:val="center"/>
      </w:pPr>
      <w:r>
        <w:rPr>
          <w:rFonts w:ascii="Arial" w:eastAsia="Arial" w:hAnsi="Arial" w:cs="Arial"/>
          <w:color w:val="000000"/>
          <w:sz w:val="20"/>
        </w:rPr>
        <w:t>September 10, 2018, Filed</w:t>
      </w:r>
    </w:p>
    <w:p w:rsidR="00E456CD" w:rsidRDefault="00000000">
      <w:pPr>
        <w:pStyle w:val="Normal13"/>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17-2508</w:t>
      </w:r>
    </w:p>
    <w:p w:rsidR="00E456CD" w:rsidRDefault="00E456CD">
      <w:pPr>
        <w:pStyle w:val="Normal13"/>
        <w:widowControl w:val="0"/>
        <w:spacing w:line="240" w:lineRule="atLeast"/>
        <w:jc w:val="both"/>
      </w:pPr>
      <w:bookmarkStart w:id="2647" w:name="Bookmark_14"/>
      <w:bookmarkEnd w:id="2647"/>
    </w:p>
    <w:p w:rsidR="00E456CD" w:rsidRDefault="00000000">
      <w:pPr>
        <w:pStyle w:val="Normal13"/>
        <w:widowControl w:val="0"/>
        <w:spacing w:before="200" w:line="240" w:lineRule="atLeast"/>
      </w:pPr>
      <w:bookmarkStart w:id="2648" w:name="Reporter_12"/>
      <w:bookmarkEnd w:id="2648"/>
      <w:r>
        <w:rPr>
          <w:rFonts w:ascii="Arial" w:eastAsia="Arial" w:hAnsi="Arial" w:cs="Arial"/>
          <w:b/>
          <w:color w:val="000000"/>
          <w:sz w:val="18"/>
        </w:rPr>
        <w:t>Reporter</w:t>
      </w:r>
    </w:p>
    <w:p w:rsidR="00E456CD" w:rsidRDefault="00000000">
      <w:pPr>
        <w:pStyle w:val="Normal13"/>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2018 U.S. App. LEXIS 25983 *</w:t>
      </w:r>
    </w:p>
    <w:p w:rsidR="00E456CD" w:rsidRDefault="00000000">
      <w:pPr>
        <w:pStyle w:val="Normal13"/>
        <w:widowControl w:val="0"/>
        <w:spacing w:before="120" w:line="260" w:lineRule="atLeast"/>
      </w:pPr>
      <w:r>
        <w:rPr>
          <w:rFonts w:ascii="Arial" w:eastAsia="Arial" w:hAnsi="Arial" w:cs="Arial"/>
          <w:color w:val="000000"/>
          <w:sz w:val="20"/>
        </w:rPr>
        <w:t>LINDA BELL-KACHELSKI, Plaintiff-Appellant, v. MICHIGAN PROTECTION AND ADVOCACY SERVICE, INC.; MICHIGAN REHABILITATION SERVICES, Defendants-Appellees.</w:t>
      </w:r>
    </w:p>
    <w:p w:rsidR="00E456CD" w:rsidRDefault="00000000">
      <w:pPr>
        <w:pStyle w:val="Normal13"/>
        <w:widowControl w:val="0"/>
        <w:spacing w:before="240" w:line="260" w:lineRule="atLeast"/>
        <w:jc w:val="both"/>
      </w:pPr>
      <w:bookmarkStart w:id="2649" w:name="Notice_4"/>
      <w:bookmarkEnd w:id="2649"/>
      <w:r>
        <w:rPr>
          <w:rFonts w:ascii="Arial" w:eastAsia="Arial" w:hAnsi="Arial" w:cs="Arial"/>
          <w:b/>
          <w:color w:val="000000"/>
          <w:sz w:val="20"/>
        </w:rPr>
        <w:t>Notice:</w:t>
      </w:r>
      <w:r>
        <w:rPr>
          <w:rFonts w:ascii="Arial" w:eastAsia="Arial" w:hAnsi="Arial" w:cs="Arial"/>
          <w:color w:val="000000"/>
          <w:sz w:val="20"/>
        </w:rPr>
        <w:t> </w:t>
      </w:r>
      <w:bookmarkStart w:id="2650" w:name="Bookmark_para_1_12"/>
      <w:bookmarkEnd w:id="2650"/>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13"/>
        <w:widowControl w:val="0"/>
        <w:spacing w:before="240" w:line="260" w:lineRule="atLeast"/>
        <w:jc w:val="both"/>
      </w:pPr>
      <w:bookmarkStart w:id="2651" w:name="Prior_History_12"/>
      <w:bookmarkEnd w:id="2651"/>
      <w:r>
        <w:rPr>
          <w:rFonts w:ascii="Arial" w:eastAsia="Arial" w:hAnsi="Arial" w:cs="Arial"/>
          <w:b/>
          <w:color w:val="000000"/>
          <w:sz w:val="20"/>
        </w:rPr>
        <w:t>Prior History:</w:t>
      </w:r>
      <w:r>
        <w:rPr>
          <w:rFonts w:ascii="Arial" w:eastAsia="Arial" w:hAnsi="Arial" w:cs="Arial"/>
          <w:color w:val="000000"/>
          <w:sz w:val="20"/>
        </w:rPr>
        <w:t> </w:t>
      </w:r>
      <w:bookmarkStart w:id="2652" w:name="Bookmark_para_2_12"/>
      <w:bookmarkEnd w:id="2652"/>
      <w:r>
        <w:rPr>
          <w:rFonts w:ascii="Arial" w:eastAsia="Arial" w:hAnsi="Arial" w:cs="Arial"/>
          <w:color w:val="000000"/>
          <w:sz w:val="20"/>
        </w:rPr>
        <w:t> [*1] ON APPEAL FROM THE UNITED STATES DISTRICT COURT FOR THE EASTERN DISTRICT OF MICHIGAN.</w:t>
      </w:r>
    </w:p>
    <w:p w:rsidR="00E456CD" w:rsidRDefault="00000000">
      <w:pPr>
        <w:pStyle w:val="Normal13"/>
        <w:widowControl w:val="0"/>
        <w:spacing w:before="120" w:line="260" w:lineRule="atLeast"/>
      </w:pPr>
      <w:r>
        <w:rPr>
          <w:rFonts w:ascii="Arial" w:eastAsia="Arial" w:hAnsi="Arial" w:cs="Arial"/>
          <w:color w:val="000000"/>
          <w:sz w:val="20"/>
        </w:rPr>
        <w:t>Bell-Kachelski v. Mich. Prot. &amp; Advocacy Serv., 2017 U.S. Dist. LEXIS 191299 ( E.D. Mich., Nov. 20, 2017)</w:t>
      </w:r>
    </w:p>
    <w:p w:rsidR="00E456CD" w:rsidRDefault="00000000">
      <w:pPr>
        <w:pStyle w:val="Normal13"/>
        <w:widowControl w:val="0"/>
        <w:spacing w:before="240" w:line="260" w:lineRule="atLeast"/>
      </w:pPr>
      <w:bookmarkStart w:id="2653" w:name="Counsel_12"/>
      <w:bookmarkEnd w:id="2653"/>
      <w:r>
        <w:rPr>
          <w:rFonts w:ascii="Arial" w:eastAsia="Arial" w:hAnsi="Arial" w:cs="Arial"/>
          <w:b/>
          <w:color w:val="000000"/>
          <w:sz w:val="20"/>
        </w:rPr>
        <w:t>Counsel:</w:t>
      </w:r>
      <w:r>
        <w:rPr>
          <w:rFonts w:ascii="Arial" w:eastAsia="Arial" w:hAnsi="Arial" w:cs="Arial"/>
          <w:color w:val="000000"/>
          <w:sz w:val="20"/>
        </w:rPr>
        <w:t> Linda Bell-Kachelski, Plaintiff - Appellant, Pro se, Flint, MI.</w:t>
      </w:r>
    </w:p>
    <w:p w:rsidR="00E456CD" w:rsidRDefault="00000000">
      <w:pPr>
        <w:pStyle w:val="Normal13"/>
        <w:widowControl w:val="0"/>
        <w:spacing w:before="120" w:line="260" w:lineRule="atLeast"/>
      </w:pPr>
      <w:r>
        <w:rPr>
          <w:rFonts w:ascii="Arial" w:eastAsia="Arial" w:hAnsi="Arial" w:cs="Arial"/>
          <w:color w:val="000000"/>
          <w:sz w:val="20"/>
        </w:rPr>
        <w:t>For Michigan Protection And Advocacy Service, Inc., Defendant - Appellee: Steven M. Wolock, Maddin, Hauser, Roth &amp; Heller, Southfield, MI.</w:t>
      </w:r>
    </w:p>
    <w:p w:rsidR="00E456CD" w:rsidRDefault="00000000">
      <w:pPr>
        <w:pStyle w:val="Normal13"/>
        <w:widowControl w:val="0"/>
        <w:spacing w:before="120" w:line="260" w:lineRule="atLeast"/>
      </w:pPr>
      <w:r>
        <w:rPr>
          <w:rFonts w:ascii="Arial" w:eastAsia="Arial" w:hAnsi="Arial" w:cs="Arial"/>
          <w:color w:val="000000"/>
          <w:sz w:val="20"/>
        </w:rPr>
        <w:t>For Michigan Rehabilitation Services, Defendant - Appellee: John G. Fedynsky, Office of the Attorney General of Michigan, Lansing, MI.</w:t>
      </w:r>
    </w:p>
    <w:p w:rsidR="00E456CD" w:rsidRDefault="00000000">
      <w:pPr>
        <w:pStyle w:val="Normal13"/>
        <w:widowControl w:val="0"/>
        <w:spacing w:before="240" w:line="260" w:lineRule="atLeast"/>
      </w:pPr>
      <w:bookmarkStart w:id="2654" w:name="Judges_12"/>
      <w:bookmarkEnd w:id="2654"/>
      <w:r>
        <w:rPr>
          <w:rFonts w:ascii="Arial" w:eastAsia="Arial" w:hAnsi="Arial" w:cs="Arial"/>
          <w:b/>
          <w:color w:val="000000"/>
          <w:sz w:val="20"/>
        </w:rPr>
        <w:t>Judges:</w:t>
      </w:r>
      <w:r>
        <w:rPr>
          <w:rFonts w:ascii="Arial" w:eastAsia="Arial" w:hAnsi="Arial" w:cs="Arial"/>
          <w:color w:val="000000"/>
          <w:sz w:val="20"/>
        </w:rPr>
        <w:t> Before: MERRITT, CLAY, and BUSH, Circuit Judges.</w:t>
      </w:r>
    </w:p>
    <w:p w:rsidR="00E456CD" w:rsidRDefault="00000000">
      <w:pPr>
        <w:pStyle w:val="Normal13"/>
        <w:keepNext/>
        <w:widowControl w:val="0"/>
        <w:spacing w:before="240" w:line="340" w:lineRule="atLeast"/>
      </w:pPr>
      <w:bookmarkStart w:id="2655" w:name="Opinion_12"/>
      <w:bookmarkEnd w:id="2655"/>
      <w:r>
        <w:rPr>
          <w:rFonts w:ascii="Arial" w:eastAsia="Arial" w:hAnsi="Arial" w:cs="Arial"/>
          <w:b/>
          <w:color w:val="000000"/>
          <w:sz w:val="28"/>
        </w:rPr>
        <w:t>Opinion</w:t>
      </w:r>
    </w:p>
    <w:p w:rsidR="00E456CD" w:rsidRDefault="00E22289">
      <w:pPr>
        <w:pStyle w:val="Normal13"/>
        <w:spacing w:line="60" w:lineRule="exact"/>
      </w:pPr>
      <w:r>
        <w:rPr>
          <w:noProof/>
        </w:rP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703164735"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5AB92" id="Line 3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3"/>
        <w:spacing w:line="120" w:lineRule="exact"/>
      </w:pPr>
    </w:p>
    <w:p w:rsidR="00E456CD" w:rsidRDefault="00000000">
      <w:pPr>
        <w:pStyle w:val="Normal13"/>
        <w:widowControl w:val="0"/>
        <w:spacing w:before="240" w:line="260" w:lineRule="atLeast"/>
      </w:pPr>
      <w:r>
        <w:br/>
      </w:r>
      <w:r>
        <w:rPr>
          <w:rFonts w:ascii="Arial" w:eastAsia="Arial" w:hAnsi="Arial" w:cs="Arial"/>
          <w:color w:val="000000"/>
          <w:sz w:val="20"/>
          <w:u w:val="single"/>
        </w:rPr>
        <w:t>ORDER</w:t>
      </w:r>
    </w:p>
    <w:p w:rsidR="00E456CD" w:rsidRDefault="00000000">
      <w:pPr>
        <w:pStyle w:val="Normal13"/>
        <w:widowControl w:val="0"/>
        <w:spacing w:before="200" w:line="260" w:lineRule="atLeast"/>
        <w:jc w:val="both"/>
      </w:pPr>
      <w:bookmarkStart w:id="2656" w:name="Bookmark_para_3_12"/>
      <w:bookmarkEnd w:id="2656"/>
      <w:r>
        <w:rPr>
          <w:rFonts w:ascii="Arial" w:eastAsia="Arial" w:hAnsi="Arial" w:cs="Arial"/>
          <w:color w:val="000000"/>
          <w:sz w:val="20"/>
        </w:rPr>
        <w:t xml:space="preserve">Linda Bell-Kachelski, a pro se Michigan resident, appeals the district court's order granting summary judgment in favor of the defendants and dismissing her civil complaint. This case has been referred to a panel of the court that, upon examination, unanimously agrees that oral argument is not needed. </w:t>
      </w:r>
      <w:r>
        <w:rPr>
          <w:rFonts w:ascii="Arial" w:eastAsia="Arial" w:hAnsi="Arial" w:cs="Arial"/>
          <w:i/>
          <w:color w:val="000000"/>
          <w:sz w:val="20"/>
        </w:rPr>
        <w:t>See</w:t>
      </w:r>
      <w:r>
        <w:rPr>
          <w:rFonts w:ascii="Arial" w:eastAsia="Arial" w:hAnsi="Arial" w:cs="Arial"/>
          <w:color w:val="000000"/>
          <w:sz w:val="20"/>
        </w:rPr>
        <w:t xml:space="preserve"> Fed. R. App. P. 34(a). Bell-Kachelski also moves for the appointment of counsel.</w:t>
      </w:r>
    </w:p>
    <w:p w:rsidR="00E456CD" w:rsidRDefault="00000000">
      <w:pPr>
        <w:pStyle w:val="Normal13"/>
        <w:widowControl w:val="0"/>
        <w:spacing w:before="200" w:line="260" w:lineRule="atLeast"/>
        <w:jc w:val="both"/>
      </w:pPr>
      <w:bookmarkStart w:id="2657" w:name="Bookmark_para_4_12"/>
      <w:bookmarkEnd w:id="2657"/>
      <w:r>
        <w:rPr>
          <w:rFonts w:ascii="Arial" w:eastAsia="Arial" w:hAnsi="Arial" w:cs="Arial"/>
          <w:color w:val="000000"/>
          <w:sz w:val="20"/>
        </w:rPr>
        <w:t xml:space="preserve">In 2016, Bell-Kachelski, represented by counsel, filed a complaint against Michigan Protection and Advocacy Service, Inc. ("MPAS") and Michigan Rehabilitation Services ("MRS"). MPAS is a private, non-profit organization whose mission is to advocate for and protect the rights of individuals with disabilities, and MRS is a part of Michigan's Department of Health [*2]  and Human Services. Bell-Kachelski claimed that she suffers from a permanent cognitive disability that prevents her from working all day within a large group. She sought assistance from MRS in obtaining her sign-language interpreter certification and tuition towards the completion of her bachelor's degree. When disputes arose between Bell-Kachelski and MRS regarding the services that she was receiving, she sought MPAS's assistance on multiple occasions to advocate on her behalf with MRS. Unsatisfied with the defendants' services, she filed the present lawsuit alleging that the defendants violated her rights under the Americans with Disabilities Act ("ADA") by denying her services on the basis of her cognitive disability. </w:t>
      </w:r>
      <w:r>
        <w:rPr>
          <w:rFonts w:ascii="Arial" w:eastAsia="Arial" w:hAnsi="Arial" w:cs="Arial"/>
          <w:i/>
          <w:color w:val="000000"/>
          <w:sz w:val="20"/>
        </w:rPr>
        <w:t>See</w:t>
      </w:r>
      <w:r>
        <w:rPr>
          <w:rFonts w:ascii="Arial" w:eastAsia="Arial" w:hAnsi="Arial" w:cs="Arial"/>
          <w:color w:val="000000"/>
          <w:sz w:val="20"/>
        </w:rPr>
        <w:t xml:space="preserve"> 42 U.S.C. §§ 12132, 12182. She also brought state-law claims for violations of the Michigan Persons with Disabilities Civil Rights Act, Michigan Compiled Laws § 37.1301; violations of the Elliott-Larsen Civil Rights Act, Michigan Compiled Laws § 37.2101, </w:t>
      </w:r>
      <w:r>
        <w:rPr>
          <w:rFonts w:ascii="Arial" w:eastAsia="Arial" w:hAnsi="Arial" w:cs="Arial"/>
          <w:i/>
          <w:color w:val="000000"/>
          <w:sz w:val="20"/>
        </w:rPr>
        <w:t>et seq.</w:t>
      </w:r>
      <w:r>
        <w:rPr>
          <w:rFonts w:ascii="Arial" w:eastAsia="Arial" w:hAnsi="Arial" w:cs="Arial"/>
          <w:color w:val="000000"/>
          <w:sz w:val="20"/>
        </w:rPr>
        <w:t>; legal malpractice; and civil conspiracy. Both defendants filed motions for summary judgment. After briefing and argument, the district court granted summary judgment in favor of the defendants on the ADA claims. The district court then dismissed her state-law claims without prejudice to her ability [*3]  to re-raise them in state court.</w:t>
      </w:r>
    </w:p>
    <w:p w:rsidR="00E456CD" w:rsidRDefault="00000000">
      <w:pPr>
        <w:pStyle w:val="Normal13"/>
        <w:widowControl w:val="0"/>
        <w:spacing w:before="200" w:line="260" w:lineRule="atLeast"/>
        <w:jc w:val="both"/>
      </w:pPr>
      <w:bookmarkStart w:id="2658" w:name="Bookmark_para_5_12"/>
      <w:bookmarkEnd w:id="2658"/>
      <w:r>
        <w:rPr>
          <w:rFonts w:ascii="Arial" w:eastAsia="Arial" w:hAnsi="Arial" w:cs="Arial"/>
          <w:color w:val="000000"/>
          <w:sz w:val="20"/>
        </w:rPr>
        <w:t>Now proceeding pro se on appeal, Bell-Kachelski challenges the district court's dismissal of her ADA claims and lists various causes of action, and she lists statutes and regulatory provisions that she believes the defendants violated. She echoes the claims in her complaint and states that she does not know what arguments her attorney made in the district court. She also asserts that her business affairs and personal life have been disrupted after the University of Michigan-Flint garnished her wages due to her defaulted student loans.</w:t>
      </w:r>
    </w:p>
    <w:p w:rsidR="00E456CD" w:rsidRDefault="00000000">
      <w:pPr>
        <w:pStyle w:val="Normal13"/>
        <w:widowControl w:val="0"/>
        <w:spacing w:before="200" w:line="260" w:lineRule="atLeast"/>
        <w:jc w:val="both"/>
      </w:pPr>
      <w:bookmarkStart w:id="2659" w:name="Bookmark_para_6_12"/>
      <w:bookmarkStart w:id="2660" w:name="Bookmark_I5TF9CMG2HM6DP0020000400"/>
      <w:bookmarkStart w:id="2661" w:name="Bookmark_I5TF9CMG2HM6DP0040000400"/>
      <w:bookmarkStart w:id="2662" w:name="Bookmark_LNHNREFclscc1_10"/>
      <w:bookmarkEnd w:id="2659"/>
      <w:bookmarkEnd w:id="2660"/>
      <w:bookmarkEnd w:id="2661"/>
      <w:bookmarkEnd w:id="2662"/>
      <w:r>
        <w:rPr>
          <w:rFonts w:ascii="Arial" w:eastAsia="Arial" w:hAnsi="Arial" w:cs="Arial"/>
          <w:color w:val="000000"/>
          <w:sz w:val="20"/>
        </w:rPr>
        <w:t xml:space="preserve">We review a grant of summary judgment de novo. </w:t>
      </w:r>
      <w:bookmarkStart w:id="2663" w:name="Bookmark_I5TF9CMG2HM6DP0010000400"/>
      <w:bookmarkEnd w:id="2663"/>
      <w:r>
        <w:rPr>
          <w:rFonts w:ascii="Arial" w:eastAsia="Arial" w:hAnsi="Arial" w:cs="Arial"/>
          <w:i/>
          <w:color w:val="000000"/>
          <w:sz w:val="20"/>
        </w:rPr>
        <w:t>Laster v. City of Kalamazoo</w:t>
      </w:r>
      <w:r>
        <w:rPr>
          <w:rFonts w:ascii="Arial" w:eastAsia="Arial" w:hAnsi="Arial" w:cs="Arial"/>
          <w:color w:val="000000"/>
          <w:sz w:val="20"/>
        </w:rPr>
        <w:t xml:space="preserve">, 746 F.3d 714, 726 (6th Cir. 2014). </w:t>
      </w:r>
      <w:bookmarkStart w:id="2664" w:name="Bookmark_I5TF9CMG28T4480030000400"/>
      <w:bookmarkStart w:id="2665" w:name="Bookmark_LNHNREFclscc2_10"/>
      <w:bookmarkEnd w:id="2664"/>
      <w:bookmarkEnd w:id="2665"/>
      <w:r>
        <w:rPr>
          <w:rFonts w:ascii="Arial" w:eastAsia="Arial" w:hAnsi="Arial" w:cs="Arial"/>
          <w:color w:val="000000"/>
          <w:sz w:val="20"/>
        </w:rPr>
        <w:t xml:space="preserve">Summary judgment is appropriate where "the movant shows that there is no genuine dispute as to any material fact and the movant is entitled to judgment as a matter of law." Fed. R. Civ. P. 56(a). </w:t>
      </w:r>
      <w:bookmarkStart w:id="2666" w:name="Bookmark_LNHNREFclscc3_9"/>
      <w:bookmarkEnd w:id="2666"/>
      <w:r>
        <w:rPr>
          <w:rFonts w:ascii="Arial" w:eastAsia="Arial" w:hAnsi="Arial" w:cs="Arial"/>
          <w:color w:val="000000"/>
          <w:sz w:val="20"/>
        </w:rPr>
        <w:t xml:space="preserve">When reviewing a motion for summary judgment, we view the evidence and all inferences drawn from the underlying facts "in the light most favorable to the party opposing the motion." </w:t>
      </w:r>
      <w:bookmarkStart w:id="2667" w:name="Bookmark_I5TF9CMG2HM6DP0030000400"/>
      <w:bookmarkEnd w:id="2667"/>
      <w:r>
        <w:rPr>
          <w:rFonts w:ascii="Arial" w:eastAsia="Arial" w:hAnsi="Arial" w:cs="Arial"/>
          <w:i/>
          <w:color w:val="000000"/>
          <w:sz w:val="20"/>
        </w:rPr>
        <w:t>Matsushita Elec. Indus. Co. v. Zenith Radio Corp.</w:t>
      </w:r>
      <w:r>
        <w:rPr>
          <w:rFonts w:ascii="Arial" w:eastAsia="Arial" w:hAnsi="Arial" w:cs="Arial"/>
          <w:color w:val="000000"/>
          <w:sz w:val="20"/>
        </w:rPr>
        <w:t xml:space="preserve">, 475 U.S. 574, 587, 106 S. Ct. 1348, 89 L. Ed. 2d 538 (1986) (quoting </w:t>
      </w:r>
      <w:bookmarkStart w:id="2668" w:name="Bookmark_I5TF9CMG2HM6DP0050000400"/>
      <w:bookmarkEnd w:id="2668"/>
      <w:r>
        <w:rPr>
          <w:rFonts w:ascii="Arial" w:eastAsia="Arial" w:hAnsi="Arial" w:cs="Arial"/>
          <w:i/>
          <w:color w:val="000000"/>
          <w:sz w:val="20"/>
        </w:rPr>
        <w:t>United States v. Diebold, Inc.</w:t>
      </w:r>
      <w:r>
        <w:rPr>
          <w:rFonts w:ascii="Arial" w:eastAsia="Arial" w:hAnsi="Arial" w:cs="Arial"/>
          <w:color w:val="000000"/>
          <w:sz w:val="20"/>
        </w:rPr>
        <w:t xml:space="preserve">, 369 U.S. 654, 655, 82 S. Ct. 993, 8 L. Ed. 2d 176 (1962)). </w:t>
      </w:r>
      <w:bookmarkStart w:id="2669" w:name="Bookmark_I5TF9CMG28T4480030000400_2"/>
      <w:bookmarkStart w:id="2670" w:name="Bookmark_I5TF9CMG28T4480050000400"/>
      <w:bookmarkStart w:id="2671" w:name="Bookmark_LNHNREFclscc4_9"/>
      <w:bookmarkEnd w:id="2669"/>
      <w:bookmarkEnd w:id="2670"/>
      <w:bookmarkEnd w:id="2671"/>
      <w:r>
        <w:rPr>
          <w:rFonts w:ascii="Arial" w:eastAsia="Arial" w:hAnsi="Arial" w:cs="Arial"/>
          <w:color w:val="000000"/>
          <w:sz w:val="20"/>
        </w:rPr>
        <w:t xml:space="preserve">Summary judgment is appropriate against a party that "fails to make a showing sufficient to establish the existence of an element essential to that party's case, and on which that party will bear the burden of [*4]  proof at trial." </w:t>
      </w:r>
      <w:bookmarkStart w:id="2672" w:name="Bookmark_I5TF9CMG28T4480020000400"/>
      <w:bookmarkEnd w:id="2672"/>
      <w:r>
        <w:rPr>
          <w:rFonts w:ascii="Arial" w:eastAsia="Arial" w:hAnsi="Arial" w:cs="Arial"/>
          <w:i/>
          <w:color w:val="000000"/>
          <w:sz w:val="20"/>
        </w:rPr>
        <w:t>Celotex Corp. v. Catrett</w:t>
      </w:r>
      <w:r>
        <w:rPr>
          <w:rFonts w:ascii="Arial" w:eastAsia="Arial" w:hAnsi="Arial" w:cs="Arial"/>
          <w:color w:val="000000"/>
          <w:sz w:val="20"/>
        </w:rPr>
        <w:t xml:space="preserve">, 477 U.S. 317, 322, 106 S. Ct. 2548, 91 L. Ed. 2d 265 (1986). </w:t>
      </w:r>
      <w:bookmarkStart w:id="2673" w:name="Bookmark_I5TF9CMG28T4480050000400_2"/>
      <w:bookmarkEnd w:id="2673"/>
      <w:r>
        <w:rPr>
          <w:rFonts w:ascii="Arial" w:eastAsia="Arial" w:hAnsi="Arial" w:cs="Arial"/>
          <w:color w:val="000000"/>
          <w:sz w:val="20"/>
        </w:rPr>
        <w:t xml:space="preserve">The nonmoving party must show that sufficient evidence exists to create a genuine issue of material fact, with a mere "scintilla" of evidence being insufficient. </w:t>
      </w:r>
      <w:bookmarkStart w:id="2674" w:name="Bookmark_I5TF9CMG28T4480040000400"/>
      <w:bookmarkEnd w:id="2674"/>
      <w:r>
        <w:rPr>
          <w:rFonts w:ascii="Arial" w:eastAsia="Arial" w:hAnsi="Arial" w:cs="Arial"/>
          <w:i/>
          <w:color w:val="000000"/>
          <w:sz w:val="20"/>
        </w:rPr>
        <w:t>Bell v. Ohio State Univ.</w:t>
      </w:r>
      <w:r>
        <w:rPr>
          <w:rFonts w:ascii="Arial" w:eastAsia="Arial" w:hAnsi="Arial" w:cs="Arial"/>
          <w:color w:val="000000"/>
          <w:sz w:val="20"/>
        </w:rPr>
        <w:t>, 351 F.3d 240, 247 (6th Cir. 2003).</w:t>
      </w:r>
    </w:p>
    <w:p w:rsidR="00E456CD" w:rsidRDefault="00000000">
      <w:pPr>
        <w:pStyle w:val="Normal13"/>
        <w:widowControl w:val="0"/>
        <w:spacing w:before="200" w:line="260" w:lineRule="atLeast"/>
        <w:jc w:val="both"/>
      </w:pPr>
      <w:bookmarkStart w:id="2675" w:name="Bookmark_para_7_12"/>
      <w:bookmarkStart w:id="2676" w:name="Bookmark_I5TF9CMG2N1RFR0020000400"/>
      <w:bookmarkStart w:id="2677" w:name="Bookmark_I5TF9CMG2N1RFR0040000400"/>
      <w:bookmarkStart w:id="2678" w:name="Bookmark_LNHNREFclscc5_9"/>
      <w:bookmarkEnd w:id="2675"/>
      <w:bookmarkEnd w:id="2676"/>
      <w:bookmarkEnd w:id="2677"/>
      <w:bookmarkEnd w:id="2678"/>
      <w:r>
        <w:rPr>
          <w:rFonts w:ascii="Arial" w:eastAsia="Arial" w:hAnsi="Arial" w:cs="Arial"/>
          <w:color w:val="000000"/>
          <w:sz w:val="20"/>
        </w:rPr>
        <w:t xml:space="preserve">Title II of the ADA "forbids any 'public entity' from discriminating based on disability." </w:t>
      </w:r>
      <w:bookmarkStart w:id="2679" w:name="Bookmark_I5TF9CMG2N1RFR0010000400"/>
      <w:bookmarkEnd w:id="2679"/>
      <w:r>
        <w:rPr>
          <w:rFonts w:ascii="Arial" w:eastAsia="Arial" w:hAnsi="Arial" w:cs="Arial"/>
          <w:i/>
          <w:color w:val="000000"/>
          <w:sz w:val="20"/>
        </w:rPr>
        <w:t>Fry v. Napoleon Cmty. Sch.</w:t>
      </w:r>
      <w:r>
        <w:rPr>
          <w:rFonts w:ascii="Arial" w:eastAsia="Arial" w:hAnsi="Arial" w:cs="Arial"/>
          <w:color w:val="000000"/>
          <w:sz w:val="20"/>
        </w:rPr>
        <w:t xml:space="preserve">, 137 S. Ct. 743, 749, 197 L. Ed. 2d 46 (2017); </w:t>
      </w:r>
      <w:r>
        <w:rPr>
          <w:rFonts w:ascii="Arial" w:eastAsia="Arial" w:hAnsi="Arial" w:cs="Arial"/>
          <w:i/>
          <w:color w:val="000000"/>
          <w:sz w:val="20"/>
        </w:rPr>
        <w:t>see also</w:t>
      </w:r>
      <w:r>
        <w:rPr>
          <w:rFonts w:ascii="Arial" w:eastAsia="Arial" w:hAnsi="Arial" w:cs="Arial"/>
          <w:color w:val="000000"/>
          <w:sz w:val="20"/>
        </w:rPr>
        <w:t xml:space="preserve"> 42 U.S.C. §§ 12131-33. </w:t>
      </w:r>
      <w:bookmarkStart w:id="2680" w:name="Bookmark_I5TF9CMG2D6N9R0010000400"/>
      <w:bookmarkEnd w:id="2680"/>
      <w:r>
        <w:rPr>
          <w:rFonts w:ascii="Arial" w:eastAsia="Arial" w:hAnsi="Arial" w:cs="Arial"/>
          <w:color w:val="000000"/>
          <w:sz w:val="20"/>
        </w:rPr>
        <w:t xml:space="preserve">"[N]o qualified individual with a disability shall, by reason of such disability, be excluded from participation in or be denied the benefits of the services, programs, or activities of a public entity, or be subjected to discrimination from any such entity." 42 U.S.C. § 12132. Individuals may seek monetary damages or injunctive relief for violating this section of the ADA. </w:t>
      </w:r>
      <w:bookmarkStart w:id="2681" w:name="Bookmark_I5TF9CMG2N1RFR0030000400"/>
      <w:bookmarkEnd w:id="2681"/>
      <w:r>
        <w:rPr>
          <w:rFonts w:ascii="Arial" w:eastAsia="Arial" w:hAnsi="Arial" w:cs="Arial"/>
          <w:i/>
          <w:color w:val="000000"/>
          <w:sz w:val="20"/>
        </w:rPr>
        <w:t>Fry</w:t>
      </w:r>
      <w:r>
        <w:rPr>
          <w:rFonts w:ascii="Arial" w:eastAsia="Arial" w:hAnsi="Arial" w:cs="Arial"/>
          <w:color w:val="000000"/>
          <w:sz w:val="20"/>
        </w:rPr>
        <w:t xml:space="preserve">, 137 S. Ct. at 750. </w:t>
      </w:r>
      <w:bookmarkStart w:id="2682" w:name="Bookmark_I5TF9CMG2D6N9R0010000400_2"/>
      <w:bookmarkEnd w:id="2682"/>
      <w:r>
        <w:rPr>
          <w:rFonts w:ascii="Arial" w:eastAsia="Arial" w:hAnsi="Arial" w:cs="Arial"/>
          <w:color w:val="000000"/>
          <w:sz w:val="20"/>
        </w:rPr>
        <w:t xml:space="preserve">To establish a prima facie case of discrimination under Title II, a plaintiff must show "that he (1) is disabled under the statutes, (2) is 'otherwise qualified' for participation in [a state or local government] program, and (3) 'is being excluded from participation in, denied the benefits of, or subjected to discrimination' because of his disability or handicap." </w:t>
      </w:r>
      <w:bookmarkStart w:id="2683" w:name="Bookmark_I5TF9CMG2N1RFR0050000400"/>
      <w:bookmarkEnd w:id="2683"/>
      <w:r>
        <w:rPr>
          <w:rFonts w:ascii="Arial" w:eastAsia="Arial" w:hAnsi="Arial" w:cs="Arial"/>
          <w:i/>
          <w:color w:val="000000"/>
          <w:sz w:val="20"/>
        </w:rPr>
        <w:t>Gohl v. Livonia Pub. Sch. Sch. Dist.</w:t>
      </w:r>
      <w:r>
        <w:rPr>
          <w:rFonts w:ascii="Arial" w:eastAsia="Arial" w:hAnsi="Arial" w:cs="Arial"/>
          <w:color w:val="000000"/>
          <w:sz w:val="20"/>
        </w:rPr>
        <w:t xml:space="preserve">, 836 F.3d 672, 682 (6th Cir. 2016) (quoting </w:t>
      </w:r>
      <w:bookmarkStart w:id="2684" w:name="Bookmark_I5TF9CMG2D6N9R0020000400"/>
      <w:bookmarkEnd w:id="2684"/>
      <w:r>
        <w:rPr>
          <w:rFonts w:ascii="Arial" w:eastAsia="Arial" w:hAnsi="Arial" w:cs="Arial"/>
          <w:i/>
          <w:color w:val="000000"/>
          <w:sz w:val="20"/>
        </w:rPr>
        <w:t>G.C. v. Owensboro Pub. Sch.</w:t>
      </w:r>
      <w:r>
        <w:rPr>
          <w:rFonts w:ascii="Arial" w:eastAsia="Arial" w:hAnsi="Arial" w:cs="Arial"/>
          <w:color w:val="000000"/>
          <w:sz w:val="20"/>
        </w:rPr>
        <w:t xml:space="preserve">, 711 F.3d 623, 635 (6th Cir. 2013)), </w:t>
      </w:r>
      <w:r>
        <w:rPr>
          <w:rFonts w:ascii="Arial" w:eastAsia="Arial" w:hAnsi="Arial" w:cs="Arial"/>
          <w:i/>
          <w:color w:val="000000"/>
          <w:sz w:val="20"/>
        </w:rPr>
        <w:t>cert. denied</w:t>
      </w:r>
      <w:r>
        <w:rPr>
          <w:rFonts w:ascii="Arial" w:eastAsia="Arial" w:hAnsi="Arial" w:cs="Arial"/>
          <w:color w:val="000000"/>
          <w:sz w:val="20"/>
        </w:rPr>
        <w:t xml:space="preserve">, 138 S. Ct. 56, 199 L. Ed. 2d 18 (2017). The plaintiff must also establish that "but for" the plaintiff's disability, the discrimination would not have occurred. </w:t>
      </w:r>
      <w:r>
        <w:rPr>
          <w:rFonts w:ascii="Arial" w:eastAsia="Arial" w:hAnsi="Arial" w:cs="Arial"/>
          <w:i/>
          <w:color w:val="000000"/>
          <w:sz w:val="20"/>
        </w:rPr>
        <w:t>Id.</w:t>
      </w:r>
    </w:p>
    <w:p w:rsidR="00E456CD" w:rsidRDefault="00000000">
      <w:pPr>
        <w:pStyle w:val="Normal13"/>
        <w:widowControl w:val="0"/>
        <w:spacing w:before="200" w:line="260" w:lineRule="atLeast"/>
        <w:jc w:val="both"/>
      </w:pPr>
      <w:bookmarkStart w:id="2685" w:name="Bookmark_para_8_12"/>
      <w:bookmarkEnd w:id="2685"/>
      <w:r>
        <w:rPr>
          <w:rFonts w:ascii="Arial" w:eastAsia="Arial" w:hAnsi="Arial" w:cs="Arial"/>
          <w:color w:val="000000"/>
          <w:sz w:val="20"/>
        </w:rPr>
        <w:t>Bell-Kachelski alleged that MRS [*5]  discriminated against her, in violation of Title II, by closing her case on multiple occasions and failing to honor its promises to her that it would (1) pay the fee for her to re-take her interpreter's exam; (2) pay for her to take English 112 at the University of Michigan-Flint as an assessment of her ability to proceed with college coursework; (3) develop an Individualized Plan for Employment ("IPE"),</w:t>
      </w:r>
      <w:r>
        <w:rPr>
          <w:rFonts w:ascii="Arial" w:eastAsia="Arial" w:hAnsi="Arial" w:cs="Arial"/>
          <w:vertAlign w:val="superscript"/>
        </w:rPr>
        <w:footnoteReference w:customMarkFollows="1" w:id="116"/>
        <w:t>1</w:t>
      </w:r>
      <w:r>
        <w:rPr>
          <w:rFonts w:ascii="Arial" w:eastAsia="Arial" w:hAnsi="Arial" w:cs="Arial"/>
          <w:color w:val="000000"/>
          <w:sz w:val="20"/>
        </w:rPr>
        <w:t xml:space="preserve"> which she needed to gain certification as an interpreter and to receive financial assistance to pay for her full-time enrollment at the University of Michigan-Flint to complete her bachelor's degree, should she pass English 112; and (4) assign her a new MRS counselor. The district court concluded that this claim failed because she did not present evidence that she was "otherwise qualified" to receive the services or that MRS acted with animus toward her disability. The district court did not err in these conclusions.</w:t>
      </w:r>
    </w:p>
    <w:p w:rsidR="00E456CD" w:rsidRDefault="00000000">
      <w:pPr>
        <w:pStyle w:val="Normal13"/>
        <w:widowControl w:val="0"/>
        <w:spacing w:before="200" w:line="260" w:lineRule="atLeast"/>
        <w:jc w:val="both"/>
      </w:pPr>
      <w:bookmarkStart w:id="2687" w:name="Bookmark_para_9_12"/>
      <w:bookmarkStart w:id="2688" w:name="Bookmark_I5TF9CMG2D6N9R0050000400"/>
      <w:bookmarkEnd w:id="2687"/>
      <w:bookmarkEnd w:id="2688"/>
      <w:r>
        <w:rPr>
          <w:rFonts w:ascii="Arial" w:eastAsia="Arial" w:hAnsi="Arial" w:cs="Arial"/>
          <w:color w:val="000000"/>
          <w:sz w:val="20"/>
        </w:rPr>
        <w:t xml:space="preserve">Bell-Kachelski's response to MRS's summary-judgment motion identified disputes of fact regarding whether MRS denied her services that it had promised to provide. But the mere facts that MRS may have denied Bell-Kachelski services, closed her case, or attempted to have her [*6]  sign an IPE that did not include their earlier promises do not demonstrate that MRS had an animus towards her cognitive disability. </w:t>
      </w:r>
      <w:r>
        <w:rPr>
          <w:rFonts w:ascii="Arial" w:eastAsia="Arial" w:hAnsi="Arial" w:cs="Arial"/>
          <w:i/>
          <w:color w:val="000000"/>
          <w:sz w:val="20"/>
        </w:rPr>
        <w:t xml:space="preserve">See </w:t>
      </w:r>
      <w:bookmarkStart w:id="2689" w:name="Bookmark_I5TF9CMG2D6N9R0040000400"/>
      <w:bookmarkEnd w:id="2689"/>
      <w:r>
        <w:rPr>
          <w:rFonts w:ascii="Arial" w:eastAsia="Arial" w:hAnsi="Arial" w:cs="Arial"/>
          <w:i/>
          <w:color w:val="000000"/>
          <w:sz w:val="20"/>
        </w:rPr>
        <w:t>Anderson v. City of Blue Ash</w:t>
      </w:r>
      <w:r>
        <w:rPr>
          <w:rFonts w:ascii="Arial" w:eastAsia="Arial" w:hAnsi="Arial" w:cs="Arial"/>
          <w:color w:val="000000"/>
          <w:sz w:val="20"/>
        </w:rPr>
        <w:t xml:space="preserve">, 798 F.3d 338, 357 (6th Cir. 2015). </w:t>
      </w:r>
      <w:bookmarkStart w:id="2690" w:name="Bookmark_I5TF9CMG2SF8DW0020000400"/>
      <w:bookmarkEnd w:id="2690"/>
      <w:r>
        <w:rPr>
          <w:rFonts w:ascii="Arial" w:eastAsia="Arial" w:hAnsi="Arial" w:cs="Arial"/>
          <w:color w:val="000000"/>
          <w:sz w:val="20"/>
        </w:rPr>
        <w:t xml:space="preserve">MRS presented non-discriminatory reasons for not keeping its previous promises, i.e., because it could not provide her with funding on a non-assessment basis without a signed IPE, and because funding her bachelor's degree was not necessary for her to obtain her interpreter's license and achieve her identified career goal. In the absence of evidence of discriminatory animus against her disability, summary judgment was appropriate on this claim. Moreover, the district court correctly determined that Bell-Kachelski was not otherwise qualified to receive further services from MRS because she failed to comply with MRS's standard policy that requires any individual it serves to develop and sign an IPE before it authorizes any non-assessment financial assistance. </w:t>
      </w:r>
      <w:r>
        <w:rPr>
          <w:rFonts w:ascii="Arial" w:eastAsia="Arial" w:hAnsi="Arial" w:cs="Arial"/>
          <w:i/>
          <w:color w:val="000000"/>
          <w:sz w:val="20"/>
        </w:rPr>
        <w:t xml:space="preserve">See </w:t>
      </w:r>
      <w:bookmarkStart w:id="2691" w:name="Bookmark_I5TF9CMG2SF8DW0010000400"/>
      <w:bookmarkEnd w:id="2691"/>
      <w:r>
        <w:rPr>
          <w:rFonts w:ascii="Arial" w:eastAsia="Arial" w:hAnsi="Arial" w:cs="Arial"/>
          <w:i/>
          <w:color w:val="000000"/>
          <w:sz w:val="20"/>
        </w:rPr>
        <w:t>Burns v. Coca-Cola Enters., Inc.</w:t>
      </w:r>
      <w:r>
        <w:rPr>
          <w:rFonts w:ascii="Arial" w:eastAsia="Arial" w:hAnsi="Arial" w:cs="Arial"/>
          <w:color w:val="000000"/>
          <w:sz w:val="20"/>
        </w:rPr>
        <w:t>, 222 F.3d 247, 258 (6th Cir. 2000).</w:t>
      </w:r>
    </w:p>
    <w:p w:rsidR="00E456CD" w:rsidRDefault="00000000">
      <w:pPr>
        <w:pStyle w:val="Normal13"/>
        <w:widowControl w:val="0"/>
        <w:spacing w:before="200" w:line="260" w:lineRule="atLeast"/>
        <w:jc w:val="both"/>
      </w:pPr>
      <w:bookmarkStart w:id="2692" w:name="Bookmark_para_10_12"/>
      <w:bookmarkEnd w:id="2692"/>
      <w:r>
        <w:rPr>
          <w:rFonts w:ascii="Arial" w:eastAsia="Arial" w:hAnsi="Arial" w:cs="Arial"/>
          <w:color w:val="000000"/>
          <w:sz w:val="20"/>
        </w:rPr>
        <w:t>Bell-Kachelski claimed that MPAS discriminated against her in violation of Title II because a receptionist allegedly referred to her using racial slurs, MPAS repeatedly closed and reopened her case file, an MPAS representative mistakenly noted in her file that she had signed an IPE that did [*7]  not include financial support for English 112, and MPAS failed to ensure that MRS lived up to an agreement outlined in an April 3, 2014, letter. Even if these events did occur, they do not demonstrate that MPAS discriminated against her due to an animus toward her cognitive disability as required under Title II. First, the racial slur was alleged to have been made by an MRS receptionist, not an MPAS employee. Regardless, such a comment would have been evidence of racial bias, not animus against her cognitive disability. Bell-Kachelski did not present any evidence that the repeated opening and closing of her file was anything other than MPAS's standard internal procedure for addressing new complaints. Similarly, she did not demonstrate discriminatory intent by pointing to MPAS's decision to close her file when it mistakenly believed that she had signed her IPE or to MPAS's conclusion that it could not argue for enforcement of the terms of the April 3, 2014, letter because the terms would violate MRS's own policies.</w:t>
      </w:r>
    </w:p>
    <w:p w:rsidR="00E456CD" w:rsidRDefault="00000000">
      <w:pPr>
        <w:pStyle w:val="Normal13"/>
        <w:widowControl w:val="0"/>
        <w:spacing w:before="200" w:line="260" w:lineRule="atLeast"/>
        <w:jc w:val="both"/>
      </w:pPr>
      <w:bookmarkStart w:id="2693" w:name="Bookmark_para_11_12"/>
      <w:bookmarkEnd w:id="2693"/>
      <w:r>
        <w:rPr>
          <w:rFonts w:ascii="Arial" w:eastAsia="Arial" w:hAnsi="Arial" w:cs="Arial"/>
          <w:color w:val="000000"/>
          <w:sz w:val="20"/>
        </w:rPr>
        <w:t xml:space="preserve">Bell-Kachelski's Title III claim also fails because that title similarly requires that the plaintiff be discriminated against on the basis of her disability. </w:t>
      </w:r>
      <w:bookmarkStart w:id="2694" w:name="Bookmark_I5TF9CMG2SF8DW0040000400"/>
      <w:bookmarkEnd w:id="2694"/>
      <w:r>
        <w:rPr>
          <w:rFonts w:ascii="Arial" w:eastAsia="Arial" w:hAnsi="Arial" w:cs="Arial"/>
          <w:i/>
          <w:color w:val="000000"/>
          <w:sz w:val="20"/>
        </w:rPr>
        <w:t>See</w:t>
      </w:r>
      <w:r>
        <w:rPr>
          <w:rFonts w:ascii="Arial" w:eastAsia="Arial" w:hAnsi="Arial" w:cs="Arial"/>
          <w:color w:val="000000"/>
          <w:sz w:val="20"/>
        </w:rPr>
        <w:t xml:space="preserve"> 42 U.S.C. § 12182(a).</w:t>
      </w:r>
    </w:p>
    <w:p w:rsidR="00E456CD" w:rsidRDefault="00000000">
      <w:pPr>
        <w:pStyle w:val="Normal13"/>
        <w:widowControl w:val="0"/>
        <w:spacing w:before="200" w:line="260" w:lineRule="atLeast"/>
        <w:ind w:left="400"/>
        <w:jc w:val="both"/>
      </w:pPr>
      <w:bookmarkStart w:id="2695" w:name="Bookmark_para_12_11"/>
      <w:bookmarkStart w:id="2696" w:name="Bookmark_I5TF9CMG2SF8DW0040000400_2"/>
      <w:bookmarkStart w:id="2697" w:name="Bookmark_LNHNREFclscc6_9"/>
      <w:bookmarkEnd w:id="2695"/>
      <w:bookmarkEnd w:id="2696"/>
      <w:bookmarkEnd w:id="2697"/>
      <w:r>
        <w:rPr>
          <w:rFonts w:ascii="Arial" w:eastAsia="Arial" w:hAnsi="Arial" w:cs="Arial"/>
          <w:color w:val="000000"/>
          <w:sz w:val="20"/>
        </w:rPr>
        <w:t>Title III [*8]  of the ADA prohibits a place of public accommodation from discriminating against disabled individuals and states that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p w:rsidR="00E456CD" w:rsidRDefault="00000000">
      <w:pPr>
        <w:pStyle w:val="Normal13"/>
        <w:widowControl w:val="0"/>
        <w:spacing w:before="200" w:line="260" w:lineRule="atLeast"/>
        <w:jc w:val="both"/>
      </w:pPr>
      <w:bookmarkStart w:id="2698" w:name="Bookmark_I5TF9CMG2SF8DW0040000400_3"/>
      <w:bookmarkStart w:id="2699" w:name="Bookmark_I5TF9CMG28T4490010000400"/>
      <w:bookmarkStart w:id="2700" w:name="Bookmark_I5TF9CMG2SF8DW0030000400"/>
      <w:bookmarkEnd w:id="2698"/>
      <w:bookmarkEnd w:id="2699"/>
      <w:bookmarkEnd w:id="2700"/>
      <w:r>
        <w:rPr>
          <w:rFonts w:ascii="Arial" w:eastAsia="Arial" w:hAnsi="Arial" w:cs="Arial"/>
          <w:i/>
          <w:color w:val="000000"/>
          <w:sz w:val="20"/>
        </w:rPr>
        <w:t>Smith v. Moorman</w:t>
      </w:r>
      <w:r>
        <w:rPr>
          <w:rFonts w:ascii="Arial" w:eastAsia="Arial" w:hAnsi="Arial" w:cs="Arial"/>
          <w:color w:val="000000"/>
          <w:sz w:val="20"/>
        </w:rPr>
        <w:t xml:space="preserve">, 47 F. App'x 755, 756 (6th Cir. 2002) (quoting 42 U.S.C. § 12182(a)). </w:t>
      </w:r>
      <w:bookmarkStart w:id="2701" w:name="Bookmark_I5TF9CMG28T4490010000400_2"/>
      <w:bookmarkEnd w:id="2701"/>
      <w:r>
        <w:rPr>
          <w:rFonts w:ascii="Arial" w:eastAsia="Arial" w:hAnsi="Arial" w:cs="Arial"/>
          <w:color w:val="000000"/>
          <w:sz w:val="20"/>
        </w:rPr>
        <w:t xml:space="preserve">The defendants sought dismissal of Bell-Kachelski's claims under Title III of the ADA because she failed to request any injunctive relief. </w:t>
      </w:r>
      <w:r>
        <w:rPr>
          <w:rFonts w:ascii="Arial" w:eastAsia="Arial" w:hAnsi="Arial" w:cs="Arial"/>
          <w:i/>
          <w:color w:val="000000"/>
          <w:sz w:val="20"/>
        </w:rPr>
        <w:t>See</w:t>
      </w:r>
      <w:r>
        <w:rPr>
          <w:rFonts w:ascii="Arial" w:eastAsia="Arial" w:hAnsi="Arial" w:cs="Arial"/>
          <w:color w:val="000000"/>
          <w:sz w:val="20"/>
        </w:rPr>
        <w:t xml:space="preserve"> 42 U.S.C. §§ 12182, 12188(a); </w:t>
      </w:r>
      <w:bookmarkStart w:id="2702" w:name="Bookmark_I5TF9CMG2SF8DW0050000400"/>
      <w:bookmarkEnd w:id="2702"/>
      <w:r>
        <w:rPr>
          <w:rFonts w:ascii="Arial" w:eastAsia="Arial" w:hAnsi="Arial" w:cs="Arial"/>
          <w:i/>
          <w:color w:val="000000"/>
          <w:sz w:val="20"/>
        </w:rPr>
        <w:t>Smith v. Wal-Mart Stores, Inc.</w:t>
      </w:r>
      <w:r>
        <w:rPr>
          <w:rFonts w:ascii="Arial" w:eastAsia="Arial" w:hAnsi="Arial" w:cs="Arial"/>
          <w:color w:val="000000"/>
          <w:sz w:val="20"/>
        </w:rPr>
        <w:t>, 167 F.3d 286, 293 (6th Cir. 1999). Bell-Kachelski responded by requesting leave to amend her complaint to add injunctive relief. The district court expressed skepticism that she could identify any proper injunctive relief because she had already received her bachelor's degree and interpreter's certification but determined that the claim was without merit regardless.</w:t>
      </w:r>
    </w:p>
    <w:p w:rsidR="00E456CD" w:rsidRDefault="00000000">
      <w:pPr>
        <w:pStyle w:val="Normal13"/>
        <w:widowControl w:val="0"/>
        <w:spacing w:before="200" w:line="260" w:lineRule="atLeast"/>
        <w:jc w:val="both"/>
      </w:pPr>
      <w:bookmarkStart w:id="2703" w:name="Bookmark_para_13_10"/>
      <w:bookmarkEnd w:id="2703"/>
      <w:r>
        <w:rPr>
          <w:rFonts w:ascii="Arial" w:eastAsia="Arial" w:hAnsi="Arial" w:cs="Arial"/>
          <w:color w:val="000000"/>
          <w:sz w:val="20"/>
        </w:rPr>
        <w:t xml:space="preserve">Bell-Kachelski alleged that MRS failed to provide her with a reasonable accommodation in light of her cognitive disability due to MRS's holding meetings in large groups. The district court rejected this claim because Bell-Kachelski identified only one meeting that she attended [*9]  with MRS that included more than two individuals besides herself, she did not request any type of accommodation from MRS for these meetings, and she failed to demonstrate how such accommodations were "necessary to afford" her or other individuals with cognitive disabilities the opportunity to realize the full benefit of MRS's services. </w:t>
      </w:r>
      <w:r>
        <w:rPr>
          <w:rFonts w:ascii="Arial" w:eastAsia="Arial" w:hAnsi="Arial" w:cs="Arial"/>
          <w:i/>
          <w:color w:val="000000"/>
          <w:sz w:val="20"/>
        </w:rPr>
        <w:t>See</w:t>
      </w:r>
      <w:r>
        <w:rPr>
          <w:rFonts w:ascii="Arial" w:eastAsia="Arial" w:hAnsi="Arial" w:cs="Arial"/>
          <w:color w:val="000000"/>
          <w:sz w:val="20"/>
        </w:rPr>
        <w:t xml:space="preserve"> 42 U.S.C. § 12182(b)(2)(A)(ii). The district court correctly concluded that she was able to understand the draft IPE that was presented to her and to determine that it did not accurately reflect what had previously been represented to her, that she was treated the same as a nondisabled person in her position would have been treated, and that MRS gave her abundant resources over the course of two years. In light of these facts, Bell-Kachelski failed to establish a claim against MRS under Title III.</w:t>
      </w:r>
    </w:p>
    <w:p w:rsidR="00E456CD" w:rsidRDefault="00000000">
      <w:pPr>
        <w:pStyle w:val="Normal13"/>
        <w:widowControl w:val="0"/>
        <w:spacing w:before="200" w:line="260" w:lineRule="atLeast"/>
        <w:jc w:val="both"/>
      </w:pPr>
      <w:bookmarkStart w:id="2704" w:name="Bookmark_para_14_10"/>
      <w:bookmarkStart w:id="2705" w:name="Bookmark_I5TF9CMG28T4490030000400"/>
      <w:bookmarkEnd w:id="2704"/>
      <w:bookmarkEnd w:id="2705"/>
      <w:r>
        <w:rPr>
          <w:rFonts w:ascii="Arial" w:eastAsia="Arial" w:hAnsi="Arial" w:cs="Arial"/>
          <w:color w:val="000000"/>
          <w:sz w:val="20"/>
        </w:rPr>
        <w:t xml:space="preserve">Further, the district court did not err by declining to exercise jurisdiction over Bell-Kachelski's state-law claims after her federal claims were dismissed. </w:t>
      </w:r>
      <w:r>
        <w:rPr>
          <w:rFonts w:ascii="Arial" w:eastAsia="Arial" w:hAnsi="Arial" w:cs="Arial"/>
          <w:i/>
          <w:color w:val="000000"/>
          <w:sz w:val="20"/>
        </w:rPr>
        <w:t>See</w:t>
      </w:r>
      <w:r>
        <w:rPr>
          <w:rFonts w:ascii="Arial" w:eastAsia="Arial" w:hAnsi="Arial" w:cs="Arial"/>
          <w:color w:val="000000"/>
          <w:sz w:val="20"/>
        </w:rPr>
        <w:t xml:space="preserve"> 28 U.S.C. § 1367(c)(3).</w:t>
      </w:r>
      <w:bookmarkStart w:id="2706" w:name="Bookmark_LNHNREFclscc7_9"/>
      <w:bookmarkEnd w:id="2706"/>
      <w:r>
        <w:rPr>
          <w:rFonts w:ascii="Arial" w:eastAsia="Arial" w:hAnsi="Arial" w:cs="Arial"/>
          <w:color w:val="000000"/>
          <w:sz w:val="20"/>
        </w:rPr>
        <w:t xml:space="preserve"> The decision of whether to exercise supplemental jurisdiction is discretionary, but, in general, when a court is presented with federal and state claims and dismisses the federal claims over which it had original jurisdiction, [*10]  "the balance of considerations usually will point to dismissing the state law claims, or remanding them to state court if the action was removed." </w:t>
      </w:r>
      <w:bookmarkStart w:id="2707" w:name="Bookmark_I5TF9CMG28T4490020000400"/>
      <w:bookmarkEnd w:id="2707"/>
      <w:r>
        <w:rPr>
          <w:rFonts w:ascii="Arial" w:eastAsia="Arial" w:hAnsi="Arial" w:cs="Arial"/>
          <w:i/>
          <w:color w:val="000000"/>
          <w:sz w:val="20"/>
        </w:rPr>
        <w:t>Musson Theatrical, Inc. v. Fed. Express Corp.</w:t>
      </w:r>
      <w:r>
        <w:rPr>
          <w:rFonts w:ascii="Arial" w:eastAsia="Arial" w:hAnsi="Arial" w:cs="Arial"/>
          <w:color w:val="000000"/>
          <w:sz w:val="20"/>
        </w:rPr>
        <w:t>, 89 F.3d 1244, 1254-55 (6th Cir. 1996). Bell-Kachelski has not shown an abuse of discretion here.</w:t>
      </w:r>
    </w:p>
    <w:p w:rsidR="00E456CD" w:rsidRDefault="00000000">
      <w:pPr>
        <w:pStyle w:val="Normal13"/>
        <w:widowControl w:val="0"/>
        <w:spacing w:before="200" w:line="260" w:lineRule="atLeast"/>
        <w:jc w:val="both"/>
      </w:pPr>
      <w:bookmarkStart w:id="2708" w:name="Bookmark_para_15_10"/>
      <w:bookmarkEnd w:id="2708"/>
      <w:r>
        <w:rPr>
          <w:rFonts w:ascii="Arial" w:eastAsia="Arial" w:hAnsi="Arial" w:cs="Arial"/>
          <w:color w:val="000000"/>
          <w:sz w:val="20"/>
        </w:rPr>
        <w:t xml:space="preserve">Accordingly, we </w:t>
      </w:r>
      <w:r>
        <w:rPr>
          <w:rFonts w:ascii="Arial" w:eastAsia="Arial" w:hAnsi="Arial" w:cs="Arial"/>
          <w:b/>
          <w:color w:val="000000"/>
          <w:sz w:val="20"/>
        </w:rPr>
        <w:t>AFFIRM</w:t>
      </w:r>
      <w:r>
        <w:rPr>
          <w:rFonts w:ascii="Arial" w:eastAsia="Arial" w:hAnsi="Arial" w:cs="Arial"/>
          <w:color w:val="000000"/>
          <w:sz w:val="20"/>
        </w:rPr>
        <w:t xml:space="preserve"> the district court's judgment and </w:t>
      </w:r>
      <w:r>
        <w:rPr>
          <w:rFonts w:ascii="Arial" w:eastAsia="Arial" w:hAnsi="Arial" w:cs="Arial"/>
          <w:b/>
          <w:color w:val="000000"/>
          <w:sz w:val="20"/>
        </w:rPr>
        <w:t>DENY</w:t>
      </w:r>
      <w:r>
        <w:rPr>
          <w:rFonts w:ascii="Arial" w:eastAsia="Arial" w:hAnsi="Arial" w:cs="Arial"/>
          <w:color w:val="000000"/>
          <w:sz w:val="20"/>
        </w:rPr>
        <w:t xml:space="preserve"> the motion for the appointment of counsel.</w:t>
      </w:r>
    </w:p>
    <w:p w:rsidR="00E456CD" w:rsidRDefault="00E456CD">
      <w:pPr>
        <w:pStyle w:val="Normal13"/>
      </w:pPr>
    </w:p>
    <w:p w:rsidR="00E456CD" w:rsidRDefault="00000000">
      <w:pPr>
        <w:pStyle w:val="Normal13"/>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8896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488855850"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5BA9F" id="Line 3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4"/>
        <w:sectPr w:rsidR="00E456CD">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gutter="0"/>
          <w:cols w:space="720"/>
          <w:titlePg/>
        </w:sectPr>
      </w:pPr>
    </w:p>
    <w:p w:rsidR="00E456CD" w:rsidRDefault="00E456CD">
      <w:pPr>
        <w:pStyle w:val="Normal14"/>
      </w:pPr>
    </w:p>
    <w:p w:rsidR="00E456CD" w:rsidRDefault="00000000">
      <w:pPr>
        <w:pStyle w:val="Heading113"/>
        <w:keepNext w:val="0"/>
        <w:widowControl w:val="0"/>
        <w:spacing w:after="200" w:line="340" w:lineRule="atLeast"/>
        <w:jc w:val="center"/>
      </w:pPr>
      <w:r>
        <w:rPr>
          <w:rFonts w:eastAsia="Arial"/>
          <w:color w:val="000000"/>
          <w:sz w:val="28"/>
        </w:rPr>
        <w:t>Durand v. Fairview Health Servs.</w:t>
      </w:r>
    </w:p>
    <w:p w:rsidR="00E456CD" w:rsidRDefault="00000000">
      <w:pPr>
        <w:pStyle w:val="Normal14"/>
        <w:widowControl w:val="0"/>
        <w:spacing w:before="120" w:line="260" w:lineRule="atLeast"/>
        <w:jc w:val="center"/>
      </w:pPr>
      <w:r>
        <w:rPr>
          <w:rFonts w:ascii="Arial" w:eastAsia="Arial" w:hAnsi="Arial" w:cs="Arial"/>
          <w:color w:val="000000"/>
          <w:sz w:val="20"/>
        </w:rPr>
        <w:t>United States Court of Appeals for the Eighth Circuit</w:t>
      </w:r>
    </w:p>
    <w:p w:rsidR="00E456CD" w:rsidRDefault="00000000">
      <w:pPr>
        <w:pStyle w:val="Normal14"/>
        <w:widowControl w:val="0"/>
        <w:spacing w:before="120" w:line="260" w:lineRule="atLeast"/>
        <w:jc w:val="center"/>
      </w:pPr>
      <w:r>
        <w:rPr>
          <w:rFonts w:ascii="Arial" w:eastAsia="Arial" w:hAnsi="Arial" w:cs="Arial"/>
          <w:color w:val="000000"/>
          <w:sz w:val="20"/>
        </w:rPr>
        <w:t>May 15, 2018, Submitted; September 4, 2018, Filed</w:t>
      </w:r>
    </w:p>
    <w:p w:rsidR="00E456CD" w:rsidRDefault="00000000">
      <w:pPr>
        <w:pStyle w:val="Normal14"/>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17-1374</w:t>
      </w:r>
    </w:p>
    <w:p w:rsidR="00E456CD" w:rsidRDefault="00E456CD">
      <w:pPr>
        <w:pStyle w:val="Normal14"/>
        <w:widowControl w:val="0"/>
        <w:spacing w:line="240" w:lineRule="atLeast"/>
        <w:jc w:val="both"/>
      </w:pPr>
      <w:bookmarkStart w:id="2709" w:name="Bookmark_15"/>
      <w:bookmarkEnd w:id="2709"/>
    </w:p>
    <w:p w:rsidR="00E456CD" w:rsidRDefault="00000000">
      <w:pPr>
        <w:pStyle w:val="Normal14"/>
        <w:widowControl w:val="0"/>
        <w:spacing w:before="200" w:line="240" w:lineRule="atLeast"/>
      </w:pPr>
      <w:bookmarkStart w:id="2710" w:name="Reporter_13"/>
      <w:bookmarkEnd w:id="2710"/>
      <w:r>
        <w:rPr>
          <w:rFonts w:ascii="Arial" w:eastAsia="Arial" w:hAnsi="Arial" w:cs="Arial"/>
          <w:b/>
          <w:color w:val="000000"/>
          <w:sz w:val="18"/>
        </w:rPr>
        <w:t>Reporter</w:t>
      </w:r>
    </w:p>
    <w:p w:rsidR="00E456CD" w:rsidRDefault="00000000">
      <w:pPr>
        <w:pStyle w:val="Normal14"/>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902 F.3d 836 *; 2018 U.S. App. LEXIS 25080 **</w:t>
      </w:r>
    </w:p>
    <w:p w:rsidR="00E456CD" w:rsidRDefault="00000000">
      <w:pPr>
        <w:pStyle w:val="Normal14"/>
        <w:widowControl w:val="0"/>
        <w:spacing w:before="120" w:line="260" w:lineRule="atLeast"/>
      </w:pPr>
      <w:r>
        <w:rPr>
          <w:rFonts w:ascii="Arial" w:eastAsia="Arial" w:hAnsi="Arial" w:cs="Arial"/>
          <w:color w:val="000000"/>
          <w:sz w:val="20"/>
        </w:rPr>
        <w:t>Roger Durand; Linda Durand; Priscilla Durand, Plaintiffs - Appellants v. Fairview Health Services, Defendant - Appellee;Minnesota Hospital Association, Amicus on Behalf of Appellee(s)</w:t>
      </w:r>
    </w:p>
    <w:p w:rsidR="00E456CD" w:rsidRDefault="00000000">
      <w:pPr>
        <w:pStyle w:val="Normal14"/>
        <w:widowControl w:val="0"/>
        <w:spacing w:before="240" w:line="260" w:lineRule="atLeast"/>
        <w:jc w:val="both"/>
      </w:pPr>
      <w:bookmarkStart w:id="2711" w:name="Prior_History_13"/>
      <w:bookmarkEnd w:id="2711"/>
      <w:r>
        <w:rPr>
          <w:rFonts w:ascii="Arial" w:eastAsia="Arial" w:hAnsi="Arial" w:cs="Arial"/>
          <w:b/>
          <w:color w:val="000000"/>
          <w:sz w:val="20"/>
        </w:rPr>
        <w:t>Prior History:</w:t>
      </w:r>
      <w:r>
        <w:rPr>
          <w:rFonts w:ascii="Arial" w:eastAsia="Arial" w:hAnsi="Arial" w:cs="Arial"/>
          <w:color w:val="000000"/>
          <w:sz w:val="20"/>
        </w:rPr>
        <w:t> </w:t>
      </w:r>
      <w:bookmarkStart w:id="2712" w:name="Bookmark_para_1_13"/>
      <w:bookmarkEnd w:id="2712"/>
      <w:r>
        <w:rPr>
          <w:rFonts w:ascii="Arial" w:eastAsia="Arial" w:hAnsi="Arial" w:cs="Arial"/>
          <w:color w:val="000000"/>
          <w:sz w:val="20"/>
        </w:rPr>
        <w:t> [**1] Appeal from United States District Court for the District of Minnesota - Minneapolis.</w:t>
      </w:r>
    </w:p>
    <w:p w:rsidR="00E456CD" w:rsidRDefault="00000000">
      <w:pPr>
        <w:pStyle w:val="Normal14"/>
        <w:widowControl w:val="0"/>
        <w:spacing w:before="120" w:line="260" w:lineRule="atLeast"/>
      </w:pPr>
      <w:r>
        <w:rPr>
          <w:rFonts w:ascii="Arial" w:eastAsia="Arial" w:hAnsi="Arial" w:cs="Arial"/>
          <w:color w:val="000000"/>
          <w:sz w:val="20"/>
        </w:rPr>
        <w:t>Durand v. Fairview Health Servs., 230 F. Supp. 3d 959, 2017 U.S. Dist. LEXIS 7127 (D. Minn., Jan. 18, 2017)</w:t>
      </w:r>
    </w:p>
    <w:p w:rsidR="00E456CD" w:rsidRDefault="00000000">
      <w:pPr>
        <w:pStyle w:val="Normal14"/>
        <w:widowControl w:val="0"/>
        <w:spacing w:before="240" w:line="260" w:lineRule="atLeast"/>
      </w:pPr>
      <w:bookmarkStart w:id="2713" w:name="Counsel_13"/>
      <w:bookmarkEnd w:id="2713"/>
      <w:r>
        <w:rPr>
          <w:rFonts w:ascii="Arial" w:eastAsia="Arial" w:hAnsi="Arial" w:cs="Arial"/>
          <w:b/>
          <w:color w:val="000000"/>
          <w:sz w:val="20"/>
        </w:rPr>
        <w:t>Counsel:</w:t>
      </w:r>
      <w:r>
        <w:rPr>
          <w:rFonts w:ascii="Arial" w:eastAsia="Arial" w:hAnsi="Arial" w:cs="Arial"/>
          <w:color w:val="000000"/>
          <w:sz w:val="20"/>
        </w:rPr>
        <w:t> For Roger Durand, Linda Durand, Priscilla Durand, Plaintiffs - Appellants: Terra L. Frazier, Heather M. Gilbert, GILBERT LAW, Roseville, MN; Kay Nord Hunt, LOMMEN &amp; ABDO, Minneapolis, MN; Roderick J. Macpherson, III, MINNESOTA DISABILITY LAW CENTER, Minneapolis, MN.</w:t>
      </w:r>
    </w:p>
    <w:p w:rsidR="00E456CD" w:rsidRDefault="00000000">
      <w:pPr>
        <w:pStyle w:val="Normal14"/>
        <w:widowControl w:val="0"/>
        <w:spacing w:before="120" w:line="260" w:lineRule="atLeast"/>
      </w:pPr>
      <w:r>
        <w:rPr>
          <w:rFonts w:ascii="Arial" w:eastAsia="Arial" w:hAnsi="Arial" w:cs="Arial"/>
          <w:color w:val="000000"/>
          <w:sz w:val="20"/>
        </w:rPr>
        <w:t>For Fairview Health Services, Defendant - Appellee: Ryan C. Ellis, Matthew S. Frantzen, Attorney, Marissa Kim Linden, Attorney, GISLASON &amp; HUNTER, Minneapolis, MN.</w:t>
      </w:r>
    </w:p>
    <w:p w:rsidR="00E456CD" w:rsidRDefault="00000000">
      <w:pPr>
        <w:pStyle w:val="Normal14"/>
        <w:widowControl w:val="0"/>
        <w:spacing w:before="120" w:line="260" w:lineRule="atLeast"/>
      </w:pPr>
      <w:r>
        <w:rPr>
          <w:rFonts w:ascii="Arial" w:eastAsia="Arial" w:hAnsi="Arial" w:cs="Arial"/>
          <w:color w:val="000000"/>
          <w:sz w:val="20"/>
        </w:rPr>
        <w:t>For Minnesota Hospital Association, Amicus on Behalf of Appellee(s): Meggen E. Lindsay, Penelope Jane Phillips, Randi Winter, FELHABER &amp; LARSON, Minneapolis, MN.</w:t>
      </w:r>
    </w:p>
    <w:p w:rsidR="00E456CD" w:rsidRDefault="00000000">
      <w:pPr>
        <w:pStyle w:val="Normal14"/>
        <w:widowControl w:val="0"/>
        <w:spacing w:before="240" w:line="260" w:lineRule="atLeast"/>
      </w:pPr>
      <w:bookmarkStart w:id="2714" w:name="Judges_13"/>
      <w:bookmarkEnd w:id="2714"/>
      <w:r>
        <w:rPr>
          <w:rFonts w:ascii="Arial" w:eastAsia="Arial" w:hAnsi="Arial" w:cs="Arial"/>
          <w:b/>
          <w:color w:val="000000"/>
          <w:sz w:val="20"/>
        </w:rPr>
        <w:t>Judges:</w:t>
      </w:r>
      <w:r>
        <w:rPr>
          <w:rFonts w:ascii="Arial" w:eastAsia="Arial" w:hAnsi="Arial" w:cs="Arial"/>
          <w:color w:val="000000"/>
          <w:sz w:val="20"/>
        </w:rPr>
        <w:t> Before SHEPHERD, MELLOY, and GRASZ, Circuit Judges.</w:t>
      </w:r>
    </w:p>
    <w:p w:rsidR="00E456CD" w:rsidRDefault="00000000">
      <w:pPr>
        <w:pStyle w:val="Normal14"/>
        <w:widowControl w:val="0"/>
        <w:spacing w:before="240" w:line="260" w:lineRule="atLeast"/>
      </w:pPr>
      <w:bookmarkStart w:id="2715" w:name="Opinion_by_9"/>
      <w:bookmarkEnd w:id="2715"/>
      <w:r>
        <w:rPr>
          <w:rFonts w:ascii="Arial" w:eastAsia="Arial" w:hAnsi="Arial" w:cs="Arial"/>
          <w:b/>
          <w:color w:val="000000"/>
          <w:sz w:val="20"/>
        </w:rPr>
        <w:t>Opinion by:</w:t>
      </w:r>
      <w:r>
        <w:rPr>
          <w:rFonts w:ascii="Arial" w:eastAsia="Arial" w:hAnsi="Arial" w:cs="Arial"/>
          <w:color w:val="000000"/>
          <w:sz w:val="20"/>
        </w:rPr>
        <w:t> MELLOY</w:t>
      </w:r>
    </w:p>
    <w:p w:rsidR="00E456CD" w:rsidRDefault="00000000">
      <w:pPr>
        <w:pStyle w:val="Normal14"/>
        <w:keepNext/>
        <w:widowControl w:val="0"/>
        <w:spacing w:before="240" w:line="340" w:lineRule="atLeast"/>
      </w:pPr>
      <w:bookmarkStart w:id="2716" w:name="Opinion_13"/>
      <w:bookmarkEnd w:id="2716"/>
      <w:r>
        <w:rPr>
          <w:rFonts w:ascii="Arial" w:eastAsia="Arial" w:hAnsi="Arial" w:cs="Arial"/>
          <w:b/>
          <w:color w:val="000000"/>
          <w:sz w:val="28"/>
        </w:rPr>
        <w:t>Opinion</w:t>
      </w:r>
    </w:p>
    <w:p w:rsidR="00E456CD" w:rsidRDefault="00E22289">
      <w:pPr>
        <w:pStyle w:val="Normal14"/>
        <w:spacing w:line="60" w:lineRule="exact"/>
      </w:pPr>
      <w:r>
        <w:rPr>
          <w:noProof/>
        </w:rPr>
        <mc:AlternateContent>
          <mc:Choice Requires="wps">
            <w:drawing>
              <wp:anchor distT="0" distB="0" distL="114300" distR="114300" simplePos="0" relativeHeight="25168998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051531507"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65E98" id="Line 3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4"/>
      </w:pPr>
    </w:p>
    <w:p w:rsidR="00E456CD" w:rsidRDefault="00000000">
      <w:pPr>
        <w:pStyle w:val="Normal14"/>
        <w:widowControl w:val="0"/>
        <w:spacing w:before="200" w:line="260" w:lineRule="atLeast"/>
        <w:jc w:val="both"/>
      </w:pPr>
      <w:bookmarkStart w:id="2717" w:name="Bookmark_para_2_13"/>
      <w:bookmarkEnd w:id="2717"/>
      <w:r>
        <w:rPr>
          <w:rFonts w:ascii="Arial" w:eastAsia="Arial" w:hAnsi="Arial" w:cs="Arial"/>
          <w:color w:val="000000"/>
          <w:sz w:val="20"/>
        </w:rPr>
        <w:t> [*839]  MELLOY, Circuit Judge.</w:t>
      </w:r>
    </w:p>
    <w:p w:rsidR="00E456CD" w:rsidRDefault="00000000">
      <w:pPr>
        <w:pStyle w:val="Normal14"/>
        <w:widowControl w:val="0"/>
        <w:spacing w:before="200" w:line="260" w:lineRule="atLeast"/>
        <w:jc w:val="both"/>
      </w:pPr>
      <w:bookmarkStart w:id="2718" w:name="Bookmark_para_3_13"/>
      <w:bookmarkEnd w:id="2718"/>
      <w:r>
        <w:rPr>
          <w:rFonts w:ascii="Arial" w:eastAsia="Arial" w:hAnsi="Arial" w:cs="Arial"/>
          <w:color w:val="000000"/>
          <w:sz w:val="20"/>
        </w:rPr>
        <w:t xml:space="preserve">Linda and Roger Durand, both of whom are hearing-impaired, and their hearing-abled daughter, Priscilla Durand (collectively, "Appellants"), allege Fairview Ridges Hospital ("Fairview") failed to provide "meaningful access" to "auxiliary aids and services," in the form of American Sign Language (ASL) interpreters and a teletypewriter (TTY), during the course of their adult son Shaun Durand's terminal hospital stay, in violation of Title III of the Americans with Disabilities Act (ADA), 42 U.S.C. § 12101, </w:t>
      </w:r>
      <w:r>
        <w:rPr>
          <w:rFonts w:ascii="Arial" w:eastAsia="Arial" w:hAnsi="Arial" w:cs="Arial"/>
          <w:i/>
          <w:color w:val="000000"/>
          <w:sz w:val="20"/>
        </w:rPr>
        <w:t>et seq.</w:t>
      </w:r>
      <w:r>
        <w:rPr>
          <w:rFonts w:ascii="Arial" w:eastAsia="Arial" w:hAnsi="Arial" w:cs="Arial"/>
          <w:color w:val="000000"/>
          <w:sz w:val="20"/>
        </w:rPr>
        <w:t xml:space="preserve">; [**2]  Section 504 of the Rehabilitation Act (RA), 29 U.S.C. § 794; and the Minnesota Human Rights Act (MHRA), Minn. Stat. § 363A.01, </w:t>
      </w:r>
      <w:r>
        <w:rPr>
          <w:rFonts w:ascii="Arial" w:eastAsia="Arial" w:hAnsi="Arial" w:cs="Arial"/>
          <w:i/>
          <w:color w:val="000000"/>
          <w:sz w:val="20"/>
        </w:rPr>
        <w:t>et seq.</w:t>
      </w:r>
      <w:r>
        <w:rPr>
          <w:rFonts w:ascii="Arial" w:eastAsia="Arial" w:hAnsi="Arial" w:cs="Arial"/>
          <w:color w:val="000000"/>
          <w:sz w:val="20"/>
        </w:rPr>
        <w:t xml:space="preserve"> Additionally, Priscilla alleges an injury independent of her parents' claim and asserts associational standing under the same statutes. The district court</w:t>
      </w:r>
      <w:r>
        <w:rPr>
          <w:rFonts w:ascii="Arial" w:eastAsia="Arial" w:hAnsi="Arial" w:cs="Arial"/>
          <w:vertAlign w:val="superscript"/>
        </w:rPr>
        <w:footnoteReference w:customMarkFollows="1" w:id="117"/>
        <w:t>1</w:t>
      </w:r>
      <w:r>
        <w:rPr>
          <w:rFonts w:ascii="Arial" w:eastAsia="Arial" w:hAnsi="Arial" w:cs="Arial"/>
          <w:color w:val="000000"/>
          <w:sz w:val="20"/>
        </w:rPr>
        <w:t xml:space="preserve"> granted Fairview's motion for summary judgment as to both issues. We affirm.</w:t>
      </w:r>
    </w:p>
    <w:p w:rsidR="00E456CD" w:rsidRDefault="00000000">
      <w:pPr>
        <w:pStyle w:val="Normal14"/>
        <w:widowControl w:val="0"/>
        <w:spacing w:before="120" w:line="260" w:lineRule="atLeast"/>
      </w:pPr>
      <w:r>
        <w:rPr>
          <w:rFonts w:ascii="Arial" w:eastAsia="Arial" w:hAnsi="Arial" w:cs="Arial"/>
          <w:color w:val="000000"/>
          <w:sz w:val="20"/>
        </w:rPr>
        <w:t>I. Background</w:t>
      </w:r>
    </w:p>
    <w:p w:rsidR="00E456CD" w:rsidRDefault="00000000">
      <w:pPr>
        <w:pStyle w:val="Normal14"/>
        <w:widowControl w:val="0"/>
        <w:spacing w:before="200" w:line="260" w:lineRule="atLeast"/>
        <w:jc w:val="both"/>
      </w:pPr>
      <w:bookmarkStart w:id="2720" w:name="Bookmark_para_4_13"/>
      <w:bookmarkEnd w:id="2720"/>
      <w:r>
        <w:rPr>
          <w:rFonts w:ascii="Arial" w:eastAsia="Arial" w:hAnsi="Arial" w:cs="Arial"/>
          <w:color w:val="000000"/>
          <w:sz w:val="20"/>
        </w:rPr>
        <w:t>Linda and Roger are a married couple with six adult children. Although Linda and Roger are hearing-impaired, none of their children are deaf. The Durand children communicate with Linda and Roger through a combination of methods, including ASL, lip reading, finger spelling, speaking, and writing. Linda and Roger assert they "do not pick up on all the information their children communicate to them." Linda and Roger also assert they "do not always indicate when they don't understanding something."</w:t>
      </w:r>
    </w:p>
    <w:p w:rsidR="00E456CD" w:rsidRDefault="00000000">
      <w:pPr>
        <w:pStyle w:val="Normal14"/>
        <w:widowControl w:val="0"/>
        <w:spacing w:before="200" w:line="260" w:lineRule="atLeast"/>
        <w:jc w:val="both"/>
      </w:pPr>
      <w:bookmarkStart w:id="2721" w:name="Bookmark_para_5_13"/>
      <w:bookmarkEnd w:id="2721"/>
      <w:r>
        <w:rPr>
          <w:rFonts w:ascii="Arial" w:eastAsia="Arial" w:hAnsi="Arial" w:cs="Arial"/>
          <w:color w:val="000000"/>
          <w:sz w:val="20"/>
        </w:rPr>
        <w:t>Shaun is Linda and Roger's oldest child. When Shaun was seven years old he was diagnosed with Marfan syndrome, a genetic disorder affecting his heart. Over the course of the next several years, Shaun underwent multiple heart surgeries. Appellants assert "Shaun had long believed that he would not live past the age of 30, and had declined [**3]  to pursue a heart transplant or a left ventricular assist device." In May 2013, when he was thirty-one years old, Shaun passed away at Fairview Ridges Hospital.</w:t>
      </w:r>
    </w:p>
    <w:p w:rsidR="00E456CD" w:rsidRDefault="00000000">
      <w:pPr>
        <w:pStyle w:val="Normal14"/>
        <w:widowControl w:val="0"/>
        <w:spacing w:before="200" w:line="260" w:lineRule="atLeast"/>
        <w:jc w:val="both"/>
      </w:pPr>
      <w:bookmarkStart w:id="2722" w:name="Bookmark_para_6_13"/>
      <w:bookmarkEnd w:id="2722"/>
      <w:r>
        <w:rPr>
          <w:rFonts w:ascii="Arial" w:eastAsia="Arial" w:hAnsi="Arial" w:cs="Arial"/>
          <w:color w:val="000000"/>
          <w:sz w:val="20"/>
        </w:rPr>
        <w:t>Priscilla, Shaun's sister and Linda and Roger's daughter, played an active role in Shaun's health care and management. In October 2012, Shaun executed an Authorization to Discuss Protected Health Information, designating Priscilla and three other siblings as individuals with whom his medical information could be shared. Neither Roger nor Linda were included in the authorization.</w:t>
      </w:r>
    </w:p>
    <w:p w:rsidR="00E456CD" w:rsidRDefault="00000000">
      <w:pPr>
        <w:pStyle w:val="Normal14"/>
        <w:widowControl w:val="0"/>
        <w:spacing w:before="200" w:line="260" w:lineRule="atLeast"/>
        <w:jc w:val="both"/>
      </w:pPr>
      <w:bookmarkStart w:id="2723" w:name="Bookmark_para_7_13"/>
      <w:bookmarkEnd w:id="2723"/>
      <w:r>
        <w:rPr>
          <w:rFonts w:ascii="Arial" w:eastAsia="Arial" w:hAnsi="Arial" w:cs="Arial"/>
          <w:color w:val="000000"/>
          <w:sz w:val="20"/>
        </w:rPr>
        <w:t>In November 2012, Priscilla and Shaun met with a Fairview social worker to discuss a transition to hospice care. Shortly thereafter, Priscilla, Shaun, and Fairview's hospice director convened a meeting with the Durand family, including Linda and  [*840]  Roger. Fairview provided an interpreter for the meeting.</w:t>
      </w:r>
    </w:p>
    <w:p w:rsidR="00E456CD" w:rsidRDefault="00000000">
      <w:pPr>
        <w:pStyle w:val="Normal14"/>
        <w:widowControl w:val="0"/>
        <w:spacing w:before="200" w:line="260" w:lineRule="atLeast"/>
        <w:jc w:val="both"/>
      </w:pPr>
      <w:bookmarkStart w:id="2724" w:name="Bookmark_para_8_13"/>
      <w:bookmarkEnd w:id="2724"/>
      <w:r>
        <w:rPr>
          <w:rFonts w:ascii="Arial" w:eastAsia="Arial" w:hAnsi="Arial" w:cs="Arial"/>
          <w:color w:val="000000"/>
          <w:sz w:val="20"/>
        </w:rPr>
        <w:t>In December 2012, Shaun and a Fairview doctor executed a Provider Orders for Life Sustaining Treatment (POLST) wherein Shaun requested doctors not attempt to intubate or resuscitate.</w:t>
      </w:r>
    </w:p>
    <w:p w:rsidR="00E456CD" w:rsidRDefault="00000000">
      <w:pPr>
        <w:pStyle w:val="Normal14"/>
        <w:widowControl w:val="0"/>
        <w:spacing w:before="200" w:line="260" w:lineRule="atLeast"/>
        <w:jc w:val="both"/>
      </w:pPr>
      <w:bookmarkStart w:id="2725" w:name="Bookmark_para_9_13"/>
      <w:bookmarkEnd w:id="2725"/>
      <w:r>
        <w:rPr>
          <w:rFonts w:ascii="Arial" w:eastAsia="Arial" w:hAnsi="Arial" w:cs="Arial"/>
          <w:color w:val="000000"/>
          <w:sz w:val="20"/>
        </w:rPr>
        <w:t>In February 2013, Shaun executed a health care directive designating Priscilla as his sole health care agent. The directive also referred to his POLST and requested Fairview not [**4]  attempt resuscitation.</w:t>
      </w:r>
    </w:p>
    <w:p w:rsidR="00E456CD" w:rsidRDefault="00000000">
      <w:pPr>
        <w:pStyle w:val="Normal14"/>
        <w:widowControl w:val="0"/>
        <w:spacing w:before="200" w:line="260" w:lineRule="atLeast"/>
        <w:jc w:val="both"/>
      </w:pPr>
      <w:bookmarkStart w:id="2726" w:name="Bookmark_para_10_13"/>
      <w:bookmarkEnd w:id="2726"/>
      <w:r>
        <w:rPr>
          <w:rFonts w:ascii="Arial" w:eastAsia="Arial" w:hAnsi="Arial" w:cs="Arial"/>
          <w:color w:val="000000"/>
          <w:sz w:val="20"/>
        </w:rPr>
        <w:t>In April 2013, Shaun was admitted to Fairview with renal failure. Amy Klopp, an Advanced Practice Nurse, held a palliative "care conference." Fairview asserts care conferences allow "everybody who holds a stake in a person's life to weigh in and feel comfortable and understand the decisions that have been made." Linda and Roger attended the conference. Fairview provided an interpreter for the meeting.</w:t>
      </w:r>
    </w:p>
    <w:p w:rsidR="00E456CD" w:rsidRDefault="00000000">
      <w:pPr>
        <w:pStyle w:val="Normal14"/>
        <w:widowControl w:val="0"/>
        <w:spacing w:before="200" w:line="260" w:lineRule="atLeast"/>
        <w:jc w:val="both"/>
      </w:pPr>
      <w:bookmarkStart w:id="2727" w:name="Bookmark_para_11_13"/>
      <w:bookmarkEnd w:id="2727"/>
      <w:r>
        <w:rPr>
          <w:rFonts w:ascii="Arial" w:eastAsia="Arial" w:hAnsi="Arial" w:cs="Arial"/>
          <w:color w:val="000000"/>
          <w:sz w:val="20"/>
        </w:rPr>
        <w:t>On May 7, 2013, Shaun was admitted to the Fairview intensive care unit for renal failure. He was accompanied by Priscilla and one of his brothers. At the time Shaun was admitted he was "confused" and had a "decreased level of consciousness."</w:t>
      </w:r>
    </w:p>
    <w:p w:rsidR="00E456CD" w:rsidRDefault="00000000">
      <w:pPr>
        <w:pStyle w:val="Normal14"/>
        <w:widowControl w:val="0"/>
        <w:spacing w:before="200" w:line="260" w:lineRule="atLeast"/>
        <w:jc w:val="both"/>
      </w:pPr>
      <w:bookmarkStart w:id="2728" w:name="Bookmark_para_12_12"/>
      <w:bookmarkEnd w:id="2728"/>
      <w:r>
        <w:rPr>
          <w:rFonts w:ascii="Arial" w:eastAsia="Arial" w:hAnsi="Arial" w:cs="Arial"/>
          <w:color w:val="000000"/>
          <w:sz w:val="20"/>
        </w:rPr>
        <w:t>On the morning of May 8, 2013, Priscilla met with Nurse Klopp to discuss key medical decisions, including the decision to move Shaun to end-of-life comfort care and remove his respirator. Nurse Klopp and Priscilla also planned an afternoon care conference with the Durand family, including Linda and Roger. Around noon, Shaun's siblings notified Linda and Roger of Shaun's hospitalization.</w:t>
      </w:r>
    </w:p>
    <w:p w:rsidR="00E456CD" w:rsidRDefault="00000000">
      <w:pPr>
        <w:pStyle w:val="Normal14"/>
        <w:widowControl w:val="0"/>
        <w:spacing w:before="200" w:line="260" w:lineRule="atLeast"/>
        <w:jc w:val="both"/>
      </w:pPr>
      <w:bookmarkStart w:id="2729" w:name="Bookmark_para_13_11"/>
      <w:bookmarkEnd w:id="2729"/>
      <w:r>
        <w:rPr>
          <w:rFonts w:ascii="Arial" w:eastAsia="Arial" w:hAnsi="Arial" w:cs="Arial"/>
          <w:color w:val="000000"/>
          <w:sz w:val="20"/>
        </w:rPr>
        <w:t>Although Fairview requested an interpreter for the afternoon care conference, the interpreter did not arrive until after the conference started. [**5]  Nurse Klopp then updated Linda and Roger through the interpreter, and Linda and Roger had an opportunity to ask Nurse Klopp questions through the interpreter. Around 5:00 p.m., Shaun's physician held a meeting, with an interpreter present, for an unspecified period of time. According to Fairview's records, an interpreter was dispatched by a third-party vendor to Fairview at 2:52 p.m., arrived at the hospital at 3:44 p.m., and departed the hospital at 6:00 p.m.</w:t>
      </w:r>
    </w:p>
    <w:p w:rsidR="00E456CD" w:rsidRDefault="00000000">
      <w:pPr>
        <w:pStyle w:val="Normal14"/>
        <w:widowControl w:val="0"/>
        <w:spacing w:before="200" w:line="260" w:lineRule="atLeast"/>
        <w:jc w:val="both"/>
      </w:pPr>
      <w:bookmarkStart w:id="2730" w:name="Bookmark_para_14_11"/>
      <w:bookmarkEnd w:id="2730"/>
      <w:r>
        <w:rPr>
          <w:rFonts w:ascii="Arial" w:eastAsia="Arial" w:hAnsi="Arial" w:cs="Arial"/>
          <w:color w:val="000000"/>
          <w:sz w:val="20"/>
        </w:rPr>
        <w:t>During the evening of May 8 and on the morning of May 9, 2013, nurses and doctors were in and out of Shaun's room as a part of their hospital rounds. Interpreters were not present during these visits. At times, Priscilla or a sibling interpreted or shared updates regarding Shaun's condition with Linda and Roger.</w:t>
      </w:r>
    </w:p>
    <w:p w:rsidR="00E456CD" w:rsidRDefault="00000000">
      <w:pPr>
        <w:pStyle w:val="Normal14"/>
        <w:widowControl w:val="0"/>
        <w:spacing w:before="200" w:line="260" w:lineRule="atLeast"/>
        <w:jc w:val="both"/>
      </w:pPr>
      <w:bookmarkStart w:id="2731" w:name="Bookmark_para_15_11"/>
      <w:bookmarkEnd w:id="2731"/>
      <w:r>
        <w:rPr>
          <w:rFonts w:ascii="Arial" w:eastAsia="Arial" w:hAnsi="Arial" w:cs="Arial"/>
          <w:color w:val="000000"/>
          <w:sz w:val="20"/>
        </w:rPr>
        <w:t>On May 9, 2013, Nurse Klopp convened a second care conference. Nurse Klopp updated the conference attendees, including Linda and Roger through the aid of an interpreter.</w:t>
      </w:r>
    </w:p>
    <w:p w:rsidR="00E456CD" w:rsidRDefault="00000000">
      <w:pPr>
        <w:pStyle w:val="Normal14"/>
        <w:widowControl w:val="0"/>
        <w:spacing w:before="200" w:line="260" w:lineRule="atLeast"/>
        <w:jc w:val="both"/>
      </w:pPr>
      <w:bookmarkStart w:id="2732" w:name="Bookmark_para_16_10"/>
      <w:bookmarkEnd w:id="2732"/>
      <w:r>
        <w:rPr>
          <w:rFonts w:ascii="Arial" w:eastAsia="Arial" w:hAnsi="Arial" w:cs="Arial"/>
          <w:color w:val="000000"/>
          <w:sz w:val="20"/>
        </w:rPr>
        <w:t>According to Linda and Roger, at that point they understood the end of Shaun's life was near but believed the timeline to be a matter of days. Linda and Roger returned home, and Roger proceeded to work his typical overnight shift that night. Linda and Roger [**6]  devised a plan where Linda would use Fairview's TTY device to contact the voicemail box of Roger's employer in the event there was a change in Shaun's condition. No one had previously attempted to reach Roger at work. Roger asked his supervisor to frequently check the voicemail box.</w:t>
      </w:r>
    </w:p>
    <w:p w:rsidR="00E456CD" w:rsidRDefault="00000000">
      <w:pPr>
        <w:pStyle w:val="Normal14"/>
        <w:widowControl w:val="0"/>
        <w:spacing w:before="200" w:line="260" w:lineRule="atLeast"/>
        <w:jc w:val="both"/>
      </w:pPr>
      <w:bookmarkStart w:id="2733" w:name="Bookmark_para_17_9"/>
      <w:bookmarkEnd w:id="2733"/>
      <w:r>
        <w:rPr>
          <w:rFonts w:ascii="Arial" w:eastAsia="Arial" w:hAnsi="Arial" w:cs="Arial"/>
          <w:color w:val="000000"/>
          <w:sz w:val="20"/>
        </w:rPr>
        <w:t>Later in the evening, after learning Shaun would likely pass away in a matter of hours, Linda requested a TTY machine from the hospital. An administrator initially denied her request. Approximately one hour later, the administrator provided Linda with a TTY machine. Linda declined the administrator's offer of assistance in setting up the device. Linda was ultimately unable to use the TTY machine. Priscilla and one of her siblings attempted to call Roger's work number, but they did not  [*841]  leave voicemail messages. The police eventually notified Roger, while Roger was at work, that his son had passed away.</w:t>
      </w:r>
    </w:p>
    <w:p w:rsidR="00E456CD" w:rsidRDefault="00000000">
      <w:pPr>
        <w:pStyle w:val="Normal14"/>
        <w:widowControl w:val="0"/>
        <w:spacing w:before="200" w:line="260" w:lineRule="atLeast"/>
        <w:jc w:val="both"/>
      </w:pPr>
      <w:bookmarkStart w:id="2734" w:name="Bookmark_para_18_9"/>
      <w:bookmarkEnd w:id="2734"/>
      <w:r>
        <w:rPr>
          <w:rFonts w:ascii="Arial" w:eastAsia="Arial" w:hAnsi="Arial" w:cs="Arial"/>
          <w:color w:val="000000"/>
          <w:sz w:val="20"/>
        </w:rPr>
        <w:t>Linda, Roger, and Priscilla filed suit against Fairview, requesting a series of declaratory judgments, injunctive relief requiring Fairview to provide "appropriate auxiliary aids and services" to hearing-impaired individuals, as well as compensatory, treble, and punitive damages and attorneys' fees. After extensive [**7]  discovery, Fairview filed a motion for summary judgment, and Appellants filed a motion for partial summary judgment. The district court granted Fairview's motion. Appellants filed a timely appeal.</w:t>
      </w:r>
    </w:p>
    <w:p w:rsidR="00E456CD" w:rsidRDefault="00000000">
      <w:pPr>
        <w:pStyle w:val="Normal14"/>
        <w:widowControl w:val="0"/>
        <w:spacing w:before="120" w:line="260" w:lineRule="atLeast"/>
      </w:pPr>
      <w:r>
        <w:rPr>
          <w:rFonts w:ascii="Arial" w:eastAsia="Arial" w:hAnsi="Arial" w:cs="Arial"/>
          <w:color w:val="000000"/>
          <w:sz w:val="20"/>
        </w:rPr>
        <w:t>II. Standard of Review</w:t>
      </w:r>
    </w:p>
    <w:p w:rsidR="00E456CD" w:rsidRDefault="00000000">
      <w:pPr>
        <w:pStyle w:val="Normal14"/>
        <w:widowControl w:val="0"/>
        <w:spacing w:before="200" w:line="260" w:lineRule="atLeast"/>
        <w:jc w:val="both"/>
      </w:pPr>
      <w:bookmarkStart w:id="2735" w:name="Bookmark_para_19_9"/>
      <w:bookmarkStart w:id="2736" w:name="Bookmark_I5TCCBGW2HM6620020000400"/>
      <w:bookmarkStart w:id="2737" w:name="Bookmark_I5TCCBGW2HM6620040000400"/>
      <w:bookmarkStart w:id="2738" w:name="Bookmark_LNHNREFclscc1_11"/>
      <w:bookmarkEnd w:id="2735"/>
      <w:bookmarkEnd w:id="2736"/>
      <w:bookmarkEnd w:id="2737"/>
      <w:bookmarkEnd w:id="2738"/>
      <w:r>
        <w:rPr>
          <w:rFonts w:ascii="Arial" w:eastAsia="Arial" w:hAnsi="Arial" w:cs="Arial"/>
          <w:color w:val="000000"/>
          <w:sz w:val="20"/>
        </w:rPr>
        <w:t xml:space="preserve">We review de novo the district court's grant of Fairview's motion for summary judgment, "viewing all evidence and reasonable inferences in the light most favorable to the nonmoving party." </w:t>
      </w:r>
      <w:bookmarkStart w:id="2739" w:name="Bookmark_I5TCCBGW2HM6620010000400"/>
      <w:bookmarkEnd w:id="2739"/>
      <w:r>
        <w:rPr>
          <w:rFonts w:ascii="Arial" w:eastAsia="Arial" w:hAnsi="Arial" w:cs="Arial"/>
          <w:color w:val="000000"/>
          <w:sz w:val="20"/>
          <w:u w:val="single"/>
        </w:rPr>
        <w:t>Barstad v. Murray Cty.</w:t>
      </w:r>
      <w:r>
        <w:rPr>
          <w:rFonts w:ascii="Arial" w:eastAsia="Arial" w:hAnsi="Arial" w:cs="Arial"/>
          <w:color w:val="000000"/>
          <w:sz w:val="20"/>
        </w:rPr>
        <w:t xml:space="preserve">, 420 F.3d 880, 883 (8th Cir. 2005). "Summary judgment is appropriate only if no genuine dispute exists as to any material fact and the movant is entitled to a judgment as a matter of law." </w:t>
      </w:r>
      <w:bookmarkStart w:id="2740" w:name="Bookmark_I5TCCBGW2HM6620030000400"/>
      <w:bookmarkEnd w:id="2740"/>
      <w:r>
        <w:rPr>
          <w:rFonts w:ascii="Arial" w:eastAsia="Arial" w:hAnsi="Arial" w:cs="Arial"/>
          <w:color w:val="000000"/>
          <w:sz w:val="20"/>
          <w:u w:val="single"/>
        </w:rPr>
        <w:t>Argenyi v. Creighton Univ.</w:t>
      </w:r>
      <w:r>
        <w:rPr>
          <w:rFonts w:ascii="Arial" w:eastAsia="Arial" w:hAnsi="Arial" w:cs="Arial"/>
          <w:color w:val="000000"/>
          <w:sz w:val="20"/>
        </w:rPr>
        <w:t>, 703 F.3d 441, 446 (8th Cir. 2013) (citation omitted).</w:t>
      </w:r>
    </w:p>
    <w:p w:rsidR="00E456CD" w:rsidRDefault="00000000">
      <w:pPr>
        <w:pStyle w:val="Normal14"/>
        <w:widowControl w:val="0"/>
        <w:spacing w:before="120" w:line="260" w:lineRule="atLeast"/>
      </w:pPr>
      <w:r>
        <w:rPr>
          <w:rFonts w:ascii="Arial" w:eastAsia="Arial" w:hAnsi="Arial" w:cs="Arial"/>
          <w:color w:val="000000"/>
          <w:sz w:val="20"/>
        </w:rPr>
        <w:t>III. Discussion</w:t>
      </w:r>
    </w:p>
    <w:p w:rsidR="00E456CD" w:rsidRDefault="00000000">
      <w:pPr>
        <w:pStyle w:val="Normal14"/>
        <w:widowControl w:val="0"/>
        <w:spacing w:before="200" w:line="260" w:lineRule="atLeast"/>
        <w:jc w:val="both"/>
      </w:pPr>
      <w:bookmarkStart w:id="2741" w:name="Bookmark_para_20_9"/>
      <w:bookmarkStart w:id="2742" w:name="Bookmark_I5TCCBGW2N1R720010000400"/>
      <w:bookmarkStart w:id="2743" w:name="Bookmark_I5TCCBGW2N1R720030000400"/>
      <w:bookmarkStart w:id="2744" w:name="Bookmark_LNHNREFclscc2_11"/>
      <w:bookmarkEnd w:id="2741"/>
      <w:bookmarkEnd w:id="2742"/>
      <w:bookmarkEnd w:id="2743"/>
      <w:bookmarkEnd w:id="2744"/>
      <w:r>
        <w:rPr>
          <w:rFonts w:ascii="Arial" w:eastAsia="Arial" w:hAnsi="Arial" w:cs="Arial"/>
          <w:color w:val="000000"/>
          <w:sz w:val="20"/>
        </w:rPr>
        <w:t xml:space="preserve">"Title III of the ADA proscribes discrimination in places of public accommodation against persons with disabilities." </w:t>
      </w:r>
      <w:bookmarkStart w:id="2745" w:name="Bookmark_I5TCCBGW2HM6620050000400"/>
      <w:bookmarkEnd w:id="2745"/>
      <w:r>
        <w:rPr>
          <w:rFonts w:ascii="Arial" w:eastAsia="Arial" w:hAnsi="Arial" w:cs="Arial"/>
          <w:color w:val="000000"/>
          <w:sz w:val="20"/>
          <w:u w:val="single"/>
        </w:rPr>
        <w:t>Steger v. Franco, Inc.</w:t>
      </w:r>
      <w:r>
        <w:rPr>
          <w:rFonts w:ascii="Arial" w:eastAsia="Arial" w:hAnsi="Arial" w:cs="Arial"/>
          <w:color w:val="000000"/>
          <w:sz w:val="20"/>
        </w:rPr>
        <w:t xml:space="preserve">, 228 F.3d 889, 892 (8th Cir. 2000); </w:t>
      </w:r>
      <w:r>
        <w:rPr>
          <w:rFonts w:ascii="Arial" w:eastAsia="Arial" w:hAnsi="Arial" w:cs="Arial"/>
          <w:color w:val="000000"/>
          <w:sz w:val="20"/>
          <w:u w:val="single"/>
        </w:rPr>
        <w:t>see</w:t>
      </w:r>
      <w:r>
        <w:rPr>
          <w:rFonts w:ascii="Arial" w:eastAsia="Arial" w:hAnsi="Arial" w:cs="Arial"/>
          <w:color w:val="000000"/>
          <w:sz w:val="20"/>
        </w:rPr>
        <w:t xml:space="preserve"> 42 U.S.C. § 12182(a). Discrimination is defined by the ADA as "a failure to take such steps as may be necessary to ensure that no individual with a disability is . . . treated differently than other individuals because of the absence of auxiliary aids and services." 42 U.S.C. § 12182(b)(2)(A)(iii). Similarly, Section 504 of the RA provides, "[n]o otherwise qualified individual with a disability . . . shall, solely by reason of her or his disability, be excluded from the participation in, be denied the benefits of, or be subjected to discrimination [**8]  under any program or activity receiving Federal financial assistance." 29 U.S.C. § 794; </w:t>
      </w:r>
      <w:r>
        <w:rPr>
          <w:rFonts w:ascii="Arial" w:eastAsia="Arial" w:hAnsi="Arial" w:cs="Arial"/>
          <w:color w:val="000000"/>
          <w:sz w:val="20"/>
          <w:u w:val="single"/>
        </w:rPr>
        <w:t xml:space="preserve">see also </w:t>
      </w:r>
      <w:bookmarkStart w:id="2746" w:name="Bookmark_I5TCCBGW2N1R720020000400"/>
      <w:bookmarkEnd w:id="2746"/>
      <w:r>
        <w:rPr>
          <w:rFonts w:ascii="Arial" w:eastAsia="Arial" w:hAnsi="Arial" w:cs="Arial"/>
          <w:color w:val="000000"/>
          <w:sz w:val="20"/>
          <w:u w:val="single"/>
        </w:rPr>
        <w:t>Alexander v. Choate</w:t>
      </w:r>
      <w:r>
        <w:rPr>
          <w:rFonts w:ascii="Arial" w:eastAsia="Arial" w:hAnsi="Arial" w:cs="Arial"/>
          <w:color w:val="000000"/>
          <w:sz w:val="20"/>
        </w:rPr>
        <w:t xml:space="preserve">, 469 U.S. 287, 295, 105 S. Ct. 712, 83 L. Ed. 2d 661 (1985) (noting the type of discrimination Congress sought to remedy with the RA was the type resulting from "thoughtlessness and indifference—of benign neglect" rather than "invidious animus"). Minnesota law also provides people with a disability similar protections against discrimination, through the MHSA. </w:t>
      </w:r>
      <w:r>
        <w:rPr>
          <w:rFonts w:ascii="Arial" w:eastAsia="Arial" w:hAnsi="Arial" w:cs="Arial"/>
          <w:color w:val="000000"/>
          <w:sz w:val="20"/>
          <w:u w:val="single"/>
        </w:rPr>
        <w:t>See</w:t>
      </w:r>
      <w:r>
        <w:rPr>
          <w:rFonts w:ascii="Arial" w:eastAsia="Arial" w:hAnsi="Arial" w:cs="Arial"/>
          <w:color w:val="000000"/>
          <w:sz w:val="20"/>
        </w:rPr>
        <w:t xml:space="preserve"> Minn. Stat. § 363A.11.</w:t>
      </w:r>
    </w:p>
    <w:p w:rsidR="00E456CD" w:rsidRDefault="00000000">
      <w:pPr>
        <w:pStyle w:val="Normal14"/>
        <w:widowControl w:val="0"/>
        <w:spacing w:before="200" w:line="260" w:lineRule="atLeast"/>
        <w:jc w:val="both"/>
      </w:pPr>
      <w:bookmarkStart w:id="2747" w:name="Bookmark_para_21_9"/>
      <w:bookmarkStart w:id="2748" w:name="Bookmark_I5TCCBGW2N1R720050000400"/>
      <w:bookmarkStart w:id="2749" w:name="Bookmark_I5TCCBGW2N1R730040000400"/>
      <w:bookmarkStart w:id="2750" w:name="Bookmark_LNHNREFclscc3_10"/>
      <w:bookmarkEnd w:id="2747"/>
      <w:bookmarkEnd w:id="2748"/>
      <w:bookmarkEnd w:id="2749"/>
      <w:bookmarkEnd w:id="2750"/>
      <w:r>
        <w:rPr>
          <w:rFonts w:ascii="Arial" w:eastAsia="Arial" w:hAnsi="Arial" w:cs="Arial"/>
          <w:color w:val="000000"/>
          <w:sz w:val="20"/>
        </w:rPr>
        <w:t xml:space="preserve">Although there are differences between the ADA and the RA, including the RA's aforementioned federal funding requirement, the case law interpreting the two statutes is generally used interchangeably. </w:t>
      </w:r>
      <w:bookmarkStart w:id="2751" w:name="Bookmark_I5TCCBGW2N1R720040000400"/>
      <w:bookmarkEnd w:id="2751"/>
      <w:r>
        <w:rPr>
          <w:rFonts w:ascii="Arial" w:eastAsia="Arial" w:hAnsi="Arial" w:cs="Arial"/>
          <w:color w:val="000000"/>
          <w:sz w:val="20"/>
          <w:u w:val="single"/>
        </w:rPr>
        <w:t>Loye v. Cty. of Dakota</w:t>
      </w:r>
      <w:r>
        <w:rPr>
          <w:rFonts w:ascii="Arial" w:eastAsia="Arial" w:hAnsi="Arial" w:cs="Arial"/>
          <w:color w:val="000000"/>
          <w:sz w:val="20"/>
        </w:rPr>
        <w:t xml:space="preserve">, 625 F.3d 494, 496 (8th Cir. 2010); </w:t>
      </w:r>
      <w:r>
        <w:rPr>
          <w:rFonts w:ascii="Arial" w:eastAsia="Arial" w:hAnsi="Arial" w:cs="Arial"/>
          <w:color w:val="000000"/>
          <w:sz w:val="20"/>
          <w:u w:val="single"/>
        </w:rPr>
        <w:t xml:space="preserve">see also </w:t>
      </w:r>
      <w:bookmarkStart w:id="2752" w:name="Bookmark_I5TCCBGW2N1R730010000400"/>
      <w:bookmarkEnd w:id="2752"/>
      <w:r>
        <w:rPr>
          <w:rFonts w:ascii="Arial" w:eastAsia="Arial" w:hAnsi="Arial" w:cs="Arial"/>
          <w:color w:val="000000"/>
          <w:sz w:val="20"/>
          <w:u w:val="single"/>
        </w:rPr>
        <w:t>Gorman v. Bartch</w:t>
      </w:r>
      <w:r>
        <w:rPr>
          <w:rFonts w:ascii="Arial" w:eastAsia="Arial" w:hAnsi="Arial" w:cs="Arial"/>
          <w:color w:val="000000"/>
          <w:sz w:val="20"/>
        </w:rPr>
        <w:t xml:space="preserve">, 152 F.3d 907, 912 (8th Cir. 1998) (noting the substantive similarities between the ADA and RA such that the "cases interpreting either are applicable and interchangeable" (citation omitted)). Additionally, "[i]n general, the ADA and MHRA are also construed the same." </w:t>
      </w:r>
      <w:bookmarkStart w:id="2753" w:name="Bookmark_I5TCCBGW2N1R730030000400"/>
      <w:bookmarkEnd w:id="2753"/>
      <w:r>
        <w:rPr>
          <w:rFonts w:ascii="Arial" w:eastAsia="Arial" w:hAnsi="Arial" w:cs="Arial"/>
          <w:color w:val="000000"/>
          <w:sz w:val="20"/>
          <w:u w:val="single"/>
        </w:rPr>
        <w:t>Loye</w:t>
      </w:r>
      <w:r>
        <w:rPr>
          <w:rFonts w:ascii="Arial" w:eastAsia="Arial" w:hAnsi="Arial" w:cs="Arial"/>
          <w:color w:val="000000"/>
          <w:sz w:val="20"/>
        </w:rPr>
        <w:t xml:space="preserve">, 625 F.3d at 496 n.2 (citing </w:t>
      </w:r>
      <w:bookmarkStart w:id="2754" w:name="Bookmark_I5TCCBGW2N1R730050000400"/>
      <w:bookmarkEnd w:id="2754"/>
      <w:r>
        <w:rPr>
          <w:rFonts w:ascii="Arial" w:eastAsia="Arial" w:hAnsi="Arial" w:cs="Arial"/>
          <w:color w:val="000000"/>
          <w:sz w:val="20"/>
          <w:u w:val="single"/>
        </w:rPr>
        <w:t>Somers v. City of Minneapolis</w:t>
      </w:r>
      <w:r>
        <w:rPr>
          <w:rFonts w:ascii="Arial" w:eastAsia="Arial" w:hAnsi="Arial" w:cs="Arial"/>
          <w:color w:val="000000"/>
          <w:sz w:val="20"/>
        </w:rPr>
        <w:t>, 245 F.3d 782, 788 (8th Cir. 2001)). Importantly, for present purposes, neither party articulates a difference between the MHRA and the ADA and RA.</w:t>
      </w:r>
    </w:p>
    <w:p w:rsidR="00E456CD" w:rsidRDefault="00000000">
      <w:pPr>
        <w:pStyle w:val="Normal14"/>
        <w:widowControl w:val="0"/>
        <w:spacing w:before="120" w:line="260" w:lineRule="atLeast"/>
      </w:pPr>
      <w:r>
        <w:rPr>
          <w:rFonts w:ascii="Arial" w:eastAsia="Arial" w:hAnsi="Arial" w:cs="Arial"/>
          <w:color w:val="000000"/>
          <w:sz w:val="20"/>
        </w:rPr>
        <w:t>1. "Meaningful Access"</w:t>
      </w:r>
    </w:p>
    <w:p w:rsidR="00E456CD" w:rsidRDefault="00000000">
      <w:pPr>
        <w:pStyle w:val="Normal14"/>
        <w:widowControl w:val="0"/>
        <w:spacing w:before="200" w:line="260" w:lineRule="atLeast"/>
        <w:jc w:val="both"/>
      </w:pPr>
      <w:bookmarkStart w:id="2755" w:name="Bookmark_para_22_9"/>
      <w:bookmarkStart w:id="2756" w:name="Bookmark_I0BF1JPG3YV000RGTFW0046B"/>
      <w:bookmarkStart w:id="2757" w:name="Bookmark_I5TCCBGW2SF8670030000400"/>
      <w:bookmarkStart w:id="2758" w:name="Bookmark_LNHNREFclscc4_10"/>
      <w:bookmarkEnd w:id="2755"/>
      <w:bookmarkEnd w:id="2756"/>
      <w:bookmarkEnd w:id="2757"/>
      <w:bookmarkEnd w:id="2758"/>
      <w:r>
        <w:rPr>
          <w:rFonts w:ascii="Arial" w:eastAsia="Arial" w:hAnsi="Arial" w:cs="Arial"/>
          <w:color w:val="000000"/>
          <w:sz w:val="20"/>
        </w:rPr>
        <w:t xml:space="preserve">In order to establish a discrimination claim, Linda and Roger must demonstrate: (1) they were qualifying individuals with disabilities; (2) Fairview was a "place of public accommodation (for ADA purposes) and received federal [**9]  funding (for Rehabilitation Act purposes)"; and (3) Fairview "failed to make reasonable modifications that would accommodate [their] disability." </w:t>
      </w:r>
      <w:bookmarkStart w:id="2759" w:name="Bookmark_I5TCCBGW2SF8670020000400"/>
      <w:bookmarkEnd w:id="2759"/>
      <w:r>
        <w:rPr>
          <w:rFonts w:ascii="Arial" w:eastAsia="Arial" w:hAnsi="Arial" w:cs="Arial"/>
          <w:color w:val="000000"/>
          <w:sz w:val="20"/>
          <w:u w:val="single"/>
        </w:rPr>
        <w:t>Mershon v. St. Louis Univ.</w:t>
      </w:r>
      <w:r>
        <w:rPr>
          <w:rFonts w:ascii="Arial" w:eastAsia="Arial" w:hAnsi="Arial" w:cs="Arial"/>
          <w:color w:val="000000"/>
          <w:sz w:val="20"/>
        </w:rPr>
        <w:t>, 442 F.3d 1069, 1076-77  [*842]  (8th Cir. 2006). The parties agree (1) Linda and Roger are individuals with a qualified disability, and (2) Fairview is a place of public accommodation receiving federal funding. The remaining question, therefore, is whether there are facts in dispute as to whether Fairview provided Linda and Roger with the necessary aids and services, such as access to an interpreter and a TTY device, during Shaun's hospitalization.</w:t>
      </w:r>
    </w:p>
    <w:p w:rsidR="00E456CD" w:rsidRDefault="00000000">
      <w:pPr>
        <w:pStyle w:val="Normal14"/>
        <w:widowControl w:val="0"/>
        <w:spacing w:before="200" w:line="260" w:lineRule="atLeast"/>
        <w:jc w:val="both"/>
      </w:pPr>
      <w:bookmarkStart w:id="2760" w:name="Bookmark_para_23_9"/>
      <w:bookmarkEnd w:id="2760"/>
      <w:r>
        <w:rPr>
          <w:rFonts w:ascii="Arial" w:eastAsia="Arial" w:hAnsi="Arial" w:cs="Arial"/>
          <w:color w:val="000000"/>
          <w:sz w:val="20"/>
        </w:rPr>
        <w:t xml:space="preserve">Linda and Roger argue Fairview discriminated against them by failing to provide statutorily required aids and services in the form of sufficient access to interpreters and a TTY device. As a result, Linda and Roger claim they "did not understand crucial aspects of Shaun's prognosis or the decisions that had been made regarding his care." We disagree with Linda and Roger's interpretation of what is statutorily required under the ADA, RA, and MHRA. Although the hospital could have improved upon the services provided, the services Fairview </w:t>
      </w:r>
      <w:r>
        <w:rPr>
          <w:rFonts w:ascii="Arial" w:eastAsia="Arial" w:hAnsi="Arial" w:cs="Arial"/>
          <w:i/>
          <w:color w:val="000000"/>
          <w:sz w:val="20"/>
        </w:rPr>
        <w:t>did</w:t>
      </w:r>
      <w:r>
        <w:rPr>
          <w:rFonts w:ascii="Arial" w:eastAsia="Arial" w:hAnsi="Arial" w:cs="Arial"/>
          <w:color w:val="000000"/>
          <w:sz w:val="20"/>
        </w:rPr>
        <w:t xml:space="preserve"> provide allowed Linda and Roger to gain access to the same information and related services as similarly [**10]  situated, hearing-abled individuals.</w:t>
      </w:r>
    </w:p>
    <w:p w:rsidR="00E456CD" w:rsidRDefault="00000000">
      <w:pPr>
        <w:pStyle w:val="Normal14"/>
        <w:widowControl w:val="0"/>
        <w:spacing w:before="200" w:line="260" w:lineRule="atLeast"/>
        <w:jc w:val="both"/>
      </w:pPr>
      <w:bookmarkStart w:id="2761" w:name="Bookmark_para_24_8"/>
      <w:bookmarkStart w:id="2762" w:name="Bookmark_I5TCCBGW2SF8670050000400"/>
      <w:bookmarkStart w:id="2763" w:name="Bookmark_LNHNREFclscc5_10"/>
      <w:bookmarkEnd w:id="2761"/>
      <w:bookmarkEnd w:id="2762"/>
      <w:bookmarkEnd w:id="2763"/>
      <w:r>
        <w:rPr>
          <w:rFonts w:ascii="Arial" w:eastAsia="Arial" w:hAnsi="Arial" w:cs="Arial"/>
          <w:color w:val="000000"/>
          <w:sz w:val="20"/>
        </w:rPr>
        <w:t xml:space="preserve">Generally, the ADA and RA require "responsible parties to provide 'necessary' auxiliary aids and services." </w:t>
      </w:r>
      <w:bookmarkStart w:id="2764" w:name="Bookmark_I5TCCBGW2SF8670040000400"/>
      <w:bookmarkEnd w:id="2764"/>
      <w:r>
        <w:rPr>
          <w:rFonts w:ascii="Arial" w:eastAsia="Arial" w:hAnsi="Arial" w:cs="Arial"/>
          <w:color w:val="000000"/>
          <w:sz w:val="20"/>
          <w:u w:val="single"/>
        </w:rPr>
        <w:t>Argenyi</w:t>
      </w:r>
      <w:r>
        <w:rPr>
          <w:rFonts w:ascii="Arial" w:eastAsia="Arial" w:hAnsi="Arial" w:cs="Arial"/>
          <w:color w:val="000000"/>
          <w:sz w:val="20"/>
        </w:rPr>
        <w:t xml:space="preserve">, 703 F.3d at 448. Still, while "[b]oth the ADA and [RA] are intentionally broad in scope, . . . they do not require institutions to provide </w:t>
      </w:r>
      <w:r>
        <w:rPr>
          <w:rFonts w:ascii="Arial" w:eastAsia="Arial" w:hAnsi="Arial" w:cs="Arial"/>
          <w:i/>
          <w:color w:val="000000"/>
          <w:sz w:val="20"/>
        </w:rPr>
        <w:t>all</w:t>
      </w:r>
      <w:r>
        <w:rPr>
          <w:rFonts w:ascii="Arial" w:eastAsia="Arial" w:hAnsi="Arial" w:cs="Arial"/>
          <w:color w:val="000000"/>
          <w:sz w:val="20"/>
        </w:rPr>
        <w:t xml:space="preserve"> requested auxiliary aids and services." </w:t>
      </w:r>
      <w:r>
        <w:rPr>
          <w:rFonts w:ascii="Arial" w:eastAsia="Arial" w:hAnsi="Arial" w:cs="Arial"/>
          <w:color w:val="000000"/>
          <w:sz w:val="20"/>
          <w:u w:val="single"/>
        </w:rPr>
        <w:t>Id.</w:t>
      </w:r>
      <w:r>
        <w:rPr>
          <w:rFonts w:ascii="Arial" w:eastAsia="Arial" w:hAnsi="Arial" w:cs="Arial"/>
          <w:color w:val="000000"/>
          <w:sz w:val="20"/>
        </w:rPr>
        <w:t xml:space="preserve"> (emphasis added). </w:t>
      </w:r>
      <w:bookmarkStart w:id="2765" w:name="Bookmark_I5TCCBGW2SF8680020000400"/>
      <w:bookmarkEnd w:id="2765"/>
      <w:r>
        <w:rPr>
          <w:rFonts w:ascii="Arial" w:eastAsia="Arial" w:hAnsi="Arial" w:cs="Arial"/>
          <w:color w:val="000000"/>
          <w:sz w:val="20"/>
        </w:rPr>
        <w:t xml:space="preserve">A reasonable denial of a request for an auxiliary aid or service does not necessarily create a statutory liability. </w:t>
      </w:r>
      <w:bookmarkStart w:id="2766" w:name="Bookmark_I5TCCBGW2SF8680020000400_2"/>
      <w:bookmarkEnd w:id="2766"/>
      <w:r>
        <w:rPr>
          <w:rFonts w:ascii="Arial" w:eastAsia="Arial" w:hAnsi="Arial" w:cs="Arial"/>
          <w:color w:val="000000"/>
          <w:sz w:val="20"/>
          <w:u w:val="single"/>
        </w:rPr>
        <w:t>See id.</w:t>
      </w:r>
      <w:r>
        <w:rPr>
          <w:rFonts w:ascii="Arial" w:eastAsia="Arial" w:hAnsi="Arial" w:cs="Arial"/>
          <w:color w:val="000000"/>
          <w:sz w:val="20"/>
        </w:rPr>
        <w:t xml:space="preserve"> As such, in order to determine whether the responsible party or parties meet the "necessary" requirement, we apply the "meaningful access" standard. </w:t>
      </w:r>
      <w:r>
        <w:rPr>
          <w:rFonts w:ascii="Arial" w:eastAsia="Arial" w:hAnsi="Arial" w:cs="Arial"/>
          <w:color w:val="000000"/>
          <w:sz w:val="20"/>
          <w:u w:val="single"/>
        </w:rPr>
        <w:t xml:space="preserve">See </w:t>
      </w:r>
      <w:bookmarkStart w:id="2767" w:name="Bookmark_I5TCCBGW2SF8680010000400"/>
      <w:bookmarkEnd w:id="2767"/>
      <w:r>
        <w:rPr>
          <w:rFonts w:ascii="Arial" w:eastAsia="Arial" w:hAnsi="Arial" w:cs="Arial"/>
          <w:color w:val="000000"/>
          <w:sz w:val="20"/>
          <w:u w:val="single"/>
        </w:rPr>
        <w:t>id.</w:t>
      </w:r>
      <w:r>
        <w:rPr>
          <w:rFonts w:ascii="Arial" w:eastAsia="Arial" w:hAnsi="Arial" w:cs="Arial"/>
          <w:color w:val="000000"/>
          <w:sz w:val="20"/>
        </w:rPr>
        <w:t xml:space="preserve"> at 449; </w:t>
      </w:r>
      <w:r>
        <w:rPr>
          <w:rFonts w:ascii="Arial" w:eastAsia="Arial" w:hAnsi="Arial" w:cs="Arial"/>
          <w:color w:val="000000"/>
          <w:sz w:val="20"/>
          <w:u w:val="single"/>
        </w:rPr>
        <w:t xml:space="preserve">see also </w:t>
      </w:r>
      <w:bookmarkStart w:id="2768" w:name="Bookmark_I5TCCBGW2SF8680030000400"/>
      <w:bookmarkEnd w:id="2768"/>
      <w:r>
        <w:rPr>
          <w:rFonts w:ascii="Arial" w:eastAsia="Arial" w:hAnsi="Arial" w:cs="Arial"/>
          <w:color w:val="000000"/>
          <w:sz w:val="20"/>
          <w:u w:val="single"/>
        </w:rPr>
        <w:t>Alexander</w:t>
      </w:r>
      <w:r>
        <w:rPr>
          <w:rFonts w:ascii="Arial" w:eastAsia="Arial" w:hAnsi="Arial" w:cs="Arial"/>
          <w:color w:val="000000"/>
          <w:sz w:val="20"/>
        </w:rPr>
        <w:t>, 469 U.S. at 301 (citing Section 504 of the RA and noting "an otherwise qualified . . . individual must be provided with meaningful access to the benefit that the grantee offers").</w:t>
      </w:r>
    </w:p>
    <w:p w:rsidR="00E456CD" w:rsidRDefault="00000000">
      <w:pPr>
        <w:pStyle w:val="Normal14"/>
        <w:widowControl w:val="0"/>
        <w:spacing w:before="200" w:line="260" w:lineRule="atLeast"/>
        <w:jc w:val="both"/>
      </w:pPr>
      <w:bookmarkStart w:id="2769" w:name="Bookmark_para_25_8"/>
      <w:bookmarkStart w:id="2770" w:name="Bookmark_I5TCCBGW28T3WN0010000400"/>
      <w:bookmarkStart w:id="2771" w:name="Bookmark_LNHNREFclscc6_10"/>
      <w:bookmarkEnd w:id="2769"/>
      <w:bookmarkEnd w:id="2770"/>
      <w:bookmarkEnd w:id="2771"/>
      <w:r>
        <w:rPr>
          <w:rFonts w:ascii="Arial" w:eastAsia="Arial" w:hAnsi="Arial" w:cs="Arial"/>
          <w:color w:val="000000"/>
          <w:sz w:val="20"/>
        </w:rPr>
        <w:t xml:space="preserve">The meaningful access standard requires entities to provide hearing-impaired individuals with "an equal opportunity to gain the same benefit" as their hearing-abled peers. </w:t>
      </w:r>
      <w:bookmarkStart w:id="2772" w:name="Bookmark_I5TCCBGW28T3WP0040000400"/>
      <w:bookmarkStart w:id="2773" w:name="Bookmark_I5TCCBGW2SF8680050000400"/>
      <w:bookmarkEnd w:id="2772"/>
      <w:bookmarkEnd w:id="2773"/>
      <w:r>
        <w:rPr>
          <w:rFonts w:ascii="Arial" w:eastAsia="Arial" w:hAnsi="Arial" w:cs="Arial"/>
          <w:color w:val="000000"/>
          <w:sz w:val="20"/>
          <w:u w:val="single"/>
        </w:rPr>
        <w:t>Argenyi</w:t>
      </w:r>
      <w:r>
        <w:rPr>
          <w:rFonts w:ascii="Arial" w:eastAsia="Arial" w:hAnsi="Arial" w:cs="Arial"/>
          <w:color w:val="000000"/>
          <w:sz w:val="20"/>
        </w:rPr>
        <w:t xml:space="preserve">, 703 F.3d at 449; </w:t>
      </w:r>
      <w:r>
        <w:rPr>
          <w:rFonts w:ascii="Arial" w:eastAsia="Arial" w:hAnsi="Arial" w:cs="Arial"/>
          <w:color w:val="000000"/>
          <w:sz w:val="20"/>
          <w:u w:val="single"/>
        </w:rPr>
        <w:t xml:space="preserve">see also </w:t>
      </w:r>
      <w:bookmarkStart w:id="2774" w:name="Bookmark_I5TCCBGW28T3WN0020000400"/>
      <w:bookmarkEnd w:id="2774"/>
      <w:r>
        <w:rPr>
          <w:rFonts w:ascii="Arial" w:eastAsia="Arial" w:hAnsi="Arial" w:cs="Arial"/>
          <w:color w:val="000000"/>
          <w:sz w:val="20"/>
          <w:u w:val="single"/>
        </w:rPr>
        <w:t>id.</w:t>
      </w:r>
      <w:r>
        <w:rPr>
          <w:rFonts w:ascii="Arial" w:eastAsia="Arial" w:hAnsi="Arial" w:cs="Arial"/>
          <w:color w:val="000000"/>
          <w:sz w:val="20"/>
        </w:rPr>
        <w:t xml:space="preserve"> at 448 (noting the ADA aimed "to remedy 'the discriminatory effects of . . . communication barriers' for individuals with hearing disabilities" (quoting 42 U.S.C. § 12101(a)(5))); </w:t>
      </w:r>
      <w:bookmarkStart w:id="2775" w:name="Bookmark_I5TCCBGW28T3WN0040000400"/>
      <w:bookmarkEnd w:id="2775"/>
      <w:r>
        <w:rPr>
          <w:rFonts w:ascii="Arial" w:eastAsia="Arial" w:hAnsi="Arial" w:cs="Arial"/>
          <w:color w:val="000000"/>
          <w:sz w:val="20"/>
          <w:u w:val="single"/>
        </w:rPr>
        <w:t>Liese v. Indian River Cty. Hosp. Dist.</w:t>
      </w:r>
      <w:r>
        <w:rPr>
          <w:rFonts w:ascii="Arial" w:eastAsia="Arial" w:hAnsi="Arial" w:cs="Arial"/>
          <w:color w:val="000000"/>
          <w:sz w:val="20"/>
        </w:rPr>
        <w:t xml:space="preserve">, 701 F.3d 334, 343 (11th Cir. 2012) (holding the "proper inquiry" regarding "necessary" auxiliary aids and services was whether [**11]  the aids "gave that patient an equal opportunity to benefit from the hospital's treatment"); </w:t>
      </w:r>
      <w:bookmarkStart w:id="2776" w:name="Bookmark_I5TCCBGW28T3WP0010000400"/>
      <w:bookmarkEnd w:id="2776"/>
      <w:r>
        <w:rPr>
          <w:rFonts w:ascii="Arial" w:eastAsia="Arial" w:hAnsi="Arial" w:cs="Arial"/>
          <w:color w:val="000000"/>
          <w:sz w:val="20"/>
          <w:u w:val="single"/>
        </w:rPr>
        <w:t>Loye</w:t>
      </w:r>
      <w:r>
        <w:rPr>
          <w:rFonts w:ascii="Arial" w:eastAsia="Arial" w:hAnsi="Arial" w:cs="Arial"/>
          <w:color w:val="000000"/>
          <w:sz w:val="20"/>
        </w:rPr>
        <w:t xml:space="preserve">, 625 F.3d at 500 (noting the "the legal standard is effective communication that results in meaningful access"). Accordingly, the meaningful access standard necessitates a fact-intensive inquiry and is largely context-dependent. </w:t>
      </w:r>
      <w:bookmarkStart w:id="2777" w:name="Bookmark_I5TCCBGW28T3WP0040000400_2"/>
      <w:bookmarkStart w:id="2778" w:name="Bookmark_I5TCCBGW28T3WP0030000400"/>
      <w:bookmarkEnd w:id="2777"/>
      <w:bookmarkEnd w:id="2778"/>
      <w:r>
        <w:rPr>
          <w:rFonts w:ascii="Arial" w:eastAsia="Arial" w:hAnsi="Arial" w:cs="Arial"/>
          <w:color w:val="000000"/>
          <w:sz w:val="20"/>
          <w:u w:val="single"/>
        </w:rPr>
        <w:t>Argenyi</w:t>
      </w:r>
      <w:r>
        <w:rPr>
          <w:rFonts w:ascii="Arial" w:eastAsia="Arial" w:hAnsi="Arial" w:cs="Arial"/>
          <w:color w:val="000000"/>
          <w:sz w:val="20"/>
        </w:rPr>
        <w:t xml:space="preserve">, 703 F.3d at 449; </w:t>
      </w:r>
      <w:bookmarkStart w:id="2779" w:name="Bookmark_I5TCCBGW28T3WP0050000400"/>
      <w:bookmarkEnd w:id="2779"/>
      <w:r>
        <w:rPr>
          <w:rFonts w:ascii="Arial" w:eastAsia="Arial" w:hAnsi="Arial" w:cs="Arial"/>
          <w:color w:val="000000"/>
          <w:sz w:val="20"/>
          <w:u w:val="single"/>
        </w:rPr>
        <w:t>Liese</w:t>
      </w:r>
      <w:r>
        <w:rPr>
          <w:rFonts w:ascii="Arial" w:eastAsia="Arial" w:hAnsi="Arial" w:cs="Arial"/>
          <w:color w:val="000000"/>
          <w:sz w:val="20"/>
        </w:rPr>
        <w:t>, 701 F.3d at 342-43. As such, courts must identify the hearing-abled peer group, as well as the context of the hospital visit, in order to determine whether the hearing-impaired individuals were provided an equal opportunity to access the same benefits.</w:t>
      </w:r>
    </w:p>
    <w:p w:rsidR="00E456CD" w:rsidRDefault="00000000">
      <w:pPr>
        <w:pStyle w:val="Normal14"/>
        <w:widowControl w:val="0"/>
        <w:spacing w:before="200" w:line="260" w:lineRule="atLeast"/>
        <w:jc w:val="both"/>
      </w:pPr>
      <w:bookmarkStart w:id="2780" w:name="Bookmark_para_26_8"/>
      <w:bookmarkEnd w:id="2780"/>
      <w:r>
        <w:rPr>
          <w:rFonts w:ascii="Arial" w:eastAsia="Arial" w:hAnsi="Arial" w:cs="Arial"/>
          <w:color w:val="000000"/>
          <w:sz w:val="20"/>
        </w:rPr>
        <w:t>As Shaun's parents, Linda and Roger are naturally considered to be a part of the group of stakeholders interested in his condition. However, as the district court noted, Linda and Roger did not seek the hospital's aids and auxiliary services as patients or as a patient's designated decisionmaker. In fact, in the years leading up to his final hospitalization, Shaun specifically elected not to include Linda or Roger as parties authorized to receive his medical information. Nor did he designate Linda or Roger as his health care agents. Thus, when Linda and Roger visited the hospital in May 2013, they did so as family visitors:  [*843]  related, interested, non-patient [**12]  parties with limited authority to receive certain medical information and no formal decisionmaking agency.</w:t>
      </w:r>
    </w:p>
    <w:p w:rsidR="00E456CD" w:rsidRDefault="00000000">
      <w:pPr>
        <w:pStyle w:val="Normal14"/>
        <w:widowControl w:val="0"/>
        <w:spacing w:before="200" w:line="260" w:lineRule="atLeast"/>
        <w:jc w:val="both"/>
      </w:pPr>
      <w:bookmarkStart w:id="2781" w:name="Bookmark_para_27_8"/>
      <w:bookmarkEnd w:id="2781"/>
      <w:r>
        <w:rPr>
          <w:rFonts w:ascii="Arial" w:eastAsia="Arial" w:hAnsi="Arial" w:cs="Arial"/>
          <w:color w:val="000000"/>
          <w:sz w:val="20"/>
        </w:rPr>
        <w:t>Second, it is undisputed that, over the course of Shaun's final hospitalization, his condition developed into an urgent, emergency situation. While the November 2012 hospice conference and April 2013 palliative care conference helped prepare Linda, Roger, Priscilla, and Shaun's medical team for the ultimate outcome, the timing and course of events were largely unknown. As such, during Shaun's final hospitalization, Priscilla and Shaun's medical team had to make immediate, time-sensitive decisions. In these types of situations, we expect Fairview to prioritize conversations with critical parties who have decisionmaking authority over conversations with family visitors, regardless of their disability status.</w:t>
      </w:r>
    </w:p>
    <w:p w:rsidR="00E456CD" w:rsidRDefault="00000000">
      <w:pPr>
        <w:pStyle w:val="Normal14"/>
        <w:widowControl w:val="0"/>
        <w:spacing w:before="200" w:line="260" w:lineRule="atLeast"/>
        <w:jc w:val="both"/>
      </w:pPr>
      <w:bookmarkStart w:id="2782" w:name="Bookmark_para_28_8"/>
      <w:bookmarkEnd w:id="2782"/>
      <w:r>
        <w:rPr>
          <w:rFonts w:ascii="Arial" w:eastAsia="Arial" w:hAnsi="Arial" w:cs="Arial"/>
          <w:color w:val="000000"/>
          <w:sz w:val="20"/>
        </w:rPr>
        <w:t xml:space="preserve">Finally, family visitors and similarly situated stakeholders are entitled to effective communication. This includes participation in certain conversations, access to certain information, and, ultimately, effective communication of that information. </w:t>
      </w:r>
      <w:r>
        <w:rPr>
          <w:rFonts w:ascii="Arial" w:eastAsia="Arial" w:hAnsi="Arial" w:cs="Arial"/>
          <w:color w:val="000000"/>
          <w:sz w:val="20"/>
          <w:u w:val="single"/>
        </w:rPr>
        <w:t>See</w:t>
      </w:r>
      <w:r>
        <w:rPr>
          <w:rFonts w:ascii="Arial" w:eastAsia="Arial" w:hAnsi="Arial" w:cs="Arial"/>
          <w:color w:val="000000"/>
          <w:sz w:val="20"/>
        </w:rPr>
        <w:t xml:space="preserve"> </w:t>
      </w:r>
      <w:bookmarkStart w:id="2783" w:name="Bookmark_LNHNREFclscc7_10"/>
      <w:bookmarkEnd w:id="2783"/>
      <w:r>
        <w:rPr>
          <w:rFonts w:ascii="Arial" w:eastAsia="Arial" w:hAnsi="Arial" w:cs="Arial"/>
          <w:color w:val="000000"/>
          <w:sz w:val="20"/>
        </w:rPr>
        <w:t xml:space="preserve">28 C.F.R. § 36.303(c) (requiring hospitals to "furnish appropriate auxiliary aids and services where necessary to ensure effective communication with [**13]  individuals with disabilities"). Here, Linda and Roger argue they were not able to fully comprehend the severity of Shaun's condition. </w:t>
      </w:r>
      <w:bookmarkStart w:id="2784" w:name="Bookmark_I5TCCBGW2D6N340030000400"/>
      <w:bookmarkEnd w:id="2784"/>
      <w:r>
        <w:rPr>
          <w:rFonts w:ascii="Arial" w:eastAsia="Arial" w:hAnsi="Arial" w:cs="Arial"/>
          <w:color w:val="000000"/>
          <w:sz w:val="20"/>
        </w:rPr>
        <w:t xml:space="preserve">The evidence, however, shows Fairview provided Linda and Roger with access to information, through interpreters, before and during Shaun's final hospitalization and provided ample opportunities for Linda and Roger to ask questions that may have clarified their understanding of Shaun's condition. On these facts, we cannot conclude Fairview failed to discharge its duty to provide effective communication. </w:t>
      </w:r>
      <w:r>
        <w:rPr>
          <w:rFonts w:ascii="Arial" w:eastAsia="Arial" w:hAnsi="Arial" w:cs="Arial"/>
          <w:color w:val="000000"/>
          <w:sz w:val="20"/>
          <w:u w:val="single"/>
        </w:rPr>
        <w:t xml:space="preserve">See </w:t>
      </w:r>
      <w:bookmarkStart w:id="2785" w:name="Bookmark_I5TCCBGW2D6N340020000400"/>
      <w:bookmarkEnd w:id="2785"/>
      <w:r>
        <w:rPr>
          <w:rFonts w:ascii="Arial" w:eastAsia="Arial" w:hAnsi="Arial" w:cs="Arial"/>
          <w:color w:val="000000"/>
          <w:sz w:val="20"/>
          <w:u w:val="single"/>
        </w:rPr>
        <w:t>Loye</w:t>
      </w:r>
      <w:r>
        <w:rPr>
          <w:rFonts w:ascii="Arial" w:eastAsia="Arial" w:hAnsi="Arial" w:cs="Arial"/>
          <w:color w:val="000000"/>
          <w:sz w:val="20"/>
        </w:rPr>
        <w:t>, 625 F.3d at 500.</w:t>
      </w:r>
    </w:p>
    <w:p w:rsidR="00E456CD" w:rsidRDefault="00000000">
      <w:pPr>
        <w:pStyle w:val="Normal14"/>
        <w:widowControl w:val="0"/>
        <w:spacing w:before="200" w:line="260" w:lineRule="atLeast"/>
        <w:jc w:val="both"/>
      </w:pPr>
      <w:bookmarkStart w:id="2786" w:name="Bookmark_para_29_8"/>
      <w:bookmarkEnd w:id="2786"/>
      <w:r>
        <w:rPr>
          <w:rFonts w:ascii="Arial" w:eastAsia="Arial" w:hAnsi="Arial" w:cs="Arial"/>
          <w:color w:val="000000"/>
          <w:sz w:val="20"/>
        </w:rPr>
        <w:t>Next, turning to the TTY device, it is not disputed that Fairview provided a TTY device. There is also no dispute Linda refused the hospital administrator's assistance in setting up the TTY device. These facts alone are sufficient to establish Fairview provided Linda and Roger with the requested auxiliary aid and offered assistance, which was declined, in setting up the device. Here, the district court also discussed a series of complications with Linda's plan to use the TTY device that were outside the scope of Fairview's control. For example, this was the first time Linda, or anyone else, had attempted to reach Roger at his place of work. And, [**14]  even though Priscilla and another sibling called Roger at work, they did not leave a voicemail message. As the district court noted, "on these facts, the Court discerns no violation of the law." We agree.</w:t>
      </w:r>
    </w:p>
    <w:p w:rsidR="00E456CD" w:rsidRDefault="00000000">
      <w:pPr>
        <w:pStyle w:val="Normal14"/>
        <w:widowControl w:val="0"/>
        <w:spacing w:before="200" w:line="260" w:lineRule="atLeast"/>
        <w:jc w:val="both"/>
      </w:pPr>
      <w:bookmarkStart w:id="2787" w:name="Bookmark_para_30_8"/>
      <w:bookmarkEnd w:id="2787"/>
      <w:r>
        <w:rPr>
          <w:rFonts w:ascii="Arial" w:eastAsia="Arial" w:hAnsi="Arial" w:cs="Arial"/>
          <w:color w:val="000000"/>
          <w:sz w:val="20"/>
        </w:rPr>
        <w:t>Overall, based on the record, the district court determined there was no factual dispute as to whether Fairview provided a legally sufficient amount of aids and services during the course of Shaun's hospitalization. We agree. As such, Fairview is entitled to summary judgment as a matter of law.</w:t>
      </w:r>
    </w:p>
    <w:p w:rsidR="00E456CD" w:rsidRDefault="00000000">
      <w:pPr>
        <w:pStyle w:val="Normal14"/>
        <w:widowControl w:val="0"/>
        <w:spacing w:before="120" w:line="260" w:lineRule="atLeast"/>
      </w:pPr>
      <w:r>
        <w:rPr>
          <w:rFonts w:ascii="Arial" w:eastAsia="Arial" w:hAnsi="Arial" w:cs="Arial"/>
          <w:color w:val="000000"/>
          <w:sz w:val="20"/>
        </w:rPr>
        <w:t>2. Associational Standing</w:t>
      </w:r>
    </w:p>
    <w:p w:rsidR="00E456CD" w:rsidRDefault="00000000">
      <w:pPr>
        <w:pStyle w:val="Normal14"/>
        <w:widowControl w:val="0"/>
        <w:spacing w:before="200" w:line="260" w:lineRule="atLeast"/>
        <w:jc w:val="both"/>
      </w:pPr>
      <w:bookmarkStart w:id="2788" w:name="Bookmark_para_31_8"/>
      <w:bookmarkEnd w:id="2788"/>
      <w:r>
        <w:rPr>
          <w:rFonts w:ascii="Arial" w:eastAsia="Arial" w:hAnsi="Arial" w:cs="Arial"/>
          <w:color w:val="000000"/>
          <w:sz w:val="20"/>
        </w:rPr>
        <w:t>The second issue on appeal is whether Priscilla has associational standing to bring a claim against Fairview independent of her parents' claims. Priscilla alleges she was unable to "fully concentrate on her own needs" because she was required to interpret for her deaf parents during the course of Shaun's hospitalization.</w:t>
      </w:r>
    </w:p>
    <w:p w:rsidR="00E456CD" w:rsidRDefault="00000000">
      <w:pPr>
        <w:pStyle w:val="Normal14"/>
        <w:widowControl w:val="0"/>
        <w:spacing w:before="200" w:line="260" w:lineRule="atLeast"/>
        <w:jc w:val="both"/>
      </w:pPr>
      <w:bookmarkStart w:id="2789" w:name="Bookmark_para_32_8"/>
      <w:bookmarkStart w:id="2790" w:name="Bookmark_I5TCCBGW2D6N340050000400"/>
      <w:bookmarkStart w:id="2791" w:name="Bookmark_I5TCCBGW2D6N350040000400"/>
      <w:bookmarkStart w:id="2792" w:name="Bookmark_LNHNREFclscc8_9"/>
      <w:bookmarkEnd w:id="2789"/>
      <w:bookmarkEnd w:id="2790"/>
      <w:bookmarkEnd w:id="2791"/>
      <w:bookmarkEnd w:id="2792"/>
      <w:r>
        <w:rPr>
          <w:rFonts w:ascii="Arial" w:eastAsia="Arial" w:hAnsi="Arial" w:cs="Arial"/>
          <w:color w:val="000000"/>
          <w:sz w:val="20"/>
        </w:rPr>
        <w:t xml:space="preserve">Generally, courts have "widely accepted . . . under both the RA and the ADA [that] non-disabled individuals have standing to bring claims when they  [*844]  are injured because of their association with a disabled person." </w:t>
      </w:r>
      <w:bookmarkStart w:id="2793" w:name="Bookmark_I5TCCBGW2D6N340040000400"/>
      <w:bookmarkEnd w:id="2793"/>
      <w:r>
        <w:rPr>
          <w:rFonts w:ascii="Arial" w:eastAsia="Arial" w:hAnsi="Arial" w:cs="Arial"/>
          <w:color w:val="000000"/>
          <w:sz w:val="20"/>
          <w:u w:val="single"/>
        </w:rPr>
        <w:t>McCullum v. Orlando Reg'l  [*845]  Healthcare Sys., Inc.</w:t>
      </w:r>
      <w:r>
        <w:rPr>
          <w:rFonts w:ascii="Arial" w:eastAsia="Arial" w:hAnsi="Arial" w:cs="Arial"/>
          <w:color w:val="000000"/>
          <w:sz w:val="20"/>
        </w:rPr>
        <w:t xml:space="preserve">, 768 F.3d 1135, 1142 (11th Cir. 2014) (citing </w:t>
      </w:r>
      <w:bookmarkStart w:id="2794" w:name="Bookmark_I5TCCBGW2D6N350010000400"/>
      <w:bookmarkEnd w:id="2794"/>
      <w:r>
        <w:rPr>
          <w:rFonts w:ascii="Arial" w:eastAsia="Arial" w:hAnsi="Arial" w:cs="Arial"/>
          <w:color w:val="000000"/>
          <w:sz w:val="20"/>
          <w:u w:val="single"/>
        </w:rPr>
        <w:t>Addiction Specialists, Inc. v. Twp. of Hampton</w:t>
      </w:r>
      <w:r>
        <w:rPr>
          <w:rFonts w:ascii="Arial" w:eastAsia="Arial" w:hAnsi="Arial" w:cs="Arial"/>
          <w:color w:val="000000"/>
          <w:sz w:val="20"/>
        </w:rPr>
        <w:t xml:space="preserve">, 411 F.3d 399, 405-09 (3d Cir. 2005) (discussing standing of a non-disabled party under the ADA and RA)). Specifically, the ADA states, "It shall be discriminatory to [**15]  exclude or otherwise deny equal goods, services, facilities, privileges, advantages, accommodations, or other opportunities to an individual or entity because of the known disability of an individual with whom the individual or entity is known to have a relationship or association." 42 U.S.C. § 12182(b)(1)(E). Although the RA does not have a similar provision, courts have read part of the statute—"[t]he remedies, procedures, and rights set forth in title VI of the Civil Rights Act of 1964 . . . shall be available to any person aggrieved by any act or failure to act"—as establishing associational standing. 29 U.S.C. § 794a(a)(2); </w:t>
      </w:r>
      <w:bookmarkStart w:id="2795" w:name="Bookmark_I5TCCBGW2D6N350030000400"/>
      <w:bookmarkEnd w:id="2795"/>
      <w:r>
        <w:rPr>
          <w:rFonts w:ascii="Arial" w:eastAsia="Arial" w:hAnsi="Arial" w:cs="Arial"/>
          <w:color w:val="000000"/>
          <w:sz w:val="20"/>
          <w:u w:val="single"/>
        </w:rPr>
        <w:t>Loeffler v. Staten Island Univ. Hosp.</w:t>
      </w:r>
      <w:r>
        <w:rPr>
          <w:rFonts w:ascii="Arial" w:eastAsia="Arial" w:hAnsi="Arial" w:cs="Arial"/>
          <w:color w:val="000000"/>
          <w:sz w:val="20"/>
        </w:rPr>
        <w:t>, 582 F.3d 268, 280 (2d Cir. 2009).</w:t>
      </w:r>
    </w:p>
    <w:p w:rsidR="00E456CD" w:rsidRDefault="00000000">
      <w:pPr>
        <w:pStyle w:val="Normal14"/>
        <w:widowControl w:val="0"/>
        <w:spacing w:before="200" w:line="260" w:lineRule="atLeast"/>
        <w:jc w:val="both"/>
      </w:pPr>
      <w:bookmarkStart w:id="2796" w:name="Bookmark_para_33_7"/>
      <w:bookmarkStart w:id="2797" w:name="Bookmark_I0BF1JPG7T0000RGTFW0046C"/>
      <w:bookmarkStart w:id="2798" w:name="Bookmark_I0BF1JPGDWV000RGTFW0042H"/>
      <w:bookmarkStart w:id="2799" w:name="Bookmark_I5TCCBGW2HM6630010000400"/>
      <w:bookmarkStart w:id="2800" w:name="Bookmark_I5TCCBGW2HM6630050000400"/>
      <w:bookmarkEnd w:id="2796"/>
      <w:bookmarkEnd w:id="2797"/>
      <w:bookmarkEnd w:id="2798"/>
      <w:bookmarkEnd w:id="2799"/>
      <w:bookmarkEnd w:id="2800"/>
      <w:r>
        <w:rPr>
          <w:rFonts w:ascii="Arial" w:eastAsia="Arial" w:hAnsi="Arial" w:cs="Arial"/>
          <w:color w:val="000000"/>
          <w:sz w:val="20"/>
        </w:rPr>
        <w:t xml:space="preserve">However, there is a circuit split as to the scope of associational standing under the ADA and RA. </w:t>
      </w:r>
      <w:r>
        <w:rPr>
          <w:rFonts w:ascii="Arial" w:eastAsia="Arial" w:hAnsi="Arial" w:cs="Arial"/>
          <w:color w:val="000000"/>
          <w:sz w:val="20"/>
          <w:u w:val="single"/>
        </w:rPr>
        <w:t xml:space="preserve">Compare </w:t>
      </w:r>
      <w:bookmarkStart w:id="2801" w:name="Bookmark_I5TCCBGW2D6N350050000400"/>
      <w:bookmarkEnd w:id="2801"/>
      <w:r>
        <w:rPr>
          <w:rFonts w:ascii="Arial" w:eastAsia="Arial" w:hAnsi="Arial" w:cs="Arial"/>
          <w:color w:val="000000"/>
          <w:sz w:val="20"/>
          <w:u w:val="single"/>
        </w:rPr>
        <w:t>Loeffler</w:t>
      </w:r>
      <w:r>
        <w:rPr>
          <w:rFonts w:ascii="Arial" w:eastAsia="Arial" w:hAnsi="Arial" w:cs="Arial"/>
          <w:color w:val="000000"/>
          <w:sz w:val="20"/>
        </w:rPr>
        <w:t xml:space="preserve">, 582 F.3d at 277-79 </w:t>
      </w:r>
      <w:r>
        <w:rPr>
          <w:rFonts w:ascii="Arial" w:eastAsia="Arial" w:hAnsi="Arial" w:cs="Arial"/>
          <w:color w:val="000000"/>
          <w:sz w:val="20"/>
          <w:u w:val="single"/>
        </w:rPr>
        <w:t xml:space="preserve">with </w:t>
      </w:r>
      <w:bookmarkStart w:id="2802" w:name="Bookmark_I5TCCBGW2HM6630020000400"/>
      <w:bookmarkEnd w:id="2802"/>
      <w:r>
        <w:rPr>
          <w:rFonts w:ascii="Arial" w:eastAsia="Arial" w:hAnsi="Arial" w:cs="Arial"/>
          <w:color w:val="000000"/>
          <w:sz w:val="20"/>
          <w:u w:val="single"/>
        </w:rPr>
        <w:t>McCullum v. Orlando Reg'l Healthcare Sys., Inc.</w:t>
      </w:r>
      <w:r>
        <w:rPr>
          <w:rFonts w:ascii="Arial" w:eastAsia="Arial" w:hAnsi="Arial" w:cs="Arial"/>
          <w:color w:val="000000"/>
          <w:sz w:val="20"/>
        </w:rPr>
        <w:t xml:space="preserve">, 768 F.3d 1135, 1142 (11th Cir. 2014). </w:t>
      </w:r>
      <w:bookmarkStart w:id="2803" w:name="Bookmark_I5TCCBGW2N1R740020000400"/>
      <w:bookmarkEnd w:id="2803"/>
      <w:r>
        <w:rPr>
          <w:rFonts w:ascii="Arial" w:eastAsia="Arial" w:hAnsi="Arial" w:cs="Arial"/>
          <w:color w:val="000000"/>
          <w:sz w:val="20"/>
        </w:rPr>
        <w:t xml:space="preserve">In </w:t>
      </w:r>
      <w:r>
        <w:rPr>
          <w:rFonts w:ascii="Arial" w:eastAsia="Arial" w:hAnsi="Arial" w:cs="Arial"/>
          <w:color w:val="000000"/>
          <w:sz w:val="20"/>
          <w:u w:val="single"/>
        </w:rPr>
        <w:t>Loeffler</w:t>
      </w:r>
      <w:r>
        <w:rPr>
          <w:rFonts w:ascii="Arial" w:eastAsia="Arial" w:hAnsi="Arial" w:cs="Arial"/>
          <w:color w:val="000000"/>
          <w:sz w:val="20"/>
        </w:rPr>
        <w:t xml:space="preserve">, the Second Circuit determined </w:t>
      </w:r>
      <w:bookmarkStart w:id="2804" w:name="Bookmark_LNHNREFclscc9_7"/>
      <w:bookmarkEnd w:id="2804"/>
      <w:r>
        <w:rPr>
          <w:rFonts w:ascii="Arial" w:eastAsia="Arial" w:hAnsi="Arial" w:cs="Arial"/>
          <w:color w:val="000000"/>
          <w:sz w:val="20"/>
        </w:rPr>
        <w:t xml:space="preserve">under the ADA and RA, "non-disabled parties bringing associational discrimination claims need only prove an independent injury causally related to the denial of federally required services to the disabled persons with whom the non-disabled plaintiffs are associated." </w:t>
      </w:r>
      <w:bookmarkStart w:id="2805" w:name="Bookmark_I5TCCBGW2HM6630040000400"/>
      <w:bookmarkEnd w:id="2805"/>
      <w:r>
        <w:rPr>
          <w:rFonts w:ascii="Arial" w:eastAsia="Arial" w:hAnsi="Arial" w:cs="Arial"/>
          <w:color w:val="000000"/>
          <w:sz w:val="20"/>
        </w:rPr>
        <w:t xml:space="preserve">582 F.3d at 279. The majority in </w:t>
      </w:r>
      <w:r>
        <w:rPr>
          <w:rFonts w:ascii="Arial" w:eastAsia="Arial" w:hAnsi="Arial" w:cs="Arial"/>
          <w:color w:val="000000"/>
          <w:sz w:val="20"/>
          <w:u w:val="single"/>
        </w:rPr>
        <w:t>Loeffler</w:t>
      </w:r>
      <w:r>
        <w:rPr>
          <w:rFonts w:ascii="Arial" w:eastAsia="Arial" w:hAnsi="Arial" w:cs="Arial"/>
          <w:color w:val="000000"/>
          <w:sz w:val="20"/>
        </w:rPr>
        <w:t xml:space="preserve"> concluded that, because a hospital did not provide federally-required services to a deaf patient, and because his two minor and hearing-abled children were required [**16]  to act as on-call interpreters for their father, forcing the kids to miss school and be "involuntar[il]y expos[ed] to their father's suffering," the children had associational standing. </w:t>
      </w:r>
      <w:bookmarkStart w:id="2806" w:name="Bookmark_I5TCCBGW2N1R740020000400_2"/>
      <w:bookmarkEnd w:id="2806"/>
      <w:r>
        <w:rPr>
          <w:rFonts w:ascii="Arial" w:eastAsia="Arial" w:hAnsi="Arial" w:cs="Arial"/>
          <w:color w:val="000000"/>
          <w:sz w:val="20"/>
          <w:u w:val="single"/>
        </w:rPr>
        <w:t xml:space="preserve">Id. But see </w:t>
      </w:r>
      <w:bookmarkStart w:id="2807" w:name="Bookmark_I5TCCBGW2N1R740010000400"/>
      <w:bookmarkEnd w:id="2807"/>
      <w:r>
        <w:rPr>
          <w:rFonts w:ascii="Arial" w:eastAsia="Arial" w:hAnsi="Arial" w:cs="Arial"/>
          <w:color w:val="000000"/>
          <w:sz w:val="20"/>
          <w:u w:val="single"/>
        </w:rPr>
        <w:t>id.</w:t>
      </w:r>
      <w:r>
        <w:rPr>
          <w:rFonts w:ascii="Arial" w:eastAsia="Arial" w:hAnsi="Arial" w:cs="Arial"/>
          <w:color w:val="000000"/>
          <w:sz w:val="20"/>
        </w:rPr>
        <w:t xml:space="preserve"> at 287 (Jacobs, C.J., dissenting) (noting that because Congress intended the standard under the ADA and RA to require non-disabled individuals to be excluded or denied services </w:t>
      </w:r>
      <w:r>
        <w:rPr>
          <w:rFonts w:ascii="Arial" w:eastAsia="Arial" w:hAnsi="Arial" w:cs="Arial"/>
          <w:i/>
          <w:color w:val="000000"/>
          <w:sz w:val="20"/>
        </w:rPr>
        <w:t>because of their association</w:t>
      </w:r>
      <w:r>
        <w:rPr>
          <w:rFonts w:ascii="Arial" w:eastAsia="Arial" w:hAnsi="Arial" w:cs="Arial"/>
          <w:color w:val="000000"/>
          <w:sz w:val="20"/>
        </w:rPr>
        <w:t>, and the non-disabled children had not been excluded from or denied services based on their association with their deaf father, the children did not have associational standing under either statute).</w:t>
      </w:r>
    </w:p>
    <w:p w:rsidR="00E456CD" w:rsidRDefault="00000000">
      <w:pPr>
        <w:pStyle w:val="Normal14"/>
        <w:widowControl w:val="0"/>
        <w:spacing w:before="200" w:line="260" w:lineRule="atLeast"/>
        <w:jc w:val="both"/>
      </w:pPr>
      <w:bookmarkStart w:id="2808" w:name="Bookmark_para_34_6"/>
      <w:bookmarkStart w:id="2809" w:name="Bookmark_I5TCCBGW2N1R740040000400"/>
      <w:bookmarkStart w:id="2810" w:name="Bookmark_I5TCCBGW2SF8690010000400"/>
      <w:bookmarkEnd w:id="2808"/>
      <w:bookmarkEnd w:id="2809"/>
      <w:bookmarkEnd w:id="2810"/>
      <w:r>
        <w:rPr>
          <w:rFonts w:ascii="Arial" w:eastAsia="Arial" w:hAnsi="Arial" w:cs="Arial"/>
          <w:color w:val="000000"/>
          <w:sz w:val="20"/>
        </w:rPr>
        <w:t xml:space="preserve">In </w:t>
      </w:r>
      <w:r>
        <w:rPr>
          <w:rFonts w:ascii="Arial" w:eastAsia="Arial" w:hAnsi="Arial" w:cs="Arial"/>
          <w:color w:val="000000"/>
          <w:sz w:val="20"/>
          <w:u w:val="single"/>
        </w:rPr>
        <w:t>McCullum</w:t>
      </w:r>
      <w:r>
        <w:rPr>
          <w:rFonts w:ascii="Arial" w:eastAsia="Arial" w:hAnsi="Arial" w:cs="Arial"/>
          <w:color w:val="000000"/>
          <w:sz w:val="20"/>
        </w:rPr>
        <w:t xml:space="preserve">, the Eleventh Circuit held </w:t>
      </w:r>
      <w:bookmarkStart w:id="2811" w:name="Bookmark_LNHNREFclscc10_7"/>
      <w:bookmarkEnd w:id="2811"/>
      <w:r>
        <w:rPr>
          <w:rFonts w:ascii="Arial" w:eastAsia="Arial" w:hAnsi="Arial" w:cs="Arial"/>
          <w:color w:val="000000"/>
          <w:sz w:val="20"/>
        </w:rPr>
        <w:t xml:space="preserve">"a non-disabled individual has standing to bring suit under the ADA [and RA] only if she  [*846]  was personally discriminated against or denied some benefit because of her association with a disabled person." </w:t>
      </w:r>
      <w:bookmarkStart w:id="2812" w:name="Bookmark_I5TCCBGW2N1R740030000400"/>
      <w:bookmarkEnd w:id="2812"/>
      <w:r>
        <w:rPr>
          <w:rFonts w:ascii="Arial" w:eastAsia="Arial" w:hAnsi="Arial" w:cs="Arial"/>
          <w:color w:val="000000"/>
          <w:sz w:val="20"/>
        </w:rPr>
        <w:t xml:space="preserve">768 F.3d at 1142. The Eleventh Circuit cited Chief Judge Jacobs' dissent in </w:t>
      </w:r>
      <w:r>
        <w:rPr>
          <w:rFonts w:ascii="Arial" w:eastAsia="Arial" w:hAnsi="Arial" w:cs="Arial"/>
          <w:color w:val="000000"/>
          <w:sz w:val="20"/>
          <w:u w:val="single"/>
        </w:rPr>
        <w:t>Loeffler</w:t>
      </w:r>
      <w:r>
        <w:rPr>
          <w:rFonts w:ascii="Arial" w:eastAsia="Arial" w:hAnsi="Arial" w:cs="Arial"/>
          <w:color w:val="000000"/>
          <w:sz w:val="20"/>
        </w:rPr>
        <w:t xml:space="preserve"> and shared his concern at the possibility that "non-disabled individuals may seek relief under the RA and ADA for injuries other than exclusion, denial of benefits, or discrimination that they themselves suffer." </w:t>
      </w:r>
      <w:bookmarkStart w:id="2813" w:name="Bookmark_I5TCCBGW2N1R740050000400"/>
      <w:bookmarkEnd w:id="2813"/>
      <w:r>
        <w:rPr>
          <w:rFonts w:ascii="Arial" w:eastAsia="Arial" w:hAnsi="Arial" w:cs="Arial"/>
          <w:color w:val="000000"/>
          <w:sz w:val="20"/>
          <w:u w:val="single"/>
        </w:rPr>
        <w:t>Id.</w:t>
      </w:r>
      <w:r>
        <w:rPr>
          <w:rFonts w:ascii="Arial" w:eastAsia="Arial" w:hAnsi="Arial" w:cs="Arial"/>
          <w:color w:val="000000"/>
          <w:sz w:val="20"/>
        </w:rPr>
        <w:t xml:space="preserve"> at 1143-44. The court noted, "If that contention were correct, it would mean that Congress [**17]  granted non-disabled persons more rights under the ADA and RA than it granted to disabled persons, who can recover only if they are personally excluded, denied benefits, or discriminated against based on their disability." </w:t>
      </w:r>
      <w:r>
        <w:rPr>
          <w:rFonts w:ascii="Arial" w:eastAsia="Arial" w:hAnsi="Arial" w:cs="Arial"/>
          <w:color w:val="000000"/>
          <w:sz w:val="20"/>
          <w:u w:val="single"/>
        </w:rPr>
        <w:t>Id.</w:t>
      </w:r>
      <w:r>
        <w:rPr>
          <w:rFonts w:ascii="Arial" w:eastAsia="Arial" w:hAnsi="Arial" w:cs="Arial"/>
          <w:color w:val="000000"/>
          <w:sz w:val="20"/>
        </w:rPr>
        <w:t xml:space="preserve"> Although the ADA and RA may not intend to grant </w:t>
      </w:r>
      <w:r>
        <w:rPr>
          <w:rFonts w:ascii="Arial" w:eastAsia="Arial" w:hAnsi="Arial" w:cs="Arial"/>
          <w:i/>
          <w:color w:val="000000"/>
          <w:sz w:val="20"/>
        </w:rPr>
        <w:t>more</w:t>
      </w:r>
      <w:r>
        <w:rPr>
          <w:rFonts w:ascii="Arial" w:eastAsia="Arial" w:hAnsi="Arial" w:cs="Arial"/>
          <w:color w:val="000000"/>
          <w:sz w:val="20"/>
        </w:rPr>
        <w:t xml:space="preserve"> rights to non-disabled individuals, the statutes do grant </w:t>
      </w:r>
      <w:r>
        <w:rPr>
          <w:rFonts w:ascii="Arial" w:eastAsia="Arial" w:hAnsi="Arial" w:cs="Arial"/>
          <w:i/>
          <w:color w:val="000000"/>
          <w:sz w:val="20"/>
        </w:rPr>
        <w:t>different</w:t>
      </w:r>
      <w:r>
        <w:rPr>
          <w:rFonts w:ascii="Arial" w:eastAsia="Arial" w:hAnsi="Arial" w:cs="Arial"/>
          <w:color w:val="000000"/>
          <w:sz w:val="20"/>
        </w:rPr>
        <w:t xml:space="preserve"> rights to disabled and non-disabled individuals.</w:t>
      </w:r>
    </w:p>
    <w:p w:rsidR="00E456CD" w:rsidRDefault="00000000">
      <w:pPr>
        <w:pStyle w:val="Normal14"/>
        <w:widowControl w:val="0"/>
        <w:spacing w:before="200" w:line="260" w:lineRule="atLeast"/>
        <w:jc w:val="both"/>
      </w:pPr>
      <w:bookmarkStart w:id="2814" w:name="Bookmark_para_35_5"/>
      <w:bookmarkStart w:id="2815" w:name="Bookmark_I0BF1JPGJR0000RGTFW0046F"/>
      <w:bookmarkStart w:id="2816" w:name="Bookmark_I5TCCBGW2SF8690030000400"/>
      <w:bookmarkStart w:id="2817" w:name="Bookmark_I0BF1JPGVC8000RGTFW0020D"/>
      <w:bookmarkStart w:id="2818" w:name="Bookmark_I5TCCBGW28T3WR0020000400"/>
      <w:bookmarkEnd w:id="2814"/>
      <w:bookmarkEnd w:id="2815"/>
      <w:bookmarkEnd w:id="2816"/>
      <w:bookmarkEnd w:id="2817"/>
      <w:bookmarkEnd w:id="2818"/>
      <w:r>
        <w:rPr>
          <w:rFonts w:ascii="Arial" w:eastAsia="Arial" w:hAnsi="Arial" w:cs="Arial"/>
          <w:color w:val="000000"/>
          <w:sz w:val="20"/>
        </w:rPr>
        <w:t xml:space="preserve">Here, given the undisputed facts, Priscilla does not qualify for associational standing under either </w:t>
      </w:r>
      <w:r>
        <w:rPr>
          <w:rFonts w:ascii="Arial" w:eastAsia="Arial" w:hAnsi="Arial" w:cs="Arial"/>
          <w:color w:val="000000"/>
          <w:sz w:val="20"/>
          <w:u w:val="single"/>
        </w:rPr>
        <w:t>Loeffler</w:t>
      </w:r>
      <w:r>
        <w:rPr>
          <w:rFonts w:ascii="Arial" w:eastAsia="Arial" w:hAnsi="Arial" w:cs="Arial"/>
          <w:color w:val="000000"/>
          <w:sz w:val="20"/>
        </w:rPr>
        <w:t xml:space="preserve"> or </w:t>
      </w:r>
      <w:r>
        <w:rPr>
          <w:rFonts w:ascii="Arial" w:eastAsia="Arial" w:hAnsi="Arial" w:cs="Arial"/>
          <w:color w:val="000000"/>
          <w:sz w:val="20"/>
          <w:u w:val="single"/>
        </w:rPr>
        <w:t>McCullum</w:t>
      </w:r>
      <w:r>
        <w:rPr>
          <w:rFonts w:ascii="Arial" w:eastAsia="Arial" w:hAnsi="Arial" w:cs="Arial"/>
          <w:color w:val="000000"/>
          <w:sz w:val="20"/>
        </w:rPr>
        <w:t xml:space="preserve">. As discussed above, Linda and Roger were not denied statutorily required services under the ADA, RA, or MHRA. Priscilla's injury, therefore, cannot be "causally related to the denial of federally required services to the disabled persons with whom the non-disabled plaintiffs are associated," as required in </w:t>
      </w:r>
      <w:bookmarkStart w:id="2819" w:name="Bookmark_I5TCCBGW2SF8690020000400"/>
      <w:bookmarkEnd w:id="2819"/>
      <w:r>
        <w:rPr>
          <w:rFonts w:ascii="Arial" w:eastAsia="Arial" w:hAnsi="Arial" w:cs="Arial"/>
          <w:color w:val="000000"/>
          <w:sz w:val="20"/>
          <w:u w:val="single"/>
        </w:rPr>
        <w:t>Loeffler</w:t>
      </w:r>
      <w:r>
        <w:rPr>
          <w:rFonts w:ascii="Arial" w:eastAsia="Arial" w:hAnsi="Arial" w:cs="Arial"/>
          <w:color w:val="000000"/>
          <w:sz w:val="20"/>
        </w:rPr>
        <w:t xml:space="preserve">. </w:t>
      </w:r>
      <w:bookmarkStart w:id="2820" w:name="Bookmark_I5TCCBGW2SF8690040000400"/>
      <w:bookmarkEnd w:id="2820"/>
      <w:r>
        <w:rPr>
          <w:rFonts w:ascii="Arial" w:eastAsia="Arial" w:hAnsi="Arial" w:cs="Arial"/>
          <w:color w:val="000000"/>
          <w:sz w:val="20"/>
        </w:rPr>
        <w:t xml:space="preserve">582 F.3d at 279. Additionally, Priscilla does not claim "she was personally discriminated against or denied some benefit because of her association with a disabled person," as required by </w:t>
      </w:r>
      <w:bookmarkStart w:id="2821" w:name="Bookmark_I5TCCBGW28T3WR0020000400_2"/>
      <w:bookmarkStart w:id="2822" w:name="Bookmark_I5TCCBGW2SF8690030000400_2"/>
      <w:bookmarkStart w:id="2823" w:name="Bookmark_I5TCCBGW28T3WR0010000400"/>
      <w:bookmarkEnd w:id="2821"/>
      <w:bookmarkEnd w:id="2822"/>
      <w:bookmarkEnd w:id="2823"/>
      <w:r>
        <w:rPr>
          <w:rFonts w:ascii="Arial" w:eastAsia="Arial" w:hAnsi="Arial" w:cs="Arial"/>
          <w:color w:val="000000"/>
          <w:sz w:val="20"/>
          <w:u w:val="single"/>
        </w:rPr>
        <w:t>McCullum</w:t>
      </w:r>
      <w:r>
        <w:rPr>
          <w:rFonts w:ascii="Arial" w:eastAsia="Arial" w:hAnsi="Arial" w:cs="Arial"/>
          <w:color w:val="000000"/>
          <w:sz w:val="20"/>
        </w:rPr>
        <w:t xml:space="preserve">. </w:t>
      </w:r>
      <w:bookmarkStart w:id="2824" w:name="Bookmark_I5TCCBGW28T3WR0030000400"/>
      <w:bookmarkEnd w:id="2824"/>
      <w:r>
        <w:rPr>
          <w:rFonts w:ascii="Arial" w:eastAsia="Arial" w:hAnsi="Arial" w:cs="Arial"/>
          <w:color w:val="000000"/>
          <w:sz w:val="20"/>
        </w:rPr>
        <w:t>768 F.3d at 1142. We conclude Priscilla does not have associational standing. We leave for another day the broader, more general question of when an injured, non-disabled individual may establish associational standing. [**18]  As such, Fairview is entitled to summary judgment as a matter of law.</w:t>
      </w:r>
    </w:p>
    <w:p w:rsidR="00E456CD" w:rsidRDefault="00000000">
      <w:pPr>
        <w:pStyle w:val="Normal14"/>
        <w:widowControl w:val="0"/>
        <w:spacing w:before="120" w:line="260" w:lineRule="atLeast"/>
      </w:pPr>
      <w:r>
        <w:rPr>
          <w:rFonts w:ascii="Arial" w:eastAsia="Arial" w:hAnsi="Arial" w:cs="Arial"/>
          <w:color w:val="000000"/>
          <w:sz w:val="20"/>
        </w:rPr>
        <w:t>III. Conclusion</w:t>
      </w:r>
    </w:p>
    <w:p w:rsidR="00E456CD" w:rsidRDefault="00000000">
      <w:pPr>
        <w:pStyle w:val="Normal14"/>
        <w:widowControl w:val="0"/>
        <w:spacing w:before="200" w:line="260" w:lineRule="atLeast"/>
        <w:jc w:val="both"/>
      </w:pPr>
      <w:bookmarkStart w:id="2825" w:name="Bookmark_para_36_5"/>
      <w:bookmarkEnd w:id="2825"/>
      <w:r>
        <w:rPr>
          <w:rFonts w:ascii="Arial" w:eastAsia="Arial" w:hAnsi="Arial" w:cs="Arial"/>
          <w:color w:val="000000"/>
          <w:sz w:val="20"/>
        </w:rPr>
        <w:t>For the reasons stated above, we affirm the judgment of the district court.</w:t>
      </w:r>
    </w:p>
    <w:p w:rsidR="00E456CD" w:rsidRDefault="00E456CD">
      <w:pPr>
        <w:pStyle w:val="Normal14"/>
      </w:pPr>
    </w:p>
    <w:p w:rsidR="00E456CD" w:rsidRDefault="00000000">
      <w:pPr>
        <w:pStyle w:val="Normal14"/>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219879239"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9AAD93" id="Line 3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5"/>
        <w:sectPr w:rsidR="00E456CD">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gutter="0"/>
          <w:cols w:space="720"/>
          <w:titlePg/>
        </w:sectPr>
      </w:pPr>
    </w:p>
    <w:p w:rsidR="00E456CD" w:rsidRDefault="00E456CD">
      <w:pPr>
        <w:pStyle w:val="Normal15"/>
      </w:pPr>
    </w:p>
    <w:p w:rsidR="00E456CD" w:rsidRDefault="00000000">
      <w:pPr>
        <w:pStyle w:val="Heading114"/>
        <w:keepNext w:val="0"/>
        <w:widowControl w:val="0"/>
        <w:spacing w:after="200" w:line="340" w:lineRule="atLeast"/>
        <w:jc w:val="center"/>
      </w:pPr>
      <w:r>
        <w:rPr>
          <w:rFonts w:eastAsia="Arial"/>
          <w:color w:val="000000"/>
          <w:sz w:val="28"/>
        </w:rPr>
        <w:t>Providence Behavioral Health v. Grant Rd. Pub. Util. Dist.</w:t>
      </w:r>
    </w:p>
    <w:p w:rsidR="00E456CD" w:rsidRDefault="00000000">
      <w:pPr>
        <w:pStyle w:val="Normal15"/>
        <w:widowControl w:val="0"/>
        <w:spacing w:before="120" w:line="260" w:lineRule="atLeast"/>
        <w:jc w:val="center"/>
      </w:pPr>
      <w:r>
        <w:rPr>
          <w:rFonts w:ascii="Arial" w:eastAsia="Arial" w:hAnsi="Arial" w:cs="Arial"/>
          <w:color w:val="000000"/>
          <w:sz w:val="20"/>
        </w:rPr>
        <w:t>United States Court of Appeals for the Fifth Circuit</w:t>
      </w:r>
    </w:p>
    <w:p w:rsidR="00E456CD" w:rsidRDefault="00000000">
      <w:pPr>
        <w:pStyle w:val="Normal15"/>
        <w:widowControl w:val="0"/>
        <w:spacing w:before="120" w:line="260" w:lineRule="atLeast"/>
        <w:jc w:val="center"/>
      </w:pPr>
      <w:r>
        <w:rPr>
          <w:rFonts w:ascii="Arial" w:eastAsia="Arial" w:hAnsi="Arial" w:cs="Arial"/>
          <w:color w:val="000000"/>
          <w:sz w:val="20"/>
        </w:rPr>
        <w:t>August 28, 2018, Filed</w:t>
      </w:r>
    </w:p>
    <w:p w:rsidR="00E456CD" w:rsidRDefault="00000000">
      <w:pPr>
        <w:pStyle w:val="Normal15"/>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17-20571</w:t>
      </w:r>
    </w:p>
    <w:p w:rsidR="00E456CD" w:rsidRDefault="00E456CD">
      <w:pPr>
        <w:pStyle w:val="Normal15"/>
        <w:widowControl w:val="0"/>
        <w:spacing w:line="240" w:lineRule="atLeast"/>
        <w:jc w:val="both"/>
      </w:pPr>
      <w:bookmarkStart w:id="2826" w:name="Bookmark_16"/>
      <w:bookmarkEnd w:id="2826"/>
    </w:p>
    <w:p w:rsidR="00E456CD" w:rsidRDefault="00000000">
      <w:pPr>
        <w:pStyle w:val="Normal15"/>
        <w:widowControl w:val="0"/>
        <w:spacing w:before="200" w:line="240" w:lineRule="atLeast"/>
      </w:pPr>
      <w:bookmarkStart w:id="2827" w:name="Reporter_14"/>
      <w:bookmarkEnd w:id="2827"/>
      <w:r>
        <w:rPr>
          <w:rFonts w:ascii="Arial" w:eastAsia="Arial" w:hAnsi="Arial" w:cs="Arial"/>
          <w:b/>
          <w:color w:val="000000"/>
          <w:sz w:val="18"/>
        </w:rPr>
        <w:t>Reporter</w:t>
      </w:r>
    </w:p>
    <w:p w:rsidR="00E456CD" w:rsidRDefault="00000000">
      <w:pPr>
        <w:pStyle w:val="Normal15"/>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902 F.3d 448 *; 2018 U.S. App. LEXIS 24390 **; 2018 WL 4099682</w:t>
      </w:r>
    </w:p>
    <w:p w:rsidR="00E456CD" w:rsidRDefault="00000000">
      <w:pPr>
        <w:pStyle w:val="Normal15"/>
        <w:widowControl w:val="0"/>
        <w:spacing w:before="120" w:line="260" w:lineRule="atLeast"/>
      </w:pPr>
      <w:r>
        <w:rPr>
          <w:rFonts w:ascii="Arial" w:eastAsia="Arial" w:hAnsi="Arial" w:cs="Arial"/>
          <w:color w:val="000000"/>
          <w:sz w:val="20"/>
        </w:rPr>
        <w:t>PROVIDENCE BEHAVIORAL HEALTH; TEXAS PROVIDENCE INVESTMENTS, Plaintiffs - Appellants Cross-Appellees, v. GRANT ROAD PUBLIC UTILITY DISTRICT, ROBERT KRZESZKIEWICZ, in his official capacity; WILLIAM ROCK, in his official capacity; JACK SCOTT, in his official capacity; JOHN ONEACRE, in his official capacity; THOMAS BREEDLOVE, in his official capacity, Defendants - Appellees Cross-Appellants BOARD OF DIRECTORS OF THE GRANT ROAD PUBLIC UTILITIES DISTRICT, Defendant - Appellee</w:t>
      </w:r>
    </w:p>
    <w:p w:rsidR="00E456CD" w:rsidRDefault="00000000">
      <w:pPr>
        <w:pStyle w:val="Normal15"/>
        <w:widowControl w:val="0"/>
        <w:spacing w:before="240" w:line="260" w:lineRule="atLeast"/>
        <w:jc w:val="both"/>
      </w:pPr>
      <w:bookmarkStart w:id="2828" w:name="Prior_History_14"/>
      <w:bookmarkEnd w:id="2828"/>
      <w:r>
        <w:rPr>
          <w:rFonts w:ascii="Arial" w:eastAsia="Arial" w:hAnsi="Arial" w:cs="Arial"/>
          <w:b/>
          <w:color w:val="000000"/>
          <w:sz w:val="20"/>
        </w:rPr>
        <w:t>Prior History:</w:t>
      </w:r>
      <w:r>
        <w:rPr>
          <w:rFonts w:ascii="Arial" w:eastAsia="Arial" w:hAnsi="Arial" w:cs="Arial"/>
          <w:color w:val="000000"/>
          <w:sz w:val="20"/>
        </w:rPr>
        <w:t> </w:t>
      </w:r>
      <w:bookmarkStart w:id="2829" w:name="Bookmark_para_1_14"/>
      <w:bookmarkEnd w:id="2829"/>
      <w:r>
        <w:rPr>
          <w:rFonts w:ascii="Arial" w:eastAsia="Arial" w:hAnsi="Arial" w:cs="Arial"/>
          <w:color w:val="000000"/>
          <w:sz w:val="20"/>
        </w:rPr>
        <w:t> [**1] Appeals from the United States District Court for the Southern District of Texas.</w:t>
      </w:r>
    </w:p>
    <w:p w:rsidR="00E456CD" w:rsidRDefault="00000000">
      <w:pPr>
        <w:pStyle w:val="Normal15"/>
        <w:widowControl w:val="0"/>
        <w:spacing w:before="240" w:line="260" w:lineRule="atLeast"/>
      </w:pPr>
      <w:bookmarkStart w:id="2830" w:name="Counsel_14"/>
      <w:bookmarkEnd w:id="2830"/>
      <w:r>
        <w:rPr>
          <w:rFonts w:ascii="Arial" w:eastAsia="Arial" w:hAnsi="Arial" w:cs="Arial"/>
          <w:b/>
          <w:color w:val="000000"/>
          <w:sz w:val="20"/>
        </w:rPr>
        <w:t>Counsel:</w:t>
      </w:r>
      <w:r>
        <w:rPr>
          <w:rFonts w:ascii="Arial" w:eastAsia="Arial" w:hAnsi="Arial" w:cs="Arial"/>
          <w:color w:val="000000"/>
          <w:sz w:val="20"/>
        </w:rPr>
        <w:t> For Providence Behavioral Health, Texas Providence Investments, Plaintiffs - Appellants Cross-Appellees: Mark S. Whitburn, Whitburn &amp; Pevsner, P.L.L.C., Arlington, TX.</w:t>
      </w:r>
    </w:p>
    <w:p w:rsidR="00E456CD" w:rsidRDefault="00000000">
      <w:pPr>
        <w:pStyle w:val="Normal15"/>
        <w:widowControl w:val="0"/>
        <w:spacing w:before="120" w:line="260" w:lineRule="atLeast"/>
      </w:pPr>
      <w:r>
        <w:rPr>
          <w:rFonts w:ascii="Arial" w:eastAsia="Arial" w:hAnsi="Arial" w:cs="Arial"/>
          <w:color w:val="000000"/>
          <w:sz w:val="20"/>
        </w:rPr>
        <w:t>For Grant Road Public Utility District, ROBERT KRZESZKIEWICZ, in his official capacity, WILLIAM ROCK, in his official capacity, JACK SCOTT, in his official capacity, JOHN ONEACRE, in his official capacity, THOMAS BREEDLOVE, in his official capacity, Defendant - Appellees Cross-Appellants: Simon Wesley Hendershot, Katherine Tempone Cowart, Raymond Lee Panneton, Esq., Hendershot, Cannon &amp; Hisey, P.C., Houston, TX.</w:t>
      </w:r>
    </w:p>
    <w:p w:rsidR="00E456CD" w:rsidRDefault="00000000">
      <w:pPr>
        <w:pStyle w:val="Normal15"/>
        <w:widowControl w:val="0"/>
        <w:spacing w:before="120" w:line="260" w:lineRule="atLeast"/>
      </w:pPr>
      <w:r>
        <w:rPr>
          <w:rFonts w:ascii="Arial" w:eastAsia="Arial" w:hAnsi="Arial" w:cs="Arial"/>
          <w:color w:val="000000"/>
          <w:sz w:val="20"/>
        </w:rPr>
        <w:t>For Board of Directors of The Grant Road Public Utilities District, Defendant - Appellee: Simon Wesley Hendershot, Raymond Lee Panneton, Esq., Hendershot, Cannon &amp; Hisey, P.C., Houston, TX.</w:t>
      </w:r>
    </w:p>
    <w:p w:rsidR="00E456CD" w:rsidRDefault="00000000">
      <w:pPr>
        <w:pStyle w:val="Normal15"/>
        <w:widowControl w:val="0"/>
        <w:spacing w:before="240" w:line="260" w:lineRule="atLeast"/>
      </w:pPr>
      <w:bookmarkStart w:id="2831" w:name="Judges_14"/>
      <w:bookmarkEnd w:id="2831"/>
      <w:r>
        <w:rPr>
          <w:rFonts w:ascii="Arial" w:eastAsia="Arial" w:hAnsi="Arial" w:cs="Arial"/>
          <w:b/>
          <w:color w:val="000000"/>
          <w:sz w:val="20"/>
        </w:rPr>
        <w:t>Judges:</w:t>
      </w:r>
      <w:r>
        <w:rPr>
          <w:rFonts w:ascii="Arial" w:eastAsia="Arial" w:hAnsi="Arial" w:cs="Arial"/>
          <w:color w:val="000000"/>
          <w:sz w:val="20"/>
        </w:rPr>
        <w:t> Before STEWART, Chief Judge, and JONES and ENGELHARDT, Circuit Judges.</w:t>
      </w:r>
    </w:p>
    <w:p w:rsidR="00E456CD" w:rsidRDefault="00000000">
      <w:pPr>
        <w:pStyle w:val="Normal15"/>
        <w:widowControl w:val="0"/>
        <w:spacing w:before="240" w:line="260" w:lineRule="atLeast"/>
      </w:pPr>
      <w:bookmarkStart w:id="2832" w:name="Opinion_by_10"/>
      <w:bookmarkEnd w:id="2832"/>
      <w:r>
        <w:rPr>
          <w:rFonts w:ascii="Arial" w:eastAsia="Arial" w:hAnsi="Arial" w:cs="Arial"/>
          <w:b/>
          <w:color w:val="000000"/>
          <w:sz w:val="20"/>
        </w:rPr>
        <w:t>Opinion by:</w:t>
      </w:r>
      <w:r>
        <w:rPr>
          <w:rFonts w:ascii="Arial" w:eastAsia="Arial" w:hAnsi="Arial" w:cs="Arial"/>
          <w:color w:val="000000"/>
          <w:sz w:val="20"/>
        </w:rPr>
        <w:t> CARL E. STEWART</w:t>
      </w:r>
    </w:p>
    <w:p w:rsidR="00E456CD" w:rsidRDefault="00000000">
      <w:pPr>
        <w:pStyle w:val="Normal15"/>
        <w:keepNext/>
        <w:widowControl w:val="0"/>
        <w:spacing w:before="240" w:line="340" w:lineRule="atLeast"/>
      </w:pPr>
      <w:bookmarkStart w:id="2833" w:name="Opinion_14"/>
      <w:bookmarkEnd w:id="2833"/>
      <w:r>
        <w:rPr>
          <w:rFonts w:ascii="Arial" w:eastAsia="Arial" w:hAnsi="Arial" w:cs="Arial"/>
          <w:b/>
          <w:color w:val="000000"/>
          <w:sz w:val="28"/>
        </w:rPr>
        <w:t>Opinion</w:t>
      </w:r>
    </w:p>
    <w:p w:rsidR="00E456CD" w:rsidRDefault="00E22289">
      <w:pPr>
        <w:pStyle w:val="Normal15"/>
        <w:spacing w:line="60" w:lineRule="exact"/>
      </w:pPr>
      <w:r>
        <w:rPr>
          <w:noProof/>
        </w:rPr>
        <mc:AlternateContent>
          <mc:Choice Requires="wps">
            <w:drawing>
              <wp:anchor distT="0" distB="0" distL="114300" distR="114300" simplePos="0" relativeHeight="25169203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352126647"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00775" id="Line 34"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5"/>
      </w:pPr>
    </w:p>
    <w:p w:rsidR="00E456CD" w:rsidRDefault="00000000">
      <w:pPr>
        <w:pStyle w:val="Normal15"/>
        <w:widowControl w:val="0"/>
        <w:spacing w:before="200" w:line="260" w:lineRule="atLeast"/>
        <w:jc w:val="both"/>
      </w:pPr>
      <w:bookmarkStart w:id="2834" w:name="Bookmark_para_2_14"/>
      <w:bookmarkEnd w:id="2834"/>
      <w:r>
        <w:rPr>
          <w:rFonts w:ascii="Arial" w:eastAsia="Arial" w:hAnsi="Arial" w:cs="Arial"/>
          <w:color w:val="000000"/>
          <w:sz w:val="20"/>
        </w:rPr>
        <w:t> [*451]  CARL E. STEWART, Chief Judge:</w:t>
      </w:r>
    </w:p>
    <w:p w:rsidR="00E456CD" w:rsidRDefault="00000000">
      <w:pPr>
        <w:pStyle w:val="Normal15"/>
        <w:widowControl w:val="0"/>
        <w:spacing w:before="200" w:line="260" w:lineRule="atLeast"/>
        <w:jc w:val="both"/>
      </w:pPr>
      <w:bookmarkStart w:id="2835" w:name="Bookmark_para_3_14"/>
      <w:bookmarkEnd w:id="2835"/>
      <w:r>
        <w:rPr>
          <w:rFonts w:ascii="Arial" w:eastAsia="Arial" w:hAnsi="Arial" w:cs="Arial"/>
          <w:color w:val="000000"/>
          <w:sz w:val="20"/>
        </w:rPr>
        <w:t>Providence Behavioral Health ("Providence Health") and Texas Providence Investments ("Providence Investments") (collectively, "Providence") brought this lawsuit against Grant Road Public Utility District, the Board of Directors of the [**2]  Grant Road Public Utility District ("Grant Road Board"), and Grant Road Board members, Robert Krzeszkiewicz ("Krzeszkiewicz"), William Rock ("Rock"), Jack Scott ("Scott"), John Oneacre ("Oneacre"), and Thomas Breedlove ("Breedlove"), in their official capacities (collectively, "Grant Road") after Grant Road denied water, drainage, and septic services to Providence's intended psychiatric facility. Providence believes improper, discriminatory motives played a role in Grant Road's decision to deny Providence access to water, drainage, and septic services. Providence contends that Grant Road's actions constituted violations of the Americans with Disabilities Act ("ADA"), federal Fair Housing Act ("FHA"), and Texas Fair Housing Act ("TFHA").</w:t>
      </w:r>
    </w:p>
    <w:p w:rsidR="00E456CD" w:rsidRDefault="00000000">
      <w:pPr>
        <w:pStyle w:val="Normal15"/>
        <w:widowControl w:val="0"/>
        <w:spacing w:before="200" w:line="260" w:lineRule="atLeast"/>
        <w:jc w:val="both"/>
      </w:pPr>
      <w:bookmarkStart w:id="2836" w:name="Bookmark_para_4_14"/>
      <w:bookmarkEnd w:id="2836"/>
      <w:r>
        <w:rPr>
          <w:rFonts w:ascii="Arial" w:eastAsia="Arial" w:hAnsi="Arial" w:cs="Arial"/>
          <w:color w:val="000000"/>
          <w:sz w:val="20"/>
        </w:rPr>
        <w:t>Following a three-day bench trial, where both parties presented evidence relating to whether there were discriminatory motives underlying Grant Road's decision, the district court issued findings of fact and conclusions of law to support its judgment dismissing Providence's claims. On appeal, Providence asserts that the district court erroneously concluded that Grant Road's denial decision was not discriminatory. For the reasons set out below, we AFFIRM [**3]  the district court's judgment.</w:t>
      </w:r>
    </w:p>
    <w:p w:rsidR="00E456CD" w:rsidRDefault="00000000">
      <w:pPr>
        <w:pStyle w:val="Normal15"/>
        <w:widowControl w:val="0"/>
        <w:spacing w:before="240" w:line="260" w:lineRule="atLeast"/>
      </w:pPr>
      <w:r>
        <w:br/>
      </w:r>
      <w:r>
        <w:rPr>
          <w:rFonts w:ascii="Arial" w:eastAsia="Arial" w:hAnsi="Arial" w:cs="Arial"/>
          <w:b/>
          <w:color w:val="000000"/>
          <w:sz w:val="20"/>
        </w:rPr>
        <w:t>I. FACTUAL BACKGROUND AND PROCEDURAL HISTORY</w:t>
      </w:r>
    </w:p>
    <w:p w:rsidR="00E456CD" w:rsidRDefault="00000000">
      <w:pPr>
        <w:pStyle w:val="Normal15"/>
        <w:widowControl w:val="0"/>
        <w:spacing w:before="240" w:line="260" w:lineRule="atLeast"/>
      </w:pPr>
      <w:r>
        <w:br/>
      </w:r>
      <w:r>
        <w:rPr>
          <w:rFonts w:ascii="Arial" w:eastAsia="Arial" w:hAnsi="Arial" w:cs="Arial"/>
          <w:b/>
          <w:color w:val="000000"/>
          <w:sz w:val="20"/>
        </w:rPr>
        <w:t>a. Factual Background</w:t>
      </w:r>
    </w:p>
    <w:p w:rsidR="00E456CD" w:rsidRDefault="00000000">
      <w:pPr>
        <w:pStyle w:val="Normal15"/>
        <w:widowControl w:val="0"/>
        <w:spacing w:before="200" w:line="260" w:lineRule="atLeast"/>
        <w:jc w:val="both"/>
      </w:pPr>
      <w:bookmarkStart w:id="2837" w:name="Bookmark_para_5_14"/>
      <w:bookmarkEnd w:id="2837"/>
      <w:r>
        <w:rPr>
          <w:rFonts w:ascii="Arial" w:eastAsia="Arial" w:hAnsi="Arial" w:cs="Arial"/>
          <w:color w:val="000000"/>
          <w:sz w:val="20"/>
        </w:rPr>
        <w:t>The issues in this case revolve around Providence's application to Grant Road seeking annexation for its Providence Health facility to obtain water, drainage, and septic services. After all, without water, drainage, and sewage capabilities, the Providence Health facility cannot function as it should.</w:t>
      </w:r>
    </w:p>
    <w:p w:rsidR="00E456CD" w:rsidRDefault="00000000">
      <w:pPr>
        <w:pStyle w:val="Normal15"/>
        <w:widowControl w:val="0"/>
        <w:spacing w:before="240" w:line="260" w:lineRule="atLeast"/>
      </w:pPr>
      <w:r>
        <w:br/>
      </w:r>
      <w:r>
        <w:rPr>
          <w:rFonts w:ascii="Arial" w:eastAsia="Arial" w:hAnsi="Arial" w:cs="Arial"/>
          <w:i/>
          <w:color w:val="000000"/>
          <w:sz w:val="20"/>
        </w:rPr>
        <w:t>1. Providence Investments and Providence Health</w:t>
      </w:r>
    </w:p>
    <w:p w:rsidR="00E456CD" w:rsidRDefault="00000000">
      <w:pPr>
        <w:pStyle w:val="Normal15"/>
        <w:widowControl w:val="0"/>
        <w:spacing w:before="200" w:line="260" w:lineRule="atLeast"/>
        <w:jc w:val="both"/>
      </w:pPr>
      <w:bookmarkStart w:id="2838" w:name="Bookmark_para_6_14"/>
      <w:bookmarkEnd w:id="2838"/>
      <w:r>
        <w:rPr>
          <w:rFonts w:ascii="Arial" w:eastAsia="Arial" w:hAnsi="Arial" w:cs="Arial"/>
          <w:color w:val="000000"/>
          <w:sz w:val="20"/>
        </w:rPr>
        <w:t>Providence Investments owns a 12.9 acre tract of land in Cypress, Texas where  [*452]  it currently is constructing a facility that will be operated by Providence Health. The facility is intended to be a for-profit mental health treatment center for patients under eighteen years of age who have mental health diagnoses, including autism spectrum disorder, bipolar disorder, and schizophrenia. Dr. Luis Valdes ("Dr. Valdes") and Dr. Javier Ruiz ("Dr. Ruiz") are expected to lead operations of the Providence Health facility. The Providence Health facility aims to provide more than just outpatient psychiatric care for its patients. One of the featured aspirations for the facility is to create a home-like atmosphere where patients have the option to live at the facility [**4]  for up to a year's time, if necessary.</w:t>
      </w:r>
    </w:p>
    <w:p w:rsidR="00E456CD" w:rsidRDefault="00000000">
      <w:pPr>
        <w:pStyle w:val="Normal15"/>
        <w:widowControl w:val="0"/>
        <w:spacing w:before="240" w:line="260" w:lineRule="atLeast"/>
      </w:pPr>
      <w:r>
        <w:br/>
      </w:r>
      <w:r>
        <w:rPr>
          <w:rFonts w:ascii="Arial" w:eastAsia="Arial" w:hAnsi="Arial" w:cs="Arial"/>
          <w:i/>
          <w:color w:val="000000"/>
          <w:sz w:val="20"/>
        </w:rPr>
        <w:t>2. Grant Road and the Annexation Process</w:t>
      </w:r>
    </w:p>
    <w:p w:rsidR="00E456CD" w:rsidRDefault="00000000">
      <w:pPr>
        <w:pStyle w:val="Normal15"/>
        <w:widowControl w:val="0"/>
        <w:spacing w:before="200" w:line="260" w:lineRule="atLeast"/>
        <w:jc w:val="both"/>
      </w:pPr>
      <w:bookmarkStart w:id="2839" w:name="Bookmark_para_7_14"/>
      <w:bookmarkEnd w:id="2839"/>
      <w:r>
        <w:rPr>
          <w:rFonts w:ascii="Arial" w:eastAsia="Arial" w:hAnsi="Arial" w:cs="Arial"/>
          <w:color w:val="000000"/>
          <w:sz w:val="20"/>
        </w:rPr>
        <w:t>At its core, Grant Road is a water well and distribution system, and a sewer collection and treatment system. The mission of Grant Road is to provide water, septic, and drainage services to properties within the boundaries of its district. Grant Road is funded by water and sewage revenues and ad valorem taxes from properties within Grant Road's district. If a piece of property outside of Grant Road's district boundaries wishes to come under the umbrella of services that Grant Road provides, then the land developer or representative for the property must request annexation of the property by Grant Road. Specifically, "annexation" is bringing into Grant Road's water district a property that lies outside of Grant Road's district boundaries for purposes of providing utility services to that property. Typically, Grant Road has no obligation to provide annexation to property outside of Grant Road's jurisdictional boundaries. The Grant Road Board, a five-person elected board of directors, governs the Grant Road Public Utility District and is centrally involved in the annexation decision-making process.</w:t>
      </w:r>
    </w:p>
    <w:p w:rsidR="00E456CD" w:rsidRDefault="00000000">
      <w:pPr>
        <w:pStyle w:val="Normal15"/>
        <w:widowControl w:val="0"/>
        <w:spacing w:before="240" w:line="260" w:lineRule="atLeast"/>
      </w:pPr>
      <w:r>
        <w:br/>
      </w:r>
      <w:r>
        <w:rPr>
          <w:rFonts w:ascii="Arial" w:eastAsia="Arial" w:hAnsi="Arial" w:cs="Arial"/>
          <w:i/>
          <w:color w:val="000000"/>
          <w:sz w:val="20"/>
        </w:rPr>
        <w:t>3. Grant Road's [**5]  Refusal to Annex Providence's Facility</w:t>
      </w:r>
    </w:p>
    <w:p w:rsidR="00E456CD" w:rsidRDefault="00000000">
      <w:pPr>
        <w:pStyle w:val="Normal15"/>
        <w:widowControl w:val="0"/>
        <w:spacing w:before="200" w:line="260" w:lineRule="atLeast"/>
        <w:jc w:val="both"/>
      </w:pPr>
      <w:bookmarkStart w:id="2840" w:name="Bookmark_para_8_14"/>
      <w:bookmarkEnd w:id="2840"/>
      <w:r>
        <w:rPr>
          <w:rFonts w:ascii="Arial" w:eastAsia="Arial" w:hAnsi="Arial" w:cs="Arial"/>
          <w:color w:val="000000"/>
          <w:sz w:val="20"/>
        </w:rPr>
        <w:t>In the summer of 2009, Providence hired Steven Grossman ("Grossman") as a project architect to assist with the building process for the Providence Health facility. At the bench trial, Grossman testified that before Grant Road's annexation denial in 2014, he had never been connected to a building project that resulted in an annexation denial by a public utility district. Grossman contacted Grant Road so that the topic of annexation for the Providence Health facility could be placed on the agenda for the Grant Road Board meeting for October 2009. At the October 2009 meeting, Grossman presented to the Grant Road Board full-scale drawings, features, and general dimensions of the Providence Health facility. At trial, Grossman described that the Grant Road Board members "were interested" and he thought the reaction to the presentation "was absolutely favorable." In February 2010, Grant Road sent a letter to Providence noting its preliminary approval of the annexation for the Providence Health facility and advising Providence of the additional requirements Providence needed to satisfy to complete the process. This included paying a customary deposit to [**6]  Grant Road, projected to be $7,500. However, delays in the construction project due to financing issues, and professional challenges for the operators of the Providence Health facility, caused the 2009-10 annexation process to be derailed and later terminated by Providence.</w:t>
      </w:r>
    </w:p>
    <w:p w:rsidR="00E456CD" w:rsidRDefault="00000000">
      <w:pPr>
        <w:pStyle w:val="Normal15"/>
        <w:widowControl w:val="0"/>
        <w:spacing w:before="200" w:line="260" w:lineRule="atLeast"/>
        <w:jc w:val="both"/>
      </w:pPr>
      <w:bookmarkStart w:id="2841" w:name="Bookmark_para_9_14"/>
      <w:bookmarkEnd w:id="2841"/>
      <w:r>
        <w:rPr>
          <w:rFonts w:ascii="Arial" w:eastAsia="Arial" w:hAnsi="Arial" w:cs="Arial"/>
          <w:color w:val="000000"/>
          <w:sz w:val="20"/>
        </w:rPr>
        <w:t>In the summer of 2014, Providence again set the annexation process in motion for its Providence Health facility. Grossman's expectation for this new annexation proposal for the Providence Health facility  [*453]  was "the same song, second verse" ending with Providence obtaining approval for annexation. This time around, though, the building project included some new features not present when Providence submitted the 2009-10 annexation proposal. For example, the building project proposal from 2009-10 entailed a twenty-four bed facility that was expandable to accommodate thirty-two beds. In contrast, the new 2014 annexation proposal for the facility was proposed as a thirty-six bed facility able to expand to accommodate fifty-two beds. The additional beds added to the facility increased the amount of service units for the facility from twenty-seven to thirty-one.</w:t>
      </w:r>
      <w:r>
        <w:rPr>
          <w:rFonts w:ascii="Arial" w:eastAsia="Arial" w:hAnsi="Arial" w:cs="Arial"/>
          <w:vertAlign w:val="superscript"/>
        </w:rPr>
        <w:footnoteReference w:customMarkFollows="1" w:id="118"/>
        <w:t>1</w:t>
      </w:r>
    </w:p>
    <w:p w:rsidR="00E456CD" w:rsidRDefault="00000000">
      <w:pPr>
        <w:pStyle w:val="Normal15"/>
        <w:widowControl w:val="0"/>
        <w:spacing w:before="200" w:line="260" w:lineRule="atLeast"/>
        <w:jc w:val="both"/>
      </w:pPr>
      <w:bookmarkStart w:id="2843" w:name="Bookmark_para_10_14"/>
      <w:bookmarkEnd w:id="2843"/>
      <w:r>
        <w:rPr>
          <w:rFonts w:ascii="Arial" w:eastAsia="Arial" w:hAnsi="Arial" w:cs="Arial"/>
          <w:color w:val="000000"/>
          <w:sz w:val="20"/>
        </w:rPr>
        <w:t>In September 2014, Grossman, accompanied by Dr. Valdes as one [**7]  of the principal operators for the facility, presented to the Grant Road Board once more, requesting that the Providence Health facility be annexed. Grossman testified at the bench trial that, although the 2014 annexation presentation was more extensive than the 2009-10 annexation presentation that received preliminary approval, the Grant Road Board was "hostile" to the 2014 presentation, and he and Dr. Valdes received little questioning from the board members. Grossman described that "the members would turn their back on the presentation. Some would look out the window. They were . . . disinterested in entertaining our proposal whatsoever or had prejudged the case or something to that effect." Grossman went on to articulate that the Grant Road Board asked no questions about tax abatements, project history, investors, or financing. The Grant Road Board did, however, ask questions about the individuals anticipated to receive mental health treatment at the Providence Health facility.</w:t>
      </w:r>
    </w:p>
    <w:p w:rsidR="00E456CD" w:rsidRDefault="00000000">
      <w:pPr>
        <w:pStyle w:val="Normal15"/>
        <w:widowControl w:val="0"/>
        <w:spacing w:before="200" w:line="260" w:lineRule="atLeast"/>
        <w:jc w:val="both"/>
      </w:pPr>
      <w:bookmarkStart w:id="2844" w:name="Bookmark_para_11_14"/>
      <w:bookmarkEnd w:id="2844"/>
      <w:r>
        <w:rPr>
          <w:rFonts w:ascii="Arial" w:eastAsia="Arial" w:hAnsi="Arial" w:cs="Arial"/>
          <w:color w:val="000000"/>
          <w:sz w:val="20"/>
        </w:rPr>
        <w:t>Providence's hopes to achieve preliminary approval for annexation were soon dashed. After Grossman and Dr. Valdes presented to the Grant Road Board at the September 2014 meeting, the Grant Road Board met [**8]  and unanimously voted against annexation for the Providence Health facility. The Grant Road Board did not state any specific reasons for its rejection of the annexation request. Testimony from board members Scott and Krzeszkiewicz at the bench trial revealed that over a thirty-year period, out of the approximately twelve to fifteen annexation requests that the Grant Road Board received, annexation had only been denied on two other occasions.</w:t>
      </w:r>
    </w:p>
    <w:p w:rsidR="00E456CD" w:rsidRDefault="00000000">
      <w:pPr>
        <w:pStyle w:val="Normal15"/>
        <w:widowControl w:val="0"/>
        <w:spacing w:before="200" w:line="260" w:lineRule="atLeast"/>
        <w:jc w:val="both"/>
      </w:pPr>
      <w:bookmarkStart w:id="2845" w:name="Bookmark_para_12_13"/>
      <w:bookmarkEnd w:id="2845"/>
      <w:r>
        <w:rPr>
          <w:rFonts w:ascii="Arial" w:eastAsia="Arial" w:hAnsi="Arial" w:cs="Arial"/>
          <w:color w:val="000000"/>
          <w:sz w:val="20"/>
        </w:rPr>
        <w:t>At the bench trial, Grant Road Board members testified about why they voted to reject the annexation request, focusing on financial implications posed by annexing the property. Particularly, board members explained they were concerned that tax abatements for the facility would ultimately impact the revenue of the district. The Grant Road Board believed that medical facilities are usually one of the types of facilities able to get tax abatements. Testimony from the bench trial further revealed that a high-end residential development annexed into the Grant Road district was projected to produce more revenue to the Grant Road tax base than a single facility, like the Providence Health facility. Additionally, the Providence Health facility was said [**9]  to have other feasible avenues for obtaining water and sewage, such as obtaining a well and septic system permit or a Texas Commission on Environmental Quality permit for an onsite sewage and wastewater treatment plant. At a subsequent November 2014 Grant Road Board meeting, the Grant Road Board reheard a presentation from Providence and declined  [*454]  to reconsider its decision to deny annexation for the facility.</w:t>
      </w:r>
    </w:p>
    <w:p w:rsidR="00E456CD" w:rsidRDefault="00000000">
      <w:pPr>
        <w:pStyle w:val="Normal15"/>
        <w:widowControl w:val="0"/>
        <w:spacing w:before="200" w:line="260" w:lineRule="atLeast"/>
        <w:jc w:val="both"/>
      </w:pPr>
      <w:bookmarkStart w:id="2846" w:name="Bookmark_para_13_12"/>
      <w:bookmarkEnd w:id="2846"/>
      <w:r>
        <w:rPr>
          <w:rFonts w:ascii="Arial" w:eastAsia="Arial" w:hAnsi="Arial" w:cs="Arial"/>
          <w:color w:val="000000"/>
          <w:sz w:val="20"/>
        </w:rPr>
        <w:t>Providence asserts that Grant Road is using financial concerns as a pretext for the actual discriminatory reasons underlying the decision against annexation. Prior to the November 2014 board meeting, Grant Road's retained attorney, who functionally served as Grant Road's general counsel at the time, received an email from Providence threatening to sue Grant Road for discrimination because of the annexation denial. Attached to the email was a draft complaint where Providence alleged claims for violations of the ADA, FHA, and TFHA. Providence learned that there was possibly community pressure driven by a prominent local commercial real estate developer, urging the Grant Road Board to reject annexation for the Providence Health facility because it would treat youths suffering from [**10]  various mental illnesses. Providence further alleged that community members raised concerns that the Providence Health facility would create a negative public perception of the community and decrease property values. Additionally, after the annexation denial, Dr. Valdes called Grant Road's attorney, who indicated that the Grant Road Board had recently been through a contested election process and was sensitive to the community's scrutiny. Grant Road's attorney further allegedly expressed that the Grant Road Board was facing an upcoming bond election and needed the community's support to vote for additional bonds to serve other developments that had been brought into Grant Road's district.</w:t>
      </w:r>
    </w:p>
    <w:p w:rsidR="00E456CD" w:rsidRDefault="00000000">
      <w:pPr>
        <w:pStyle w:val="Normal15"/>
        <w:widowControl w:val="0"/>
        <w:spacing w:before="200" w:line="260" w:lineRule="atLeast"/>
        <w:jc w:val="both"/>
      </w:pPr>
      <w:bookmarkStart w:id="2847" w:name="Bookmark_para_14_12"/>
      <w:bookmarkEnd w:id="2847"/>
      <w:r>
        <w:rPr>
          <w:rFonts w:ascii="Arial" w:eastAsia="Arial" w:hAnsi="Arial" w:cs="Arial"/>
          <w:color w:val="000000"/>
          <w:sz w:val="20"/>
        </w:rPr>
        <w:t>As an alternative to Grant Road approving annexation, Providence applied to the Harris County Engineering Department for permits for a well and septic system. Providence only succeeded in receiving a permit for a well system. Because a septic system permit is necessary for the Providence Health facility to be operational, Providence applied to the Texas Commission of Environmental Quality for a permit to operate a sewage wastewater treatment plant at the facility, called a "package plant." At oral [**11]  argument, Providence explained that it recently obtained a permit from the Texas Commission of Environmental Quality to operate a package plant at the Providence Health facility. However, operating a package plant at the Providence Health facility would drastically change Providence's design for the building project. Providence alleges that the inability to obtain wastewater treatment from Grant Road has stymied the construction of the Providence Health facility.</w:t>
      </w:r>
    </w:p>
    <w:p w:rsidR="00E456CD" w:rsidRDefault="00000000">
      <w:pPr>
        <w:pStyle w:val="Normal15"/>
        <w:widowControl w:val="0"/>
        <w:spacing w:before="240" w:line="260" w:lineRule="atLeast"/>
      </w:pPr>
      <w:r>
        <w:br/>
      </w:r>
      <w:r>
        <w:rPr>
          <w:rFonts w:ascii="Arial" w:eastAsia="Arial" w:hAnsi="Arial" w:cs="Arial"/>
          <w:b/>
          <w:color w:val="000000"/>
          <w:sz w:val="20"/>
        </w:rPr>
        <w:t>b. Procedural History</w:t>
      </w:r>
    </w:p>
    <w:p w:rsidR="00E456CD" w:rsidRDefault="00000000">
      <w:pPr>
        <w:pStyle w:val="Normal15"/>
        <w:widowControl w:val="0"/>
        <w:spacing w:before="200" w:line="260" w:lineRule="atLeast"/>
        <w:jc w:val="both"/>
      </w:pPr>
      <w:bookmarkStart w:id="2848" w:name="Bookmark_para_15_12"/>
      <w:bookmarkEnd w:id="2848"/>
      <w:r>
        <w:rPr>
          <w:rFonts w:ascii="Arial" w:eastAsia="Arial" w:hAnsi="Arial" w:cs="Arial"/>
          <w:color w:val="000000"/>
          <w:sz w:val="20"/>
        </w:rPr>
        <w:t>After Grant Road's denial of the annexation request, Providence filed this lawsuit in March 2015. Providence alleged that the Grant Road Public Utility District, Krzeszkiewicz, Rock, Scott, Oneacre, and Breedlove in their official capacities, and the Grant Road Board, violated the ADA, FHA, TFHA, and Fourteenth Amendment by denying annexation for the Providence Health facility. Providence sought injunctive relief to compel Grant Road to annex the facility.</w:t>
      </w:r>
    </w:p>
    <w:p w:rsidR="00E456CD" w:rsidRDefault="00000000">
      <w:pPr>
        <w:pStyle w:val="Normal15"/>
        <w:widowControl w:val="0"/>
        <w:spacing w:before="200" w:line="260" w:lineRule="atLeast"/>
        <w:jc w:val="both"/>
      </w:pPr>
      <w:bookmarkStart w:id="2849" w:name="Bookmark_para_16_11"/>
      <w:bookmarkEnd w:id="2849"/>
      <w:r>
        <w:rPr>
          <w:rFonts w:ascii="Arial" w:eastAsia="Arial" w:hAnsi="Arial" w:cs="Arial"/>
          <w:color w:val="000000"/>
          <w:sz w:val="20"/>
        </w:rPr>
        <w:t>In August 2017, after a bench trial addressing the merits of Providence's claims, the district court entered judgment in favor of Grant Road. The district court held that Providence failed to prove its ADA, FHA, TFHA, and Fourteenth Amendment claims, and denied Providence's request for injunctive [**12]  relief. Providence timely appealed.</w:t>
      </w:r>
    </w:p>
    <w:p w:rsidR="00E456CD" w:rsidRDefault="00000000">
      <w:pPr>
        <w:pStyle w:val="Normal15"/>
        <w:widowControl w:val="0"/>
        <w:spacing w:before="240" w:line="260" w:lineRule="atLeast"/>
      </w:pPr>
      <w:r>
        <w:br/>
      </w:r>
      <w:r>
        <w:rPr>
          <w:rFonts w:ascii="Arial" w:eastAsia="Arial" w:hAnsi="Arial" w:cs="Arial"/>
          <w:b/>
          <w:color w:val="000000"/>
          <w:sz w:val="20"/>
        </w:rPr>
        <w:t>II. DISCUSSION</w:t>
      </w:r>
    </w:p>
    <w:p w:rsidR="00E456CD" w:rsidRDefault="00000000">
      <w:pPr>
        <w:pStyle w:val="Normal15"/>
        <w:widowControl w:val="0"/>
        <w:spacing w:before="200" w:line="260" w:lineRule="atLeast"/>
        <w:jc w:val="both"/>
      </w:pPr>
      <w:bookmarkStart w:id="2850" w:name="Bookmark_para_17_10"/>
      <w:bookmarkEnd w:id="2850"/>
      <w:r>
        <w:rPr>
          <w:rFonts w:ascii="Arial" w:eastAsia="Arial" w:hAnsi="Arial" w:cs="Arial"/>
          <w:color w:val="000000"/>
          <w:sz w:val="20"/>
        </w:rPr>
        <w:t>On appeal, Providence asserts that the district court erred in holding Providence failed to prove its claims. Particularly, Providence argues that it proved by a preponderance  [*455]  of the evidence that Grant Road: (1) intentionally discriminated against it in violation of the ADA, FHA, and TFHA; and (2) denied it reasonable accommodations in violation of the ADA and FHA.</w:t>
      </w:r>
      <w:r>
        <w:rPr>
          <w:rFonts w:ascii="Arial" w:eastAsia="Arial" w:hAnsi="Arial" w:cs="Arial"/>
          <w:vertAlign w:val="superscript"/>
        </w:rPr>
        <w:footnoteReference w:customMarkFollows="1" w:id="119"/>
        <w:t>2</w:t>
      </w:r>
      <w:r>
        <w:rPr>
          <w:rFonts w:ascii="Arial" w:eastAsia="Arial" w:hAnsi="Arial" w:cs="Arial"/>
          <w:color w:val="000000"/>
          <w:sz w:val="20"/>
        </w:rPr>
        <w:t xml:space="preserve"> Grant Road subsequently cross appealed, asserting that the district court erred by failing to hold that Grant Road was entitled to recover reasonable and necessary attorneys' fees from Providence.</w:t>
      </w:r>
    </w:p>
    <w:p w:rsidR="00E456CD" w:rsidRDefault="00000000">
      <w:pPr>
        <w:pStyle w:val="Normal15"/>
        <w:widowControl w:val="0"/>
        <w:spacing w:before="240" w:line="260" w:lineRule="atLeast"/>
      </w:pPr>
      <w:r>
        <w:br/>
      </w:r>
      <w:r>
        <w:rPr>
          <w:rFonts w:ascii="Arial" w:eastAsia="Arial" w:hAnsi="Arial" w:cs="Arial"/>
          <w:b/>
          <w:color w:val="000000"/>
          <w:sz w:val="20"/>
        </w:rPr>
        <w:t>a. Standard of Review for Providence's Claims</w:t>
      </w:r>
    </w:p>
    <w:p w:rsidR="00E456CD" w:rsidRDefault="00000000">
      <w:pPr>
        <w:pStyle w:val="Normal15"/>
        <w:widowControl w:val="0"/>
        <w:spacing w:before="200" w:line="260" w:lineRule="atLeast"/>
        <w:jc w:val="both"/>
      </w:pPr>
      <w:bookmarkStart w:id="2855" w:name="Bookmark_para_18_10"/>
      <w:bookmarkStart w:id="2856" w:name="Bookmark_I5T9WS1P2SF89X0040000400"/>
      <w:bookmarkStart w:id="2857" w:name="Bookmark_I5T9WS1P2HM69S0010000400"/>
      <w:bookmarkStart w:id="2858" w:name="Bookmark_I5T9WS1P2HM69S0050000400"/>
      <w:bookmarkStart w:id="2859" w:name="Bookmark_LNHNREFclscc1_12"/>
      <w:bookmarkEnd w:id="2855"/>
      <w:bookmarkEnd w:id="2856"/>
      <w:bookmarkEnd w:id="2857"/>
      <w:bookmarkEnd w:id="2858"/>
      <w:bookmarkEnd w:id="2859"/>
      <w:r>
        <w:rPr>
          <w:rFonts w:ascii="Arial" w:eastAsia="Arial" w:hAnsi="Arial" w:cs="Arial"/>
          <w:color w:val="000000"/>
          <w:sz w:val="20"/>
        </w:rPr>
        <w:t xml:space="preserve">"The standard of review for a bench trial is well established: findings of fact are reviewed for clear error and legal issues are reviewed de novo." </w:t>
      </w:r>
      <w:bookmarkStart w:id="2860" w:name="Bookmark_I5T9WS1P2SF89X0030000400"/>
      <w:bookmarkEnd w:id="2860"/>
      <w:r>
        <w:rPr>
          <w:rFonts w:ascii="Arial" w:eastAsia="Arial" w:hAnsi="Arial" w:cs="Arial"/>
          <w:i/>
          <w:color w:val="000000"/>
          <w:sz w:val="20"/>
        </w:rPr>
        <w:t>Coe v. Chesapeake Exploration, L.L.C.</w:t>
      </w:r>
      <w:r>
        <w:rPr>
          <w:rFonts w:ascii="Arial" w:eastAsia="Arial" w:hAnsi="Arial" w:cs="Arial"/>
          <w:color w:val="000000"/>
          <w:sz w:val="20"/>
        </w:rPr>
        <w:t xml:space="preserve">, 695 F.3d 311, 316 (5th Cir. 2012); </w:t>
      </w:r>
      <w:r>
        <w:rPr>
          <w:rFonts w:ascii="Arial" w:eastAsia="Arial" w:hAnsi="Arial" w:cs="Arial"/>
          <w:i/>
          <w:color w:val="000000"/>
          <w:sz w:val="20"/>
        </w:rPr>
        <w:t>see also</w:t>
      </w:r>
      <w:r>
        <w:rPr>
          <w:rFonts w:ascii="Arial" w:eastAsia="Arial" w:hAnsi="Arial" w:cs="Arial"/>
          <w:color w:val="000000"/>
          <w:sz w:val="20"/>
        </w:rPr>
        <w:t xml:space="preserve"> Fed. R. Civ. P. 52(a)(6). </w:t>
      </w:r>
      <w:bookmarkStart w:id="2861" w:name="Bookmark_I5T9WS1P2HM69T0020000400"/>
      <w:bookmarkEnd w:id="2861"/>
      <w:r>
        <w:rPr>
          <w:rFonts w:ascii="Arial" w:eastAsia="Arial" w:hAnsi="Arial" w:cs="Arial"/>
          <w:color w:val="000000"/>
          <w:sz w:val="20"/>
        </w:rPr>
        <w:t xml:space="preserve">A finding made by the district court "is clearly erroneous when although there is evidence to support it, the reviewing court on the entire evidence is left with the definite and firm conviction that a mistake has been committed." </w:t>
      </w:r>
      <w:bookmarkStart w:id="2862" w:name="Bookmark_I5T9WS1P2SF89X0050000400"/>
      <w:bookmarkEnd w:id="2862"/>
      <w:r>
        <w:rPr>
          <w:rFonts w:ascii="Arial" w:eastAsia="Arial" w:hAnsi="Arial" w:cs="Arial"/>
          <w:i/>
          <w:color w:val="000000"/>
          <w:sz w:val="20"/>
        </w:rPr>
        <w:t>Guzman v. Hacienda Records &amp; Recording Studio, Inc.</w:t>
      </w:r>
      <w:r>
        <w:rPr>
          <w:rFonts w:ascii="Arial" w:eastAsia="Arial" w:hAnsi="Arial" w:cs="Arial"/>
          <w:color w:val="000000"/>
          <w:sz w:val="20"/>
        </w:rPr>
        <w:t xml:space="preserve">, 808 F.3d 1031, 1036 (5th Cir. 2015) (quoting </w:t>
      </w:r>
      <w:bookmarkStart w:id="2863" w:name="Bookmark_I5T9WS1P2HM69S0020000400"/>
      <w:bookmarkEnd w:id="2863"/>
      <w:r>
        <w:rPr>
          <w:rFonts w:ascii="Arial" w:eastAsia="Arial" w:hAnsi="Arial" w:cs="Arial"/>
          <w:i/>
          <w:color w:val="000000"/>
          <w:sz w:val="20"/>
        </w:rPr>
        <w:t>Anderson v. City of Bessemer</w:t>
      </w:r>
      <w:r>
        <w:rPr>
          <w:rFonts w:ascii="Arial" w:eastAsia="Arial" w:hAnsi="Arial" w:cs="Arial"/>
          <w:color w:val="000000"/>
          <w:sz w:val="20"/>
        </w:rPr>
        <w:t xml:space="preserve">, 470 U.S. 564, 573, 105 S. Ct. 1504, 84 L. Ed. 2d 518 (1985)). </w:t>
      </w:r>
      <w:bookmarkStart w:id="2864" w:name="Bookmark_I5T9WS1P2HM69T0040000400"/>
      <w:bookmarkEnd w:id="2864"/>
      <w:r>
        <w:rPr>
          <w:rFonts w:ascii="Arial" w:eastAsia="Arial" w:hAnsi="Arial" w:cs="Arial"/>
          <w:color w:val="000000"/>
          <w:sz w:val="20"/>
        </w:rPr>
        <w:t xml:space="preserve">Put differently, "[a] finding is clearly erroneous if it is without substantial evidence to support it, the court misinterpreted the [**13]  effect of the evidence, or this court is convinced that the findings are against the preponderance of credible testimony." </w:t>
      </w:r>
      <w:bookmarkStart w:id="2865" w:name="Bookmark_I5T9WS1P2HM69S0040000400"/>
      <w:bookmarkEnd w:id="2865"/>
      <w:r>
        <w:rPr>
          <w:rFonts w:ascii="Arial" w:eastAsia="Arial" w:hAnsi="Arial" w:cs="Arial"/>
          <w:i/>
          <w:color w:val="000000"/>
          <w:sz w:val="20"/>
        </w:rPr>
        <w:t>Petrohawk Props., L.P. v. Chesapeake Louisiana, L.P.</w:t>
      </w:r>
      <w:r>
        <w:rPr>
          <w:rFonts w:ascii="Arial" w:eastAsia="Arial" w:hAnsi="Arial" w:cs="Arial"/>
          <w:color w:val="000000"/>
          <w:sz w:val="20"/>
        </w:rPr>
        <w:t xml:space="preserve">, 689 F.3d 380, 388 (5th Cir. 2012). </w:t>
      </w:r>
      <w:bookmarkStart w:id="2866" w:name="Bookmark_I5T9WS1P2HM69T0040000400_2"/>
      <w:bookmarkStart w:id="2867" w:name="Bookmark_I5T9WS1P2HM69T0020000400_2"/>
      <w:bookmarkEnd w:id="2866"/>
      <w:bookmarkEnd w:id="2867"/>
      <w:r>
        <w:rPr>
          <w:rFonts w:ascii="Arial" w:eastAsia="Arial" w:hAnsi="Arial" w:cs="Arial"/>
          <w:color w:val="000000"/>
          <w:sz w:val="20"/>
        </w:rPr>
        <w:t xml:space="preserve">Moreover, when the findings of fact by the district court are largely based on the credibility of individuals testifying at trial, "the reviewing court must give due regard to the trial court's opportunity to judge the witnesses' credibility." Fed. R. Civ. P. 52(a)(6); </w:t>
      </w:r>
      <w:r>
        <w:rPr>
          <w:rFonts w:ascii="Arial" w:eastAsia="Arial" w:hAnsi="Arial" w:cs="Arial"/>
          <w:i/>
          <w:color w:val="000000"/>
          <w:sz w:val="20"/>
        </w:rPr>
        <w:t xml:space="preserve">see also </w:t>
      </w:r>
      <w:bookmarkStart w:id="2868" w:name="Bookmark_I5T9WS1P2HM69T0010000400"/>
      <w:bookmarkEnd w:id="2868"/>
      <w:r>
        <w:rPr>
          <w:rFonts w:ascii="Arial" w:eastAsia="Arial" w:hAnsi="Arial" w:cs="Arial"/>
          <w:i/>
          <w:color w:val="000000"/>
          <w:sz w:val="20"/>
        </w:rPr>
        <w:t>Thomas v. Napolitano</w:t>
      </w:r>
      <w:r>
        <w:rPr>
          <w:rFonts w:ascii="Arial" w:eastAsia="Arial" w:hAnsi="Arial" w:cs="Arial"/>
          <w:color w:val="000000"/>
          <w:sz w:val="20"/>
        </w:rPr>
        <w:t xml:space="preserve">, 542 Fed. Appx. 317, 320 (5th Cir. 2013) (unpublished). "[F]or only the trial judge can be aware of the variations in demeanor and tone of voice that bear so heavily on the listener's understanding of and belief in what is said." </w:t>
      </w:r>
      <w:bookmarkStart w:id="2869" w:name="Bookmark_I5T9WS1P2HM69T0030000400"/>
      <w:bookmarkEnd w:id="2869"/>
      <w:r>
        <w:rPr>
          <w:rFonts w:ascii="Arial" w:eastAsia="Arial" w:hAnsi="Arial" w:cs="Arial"/>
          <w:i/>
          <w:color w:val="000000"/>
          <w:sz w:val="20"/>
        </w:rPr>
        <w:t>Anderson</w:t>
      </w:r>
      <w:r>
        <w:rPr>
          <w:rFonts w:ascii="Arial" w:eastAsia="Arial" w:hAnsi="Arial" w:cs="Arial"/>
          <w:color w:val="000000"/>
          <w:sz w:val="20"/>
        </w:rPr>
        <w:t xml:space="preserve">, 470 U.S. at 575 (citing </w:t>
      </w:r>
      <w:bookmarkStart w:id="2870" w:name="Bookmark_I5T9WS1P2HM69T0050000400"/>
      <w:bookmarkEnd w:id="2870"/>
      <w:r>
        <w:rPr>
          <w:rFonts w:ascii="Arial" w:eastAsia="Arial" w:hAnsi="Arial" w:cs="Arial"/>
          <w:i/>
          <w:color w:val="000000"/>
          <w:sz w:val="20"/>
        </w:rPr>
        <w:t>Wainwright v. Witt</w:t>
      </w:r>
      <w:r>
        <w:rPr>
          <w:rFonts w:ascii="Arial" w:eastAsia="Arial" w:hAnsi="Arial" w:cs="Arial"/>
          <w:color w:val="000000"/>
          <w:sz w:val="20"/>
        </w:rPr>
        <w:t>, 469 U.S. 412, 428, 105 S. Ct. 844, 83 L. Ed. 2d 841 (1985)).</w:t>
      </w:r>
    </w:p>
    <w:p w:rsidR="00E456CD" w:rsidRDefault="00000000">
      <w:pPr>
        <w:pStyle w:val="Normal15"/>
        <w:widowControl w:val="0"/>
        <w:spacing w:before="240" w:line="260" w:lineRule="atLeast"/>
      </w:pPr>
      <w:r>
        <w:br/>
      </w:r>
      <w:r>
        <w:rPr>
          <w:rFonts w:ascii="Arial" w:eastAsia="Arial" w:hAnsi="Arial" w:cs="Arial"/>
          <w:b/>
          <w:color w:val="000000"/>
          <w:sz w:val="20"/>
        </w:rPr>
        <w:t>b. Grant Road's Eleventh Amendment Sovereign Immunity Defense</w:t>
      </w:r>
    </w:p>
    <w:p w:rsidR="00E456CD" w:rsidRDefault="00000000">
      <w:pPr>
        <w:pStyle w:val="Normal15"/>
        <w:widowControl w:val="0"/>
        <w:spacing w:before="200" w:line="260" w:lineRule="atLeast"/>
        <w:jc w:val="both"/>
      </w:pPr>
      <w:bookmarkStart w:id="2871" w:name="Bookmark_para_19_10"/>
      <w:bookmarkStart w:id="2872" w:name="Bookmark_I5T9WS1P2N1RBV0030000400"/>
      <w:bookmarkStart w:id="2873" w:name="Bookmark_I5T9WS1P2N1RBV0050000400"/>
      <w:bookmarkEnd w:id="2871"/>
      <w:bookmarkEnd w:id="2872"/>
      <w:bookmarkEnd w:id="2873"/>
      <w:r>
        <w:rPr>
          <w:rFonts w:ascii="Arial" w:eastAsia="Arial" w:hAnsi="Arial" w:cs="Arial"/>
          <w:color w:val="000000"/>
          <w:sz w:val="20"/>
        </w:rPr>
        <w:t>Grant Road argues that it is incapable of being sued in federal court because it is an instrumentality of the state of Texas and, therefore, protected by Eleventh Amendment sovereign immunity.</w:t>
      </w:r>
      <w:r>
        <w:rPr>
          <w:rFonts w:ascii="Arial" w:eastAsia="Arial" w:hAnsi="Arial" w:cs="Arial"/>
          <w:vertAlign w:val="superscript"/>
        </w:rPr>
        <w:footnoteReference w:customMarkFollows="1" w:id="120"/>
        <w:t>3</w:t>
      </w:r>
      <w:r>
        <w:rPr>
          <w:rFonts w:ascii="Arial" w:eastAsia="Arial" w:hAnsi="Arial" w:cs="Arial"/>
          <w:color w:val="000000"/>
          <w:sz w:val="20"/>
        </w:rPr>
        <w:t xml:space="preserve"> </w:t>
      </w:r>
      <w:r>
        <w:rPr>
          <w:rFonts w:ascii="Arial" w:eastAsia="Arial" w:hAnsi="Arial" w:cs="Arial"/>
          <w:i/>
          <w:color w:val="000000"/>
          <w:sz w:val="20"/>
        </w:rPr>
        <w:t xml:space="preserve">See </w:t>
      </w:r>
      <w:bookmarkStart w:id="2875" w:name="Bookmark_I5T9WS1P2N1RBV0020000400"/>
      <w:bookmarkEnd w:id="2875"/>
      <w:r>
        <w:rPr>
          <w:rFonts w:ascii="Arial" w:eastAsia="Arial" w:hAnsi="Arial" w:cs="Arial"/>
          <w:i/>
          <w:color w:val="000000"/>
          <w:sz w:val="20"/>
        </w:rPr>
        <w:t>Cozzo v. Tangipahoa Par. Council—President Gov't</w:t>
      </w:r>
      <w:r>
        <w:rPr>
          <w:rFonts w:ascii="Arial" w:eastAsia="Arial" w:hAnsi="Arial" w:cs="Arial"/>
          <w:color w:val="000000"/>
          <w:sz w:val="20"/>
        </w:rPr>
        <w:t xml:space="preserve">, 279 F.3d 273, 280-81 (5th Cir. 2002) ("When a state agency is the named defendant, the Eleventh Amendment bars suits for both money damages and injunctive relief unless the state has waived its immunity."). Providence does not challenge Grant Road's assertion that it is an instrumentality of the state. Regardless, </w:t>
      </w:r>
      <w:bookmarkStart w:id="2876" w:name="Bookmark_LNHNREFclscc2_12"/>
      <w:bookmarkEnd w:id="2876"/>
      <w:r>
        <w:rPr>
          <w:rFonts w:ascii="Arial" w:eastAsia="Arial" w:hAnsi="Arial" w:cs="Arial"/>
          <w:color w:val="000000"/>
          <w:sz w:val="20"/>
        </w:rPr>
        <w:t xml:space="preserve">this court has a duty to analyze its own jurisdiction de novo. </w:t>
      </w:r>
      <w:r>
        <w:rPr>
          <w:rFonts w:ascii="Arial" w:eastAsia="Arial" w:hAnsi="Arial" w:cs="Arial"/>
          <w:i/>
          <w:color w:val="000000"/>
          <w:sz w:val="20"/>
        </w:rPr>
        <w:t xml:space="preserve">See </w:t>
      </w:r>
      <w:bookmarkStart w:id="2877" w:name="Bookmark_I5T9WS1P2N1RBV0040000400"/>
      <w:bookmarkEnd w:id="2877"/>
      <w:r>
        <w:rPr>
          <w:rFonts w:ascii="Arial" w:eastAsia="Arial" w:hAnsi="Arial" w:cs="Arial"/>
          <w:i/>
          <w:color w:val="000000"/>
          <w:sz w:val="20"/>
        </w:rPr>
        <w:t>Smith v. Booth</w:t>
      </w:r>
      <w:r>
        <w:rPr>
          <w:rFonts w:ascii="Arial" w:eastAsia="Arial" w:hAnsi="Arial" w:cs="Arial"/>
          <w:color w:val="000000"/>
          <w:sz w:val="20"/>
        </w:rPr>
        <w:t>, 823 F.2d 94, 96 (5th Cir. 1987). And after reviewing the record, we [**14]  are persuaded that Grant Road does not enjoy Eleventh Amendment  [*456]  sovereign immunity because it is a local government entity, not an instrumentality of the state of Texas.</w:t>
      </w:r>
    </w:p>
    <w:p w:rsidR="00E456CD" w:rsidRDefault="00000000">
      <w:pPr>
        <w:pStyle w:val="Normal15"/>
        <w:widowControl w:val="0"/>
        <w:spacing w:before="200" w:line="260" w:lineRule="atLeast"/>
        <w:jc w:val="both"/>
      </w:pPr>
      <w:bookmarkStart w:id="2878" w:name="Bookmark_para_20_10"/>
      <w:bookmarkStart w:id="2879" w:name="Bookmark_I5T9WS1P2SF89Y0020000400"/>
      <w:bookmarkStart w:id="2880" w:name="Bookmark_I70B55BNPVJ0003GHN50001J"/>
      <w:bookmarkStart w:id="2881" w:name="Bookmark_I5T9WS1P2SF89Y0040000400"/>
      <w:bookmarkStart w:id="2882" w:name="Bookmark_LNHNREFclscc3_11"/>
      <w:bookmarkEnd w:id="2878"/>
      <w:bookmarkEnd w:id="2879"/>
      <w:bookmarkEnd w:id="2880"/>
      <w:bookmarkEnd w:id="2881"/>
      <w:bookmarkEnd w:id="2882"/>
      <w:r>
        <w:rPr>
          <w:rFonts w:ascii="Arial" w:eastAsia="Arial" w:hAnsi="Arial" w:cs="Arial"/>
          <w:color w:val="000000"/>
          <w:sz w:val="20"/>
        </w:rPr>
        <w:t xml:space="preserve">While instrumentalities of the state enjoy sovereign immunity, "the Eleventh Amendment does not extend its immunity to units of local government." </w:t>
      </w:r>
      <w:bookmarkStart w:id="2883" w:name="Bookmark_I5T9WS1P2SF89Y0010000400"/>
      <w:bookmarkEnd w:id="2883"/>
      <w:r>
        <w:rPr>
          <w:rFonts w:ascii="Arial" w:eastAsia="Arial" w:hAnsi="Arial" w:cs="Arial"/>
          <w:i/>
          <w:color w:val="000000"/>
          <w:sz w:val="20"/>
        </w:rPr>
        <w:t>Bd. of Trustees of Univ. of Ala. v. Garrett</w:t>
      </w:r>
      <w:r>
        <w:rPr>
          <w:rFonts w:ascii="Arial" w:eastAsia="Arial" w:hAnsi="Arial" w:cs="Arial"/>
          <w:color w:val="000000"/>
          <w:sz w:val="20"/>
        </w:rPr>
        <w:t xml:space="preserve">, 531 U.S. 356, 369, 121 S. Ct. 955, 148 L. Ed. 2d 866 (2001). To determine whether a unit of government belongs to state or local government, we employ the six-factor test developed in </w:t>
      </w:r>
      <w:bookmarkStart w:id="2884" w:name="Bookmark_I5T9WS1P2SF89Y0030000400"/>
      <w:bookmarkEnd w:id="2884"/>
      <w:r>
        <w:rPr>
          <w:rFonts w:ascii="Arial" w:eastAsia="Arial" w:hAnsi="Arial" w:cs="Arial"/>
          <w:i/>
          <w:color w:val="000000"/>
          <w:sz w:val="20"/>
        </w:rPr>
        <w:t>Clark v. Tarrant Cty., Tex.</w:t>
      </w:r>
      <w:r>
        <w:rPr>
          <w:rFonts w:ascii="Arial" w:eastAsia="Arial" w:hAnsi="Arial" w:cs="Arial"/>
          <w:color w:val="000000"/>
          <w:sz w:val="20"/>
        </w:rPr>
        <w:t>, 798 F.2d 736 (5th Cir. 1986). The six factors are:</w:t>
      </w:r>
    </w:p>
    <w:p w:rsidR="00E456CD" w:rsidRDefault="00000000">
      <w:pPr>
        <w:pStyle w:val="Normal15"/>
        <w:widowControl w:val="0"/>
        <w:spacing w:line="260" w:lineRule="atLeast"/>
        <w:ind w:left="400"/>
        <w:jc w:val="both"/>
      </w:pPr>
      <w:bookmarkStart w:id="2885" w:name="Bookmark_para_21_10"/>
      <w:bookmarkEnd w:id="2885"/>
      <w:r>
        <w:rPr>
          <w:rFonts w:ascii="Arial" w:eastAsia="Arial" w:hAnsi="Arial" w:cs="Arial"/>
          <w:color w:val="000000"/>
          <w:sz w:val="20"/>
        </w:rPr>
        <w:t>1. Whether the state statutes and case law view the agency as an arm of the state;</w:t>
      </w:r>
    </w:p>
    <w:p w:rsidR="00E456CD" w:rsidRDefault="00000000">
      <w:pPr>
        <w:pStyle w:val="Normal15"/>
        <w:widowControl w:val="0"/>
        <w:spacing w:line="260" w:lineRule="atLeast"/>
        <w:ind w:left="400"/>
        <w:jc w:val="both"/>
      </w:pPr>
      <w:bookmarkStart w:id="2886" w:name="Bookmark_para_22_10"/>
      <w:bookmarkEnd w:id="2886"/>
      <w:r>
        <w:rPr>
          <w:rFonts w:ascii="Arial" w:eastAsia="Arial" w:hAnsi="Arial" w:cs="Arial"/>
          <w:color w:val="000000"/>
          <w:sz w:val="20"/>
        </w:rPr>
        <w:t>2. The source of the entity's funding;</w:t>
      </w:r>
    </w:p>
    <w:p w:rsidR="00E456CD" w:rsidRDefault="00000000">
      <w:pPr>
        <w:pStyle w:val="Normal15"/>
        <w:widowControl w:val="0"/>
        <w:spacing w:line="260" w:lineRule="atLeast"/>
        <w:ind w:left="400"/>
        <w:jc w:val="both"/>
      </w:pPr>
      <w:bookmarkStart w:id="2887" w:name="Bookmark_para_23_10"/>
      <w:bookmarkEnd w:id="2887"/>
      <w:r>
        <w:rPr>
          <w:rFonts w:ascii="Arial" w:eastAsia="Arial" w:hAnsi="Arial" w:cs="Arial"/>
          <w:color w:val="000000"/>
          <w:sz w:val="20"/>
        </w:rPr>
        <w:t>3. The entity's degree of local autonomy;</w:t>
      </w:r>
    </w:p>
    <w:p w:rsidR="00E456CD" w:rsidRDefault="00000000">
      <w:pPr>
        <w:pStyle w:val="Normal15"/>
        <w:widowControl w:val="0"/>
        <w:spacing w:line="260" w:lineRule="atLeast"/>
        <w:ind w:left="400"/>
        <w:jc w:val="both"/>
      </w:pPr>
      <w:bookmarkStart w:id="2888" w:name="Bookmark_para_24_9"/>
      <w:bookmarkEnd w:id="2888"/>
      <w:r>
        <w:rPr>
          <w:rFonts w:ascii="Arial" w:eastAsia="Arial" w:hAnsi="Arial" w:cs="Arial"/>
          <w:color w:val="000000"/>
          <w:sz w:val="20"/>
        </w:rPr>
        <w:t>4. Whether the entity is concerned primarily with local as opposed to statewide, problems;</w:t>
      </w:r>
    </w:p>
    <w:p w:rsidR="00E456CD" w:rsidRDefault="00000000">
      <w:pPr>
        <w:pStyle w:val="Normal15"/>
        <w:widowControl w:val="0"/>
        <w:spacing w:line="260" w:lineRule="atLeast"/>
        <w:ind w:left="400"/>
        <w:jc w:val="both"/>
      </w:pPr>
      <w:bookmarkStart w:id="2889" w:name="Bookmark_para_25_9"/>
      <w:bookmarkEnd w:id="2889"/>
      <w:r>
        <w:rPr>
          <w:rFonts w:ascii="Arial" w:eastAsia="Arial" w:hAnsi="Arial" w:cs="Arial"/>
          <w:color w:val="000000"/>
          <w:sz w:val="20"/>
        </w:rPr>
        <w:t>5. Whether the entity has the authority to sue and be sued in its own name; and</w:t>
      </w:r>
    </w:p>
    <w:p w:rsidR="00E456CD" w:rsidRDefault="00000000">
      <w:pPr>
        <w:pStyle w:val="Normal15"/>
        <w:widowControl w:val="0"/>
        <w:spacing w:before="200" w:line="260" w:lineRule="atLeast"/>
        <w:ind w:left="400"/>
        <w:jc w:val="both"/>
      </w:pPr>
      <w:bookmarkStart w:id="2890" w:name="Bookmark_para_26_9"/>
      <w:bookmarkStart w:id="2891" w:name="Bookmark_I70B55BP0GV0003GHN50001K"/>
      <w:bookmarkStart w:id="2892" w:name="Bookmark_I5T9WS1P28T41B0010000400"/>
      <w:bookmarkEnd w:id="2890"/>
      <w:bookmarkEnd w:id="2891"/>
      <w:bookmarkEnd w:id="2892"/>
      <w:r>
        <w:rPr>
          <w:rFonts w:ascii="Arial" w:eastAsia="Arial" w:hAnsi="Arial" w:cs="Arial"/>
          <w:color w:val="000000"/>
          <w:sz w:val="20"/>
        </w:rPr>
        <w:t>6. Whether the entity has the right to hold and use property.</w:t>
      </w:r>
    </w:p>
    <w:p w:rsidR="00E456CD" w:rsidRDefault="00000000">
      <w:pPr>
        <w:pStyle w:val="Normal15"/>
        <w:widowControl w:val="0"/>
        <w:spacing w:before="200" w:line="260" w:lineRule="atLeast"/>
        <w:jc w:val="both"/>
      </w:pPr>
      <w:bookmarkStart w:id="2893" w:name="Bookmark_I5T9WS1P28T41B0010000400_2"/>
      <w:bookmarkStart w:id="2894" w:name="Bookmark_I5T9WS1P2SF89Y0050000400"/>
      <w:bookmarkEnd w:id="2893"/>
      <w:bookmarkEnd w:id="2894"/>
      <w:r>
        <w:rPr>
          <w:rFonts w:ascii="Arial" w:eastAsia="Arial" w:hAnsi="Arial" w:cs="Arial"/>
          <w:i/>
          <w:color w:val="000000"/>
          <w:sz w:val="20"/>
        </w:rPr>
        <w:t>Hudson v. City of New Orleans</w:t>
      </w:r>
      <w:r>
        <w:rPr>
          <w:rFonts w:ascii="Arial" w:eastAsia="Arial" w:hAnsi="Arial" w:cs="Arial"/>
          <w:color w:val="000000"/>
          <w:sz w:val="20"/>
        </w:rPr>
        <w:t>, 174 F.3d 677, 681 (5th Cir. 1999).</w:t>
      </w:r>
    </w:p>
    <w:p w:rsidR="00E456CD" w:rsidRDefault="00000000">
      <w:pPr>
        <w:pStyle w:val="Normal15"/>
        <w:widowControl w:val="0"/>
        <w:spacing w:before="200" w:line="260" w:lineRule="atLeast"/>
        <w:jc w:val="both"/>
      </w:pPr>
      <w:bookmarkStart w:id="2895" w:name="Bookmark_para_27_9"/>
      <w:bookmarkStart w:id="2896" w:name="Bookmark_I5T9WS1P28T41B0030000400"/>
      <w:bookmarkEnd w:id="2895"/>
      <w:bookmarkEnd w:id="2896"/>
      <w:r>
        <w:rPr>
          <w:rFonts w:ascii="Arial" w:eastAsia="Arial" w:hAnsi="Arial" w:cs="Arial"/>
          <w:color w:val="000000"/>
          <w:sz w:val="20"/>
        </w:rPr>
        <w:t xml:space="preserve">The goal of this test is to determine "whether the suit is in reality a suit against the state itself." </w:t>
      </w:r>
      <w:bookmarkStart w:id="2897" w:name="Bookmark_I5T9WS1P28T41B0020000400"/>
      <w:bookmarkEnd w:id="2897"/>
      <w:r>
        <w:rPr>
          <w:rFonts w:ascii="Arial" w:eastAsia="Arial" w:hAnsi="Arial" w:cs="Arial"/>
          <w:i/>
          <w:color w:val="000000"/>
          <w:sz w:val="20"/>
        </w:rPr>
        <w:t>Id.</w:t>
      </w:r>
      <w:r>
        <w:rPr>
          <w:rFonts w:ascii="Arial" w:eastAsia="Arial" w:hAnsi="Arial" w:cs="Arial"/>
          <w:color w:val="000000"/>
          <w:sz w:val="20"/>
        </w:rPr>
        <w:t xml:space="preserve"> at 682 (quoting </w:t>
      </w:r>
      <w:bookmarkStart w:id="2898" w:name="Bookmark_I5T9WS1P28T41B0040000400"/>
      <w:bookmarkEnd w:id="2898"/>
      <w:r>
        <w:rPr>
          <w:rFonts w:ascii="Arial" w:eastAsia="Arial" w:hAnsi="Arial" w:cs="Arial"/>
          <w:i/>
          <w:color w:val="000000"/>
          <w:sz w:val="20"/>
        </w:rPr>
        <w:t>Laje v. R.E. Thomason Gen. Hosp.</w:t>
      </w:r>
      <w:r>
        <w:rPr>
          <w:rFonts w:ascii="Arial" w:eastAsia="Arial" w:hAnsi="Arial" w:cs="Arial"/>
          <w:color w:val="000000"/>
          <w:sz w:val="20"/>
        </w:rPr>
        <w:t xml:space="preserve">, 665 F.2d 724, 727 (5th Cir. 1982)). Though the test is not necessarily precise, it helps us "balance the equities and determine as a general matter" how the entity should be classified. </w:t>
      </w:r>
      <w:r>
        <w:rPr>
          <w:rFonts w:ascii="Arial" w:eastAsia="Arial" w:hAnsi="Arial" w:cs="Arial"/>
          <w:i/>
          <w:color w:val="000000"/>
          <w:sz w:val="20"/>
        </w:rPr>
        <w:t>Id.</w:t>
      </w:r>
    </w:p>
    <w:p w:rsidR="00E456CD" w:rsidRDefault="00000000">
      <w:pPr>
        <w:pStyle w:val="Normal15"/>
        <w:widowControl w:val="0"/>
        <w:spacing w:before="200" w:line="260" w:lineRule="atLeast"/>
        <w:jc w:val="both"/>
      </w:pPr>
      <w:bookmarkStart w:id="2899" w:name="Bookmark_para_28_9"/>
      <w:bookmarkStart w:id="2900" w:name="Bookmark_I5T9WS1P2D6N6P0020000400"/>
      <w:bookmarkEnd w:id="2899"/>
      <w:bookmarkEnd w:id="2900"/>
      <w:r>
        <w:rPr>
          <w:rFonts w:ascii="Arial" w:eastAsia="Arial" w:hAnsi="Arial" w:cs="Arial"/>
          <w:color w:val="000000"/>
          <w:sz w:val="20"/>
        </w:rPr>
        <w:t xml:space="preserve">Applying our six-factor test, we are convinced, on balance, that Grant Road is not an instrumentality of the state. [**15]  </w:t>
      </w:r>
      <w:bookmarkStart w:id="2901" w:name="Bookmark_I5T9WS1P2D6N6P0040000400"/>
      <w:bookmarkEnd w:id="2901"/>
      <w:r>
        <w:rPr>
          <w:rFonts w:ascii="Arial" w:eastAsia="Arial" w:hAnsi="Arial" w:cs="Arial"/>
          <w:color w:val="000000"/>
          <w:sz w:val="20"/>
        </w:rPr>
        <w:t xml:space="preserve">First, while Grant Road was created under the auspices of state law, this fact proves too much—"every entity claiming Eleventh Amendment immunity is a 'creature' of some state law." </w:t>
      </w:r>
      <w:bookmarkStart w:id="2902" w:name="Bookmark_I5T9WS1P2D6N6P0010000400"/>
      <w:bookmarkEnd w:id="2902"/>
      <w:r>
        <w:rPr>
          <w:rFonts w:ascii="Arial" w:eastAsia="Arial" w:hAnsi="Arial" w:cs="Arial"/>
          <w:i/>
          <w:color w:val="000000"/>
          <w:sz w:val="20"/>
        </w:rPr>
        <w:t>Sw. Bell Tel. Co. v. City of El Paso</w:t>
      </w:r>
      <w:r>
        <w:rPr>
          <w:rFonts w:ascii="Arial" w:eastAsia="Arial" w:hAnsi="Arial" w:cs="Arial"/>
          <w:color w:val="000000"/>
          <w:sz w:val="20"/>
        </w:rPr>
        <w:t xml:space="preserve">, 243 F.3d 936, 939 (5th Cir. 2001). Second, and most importantly, Grant Road's funding comes from its own revenue, as well as local taxes and fees, all of which are independent of the Texas state treasury. </w:t>
      </w:r>
      <w:bookmarkStart w:id="2903" w:name="Bookmark_I5T9WS1P2D6N6P0040000400_2"/>
      <w:bookmarkStart w:id="2904" w:name="Bookmark_I5T9WS1P2D6N6P0030000400"/>
      <w:bookmarkEnd w:id="2903"/>
      <w:bookmarkEnd w:id="2904"/>
      <w:r>
        <w:rPr>
          <w:rFonts w:ascii="Arial" w:eastAsia="Arial" w:hAnsi="Arial" w:cs="Arial"/>
          <w:i/>
          <w:color w:val="000000"/>
          <w:sz w:val="20"/>
        </w:rPr>
        <w:t>Williams v. Dall. Area Rapid Transit</w:t>
      </w:r>
      <w:r>
        <w:rPr>
          <w:rFonts w:ascii="Arial" w:eastAsia="Arial" w:hAnsi="Arial" w:cs="Arial"/>
          <w:color w:val="000000"/>
          <w:sz w:val="20"/>
        </w:rPr>
        <w:t xml:space="preserve">, 242 F.3d 315, 320 (5th Cir. 2001) (holding that the second factor—source of funds—is "the most important one"). </w:t>
      </w:r>
      <w:bookmarkStart w:id="2905" w:name="Bookmark_I5T9WS1P2N1RBW0010000400"/>
      <w:bookmarkEnd w:id="2905"/>
      <w:r>
        <w:rPr>
          <w:rFonts w:ascii="Arial" w:eastAsia="Arial" w:hAnsi="Arial" w:cs="Arial"/>
          <w:color w:val="000000"/>
          <w:sz w:val="20"/>
        </w:rPr>
        <w:t xml:space="preserve">Third, Grant Road is generally autonomous because its members are locally elected, not appointed by state officials. While Grant Road is "subject to oversight" by the Texas Commission on Environmental Quality, such oversight does not necessarily amount to meaningful state control. </w:t>
      </w:r>
      <w:bookmarkStart w:id="2906" w:name="Bookmark_I5T9WS1P2N1RBW0030000400"/>
      <w:bookmarkEnd w:id="2906"/>
      <w:r>
        <w:rPr>
          <w:rFonts w:ascii="Arial" w:eastAsia="Arial" w:hAnsi="Arial" w:cs="Arial"/>
          <w:i/>
          <w:color w:val="000000"/>
          <w:sz w:val="20"/>
        </w:rPr>
        <w:t xml:space="preserve">Cf. </w:t>
      </w:r>
      <w:bookmarkStart w:id="2907" w:name="Bookmark_I5T9WS1P2D6N6P0050000400"/>
      <w:bookmarkEnd w:id="2907"/>
      <w:r>
        <w:rPr>
          <w:rFonts w:ascii="Arial" w:eastAsia="Arial" w:hAnsi="Arial" w:cs="Arial"/>
          <w:i/>
          <w:color w:val="000000"/>
          <w:sz w:val="20"/>
        </w:rPr>
        <w:t>id.</w:t>
      </w:r>
      <w:r>
        <w:rPr>
          <w:rFonts w:ascii="Arial" w:eastAsia="Arial" w:hAnsi="Arial" w:cs="Arial"/>
          <w:color w:val="000000"/>
          <w:sz w:val="20"/>
        </w:rPr>
        <w:t xml:space="preserve"> at 321 (finding periodic state audits to undermine only slightly a local entity's autonomy). </w:t>
      </w:r>
      <w:bookmarkStart w:id="2908" w:name="Bookmark_I5T9WS1P2N1RBW0030000400_2"/>
      <w:bookmarkEnd w:id="2908"/>
      <w:r>
        <w:rPr>
          <w:rFonts w:ascii="Arial" w:eastAsia="Arial" w:hAnsi="Arial" w:cs="Arial"/>
          <w:color w:val="000000"/>
          <w:sz w:val="20"/>
        </w:rPr>
        <w:t xml:space="preserve">Fourth, Grant Road is tasked with regulating water and controlling soil pollution, both of which are functions of statewide interest according to the Texas Supreme Court. </w:t>
      </w:r>
      <w:bookmarkStart w:id="2909" w:name="Bookmark_I5T9WS1P2N1RBW0020000400"/>
      <w:bookmarkEnd w:id="2909"/>
      <w:r>
        <w:rPr>
          <w:rFonts w:ascii="Arial" w:eastAsia="Arial" w:hAnsi="Arial" w:cs="Arial"/>
          <w:i/>
          <w:color w:val="000000"/>
          <w:sz w:val="20"/>
        </w:rPr>
        <w:t>Bennett v. Brown Cty. Water Imp. Dist. No. 1</w:t>
      </w:r>
      <w:r>
        <w:rPr>
          <w:rFonts w:ascii="Arial" w:eastAsia="Arial" w:hAnsi="Arial" w:cs="Arial"/>
          <w:color w:val="000000"/>
          <w:sz w:val="20"/>
        </w:rPr>
        <w:t>, 153 Tex. 599, 272 S.W.2d 498, 502-03 (1954). The fifth and sixth factors—Grant Road's authority to sue and be sued in its own name and its right to hold and use property—both suggest Grant Road is a local entity.</w:t>
      </w:r>
    </w:p>
    <w:p w:rsidR="00E456CD" w:rsidRDefault="00000000">
      <w:pPr>
        <w:pStyle w:val="Normal15"/>
        <w:widowControl w:val="0"/>
        <w:spacing w:before="200" w:line="260" w:lineRule="atLeast"/>
        <w:jc w:val="both"/>
      </w:pPr>
      <w:bookmarkStart w:id="2910" w:name="Bookmark_para_29_9"/>
      <w:bookmarkEnd w:id="2910"/>
      <w:r>
        <w:rPr>
          <w:rFonts w:ascii="Arial" w:eastAsia="Arial" w:hAnsi="Arial" w:cs="Arial"/>
          <w:color w:val="000000"/>
          <w:sz w:val="20"/>
        </w:rPr>
        <w:t>In sum, these factors, including the important source-of-funding factor, [**16]  indicate, on the whole, that Grant Road is a local entity and, therefore, not entitled to sovereign immunity.</w:t>
      </w:r>
    </w:p>
    <w:p w:rsidR="00E456CD" w:rsidRDefault="00000000">
      <w:pPr>
        <w:pStyle w:val="Normal15"/>
        <w:widowControl w:val="0"/>
        <w:spacing w:before="240" w:line="260" w:lineRule="atLeast"/>
      </w:pPr>
      <w:r>
        <w:br/>
      </w:r>
      <w:r>
        <w:rPr>
          <w:rFonts w:ascii="Arial" w:eastAsia="Arial" w:hAnsi="Arial" w:cs="Arial"/>
          <w:b/>
          <w:color w:val="000000"/>
          <w:sz w:val="20"/>
        </w:rPr>
        <w:t>c. Providence's Intentional Discrimination Claims</w:t>
      </w:r>
    </w:p>
    <w:p w:rsidR="00E456CD" w:rsidRDefault="00000000">
      <w:pPr>
        <w:pStyle w:val="Normal15"/>
        <w:widowControl w:val="0"/>
        <w:spacing w:before="200" w:line="260" w:lineRule="atLeast"/>
        <w:jc w:val="both"/>
      </w:pPr>
      <w:bookmarkStart w:id="2911" w:name="Bookmark_para_30_9"/>
      <w:bookmarkEnd w:id="2911"/>
      <w:r>
        <w:rPr>
          <w:rFonts w:ascii="Arial" w:eastAsia="Arial" w:hAnsi="Arial" w:cs="Arial"/>
          <w:color w:val="000000"/>
          <w:sz w:val="20"/>
        </w:rPr>
        <w:t>Providence argues that deference to the trial court is not automatic and that the district court's conclusion that there was no discrimination was unsupported by any evidence presented during the bench trial. Moreover, Providence contends that it  [*457]  proved discrimination by showing that Grant Road had animosity towards Providence Health's potential psychiatric clients and that community pressure influenced the Grant Road Board's decision. We disagree. After allowing both sides to present evidence to support their respective positions during a three-day bench trial, the district court rested its conclusion on testimony from Grant Road Board members who stated that they based their decision on financial considerations rather than on the disabilities of the potential patients of Providence.</w:t>
      </w:r>
    </w:p>
    <w:p w:rsidR="00E456CD" w:rsidRDefault="00000000">
      <w:pPr>
        <w:pStyle w:val="Normal15"/>
        <w:widowControl w:val="0"/>
        <w:spacing w:before="200" w:line="260" w:lineRule="atLeast"/>
        <w:jc w:val="both"/>
      </w:pPr>
      <w:bookmarkStart w:id="2912" w:name="Bookmark_para_31_9"/>
      <w:bookmarkStart w:id="2913" w:name="Bookmark_I70B55BPK340003GHN50001N"/>
      <w:bookmarkStart w:id="2914" w:name="Bookmark_I5T9WS1P2N1RBW0050000400"/>
      <w:bookmarkStart w:id="2915" w:name="Bookmark_LNHNREFclscc4_11"/>
      <w:bookmarkEnd w:id="2912"/>
      <w:bookmarkEnd w:id="2913"/>
      <w:bookmarkEnd w:id="2914"/>
      <w:bookmarkEnd w:id="2915"/>
      <w:r>
        <w:rPr>
          <w:rFonts w:ascii="Arial" w:eastAsia="Arial" w:hAnsi="Arial" w:cs="Arial"/>
          <w:color w:val="000000"/>
          <w:sz w:val="20"/>
        </w:rPr>
        <w:t xml:space="preserve">The ADA, FHA, and TFHA all prohibit governmental entities from discriminating against individuals with disabilities. </w:t>
      </w:r>
      <w:r>
        <w:rPr>
          <w:rFonts w:ascii="Arial" w:eastAsia="Arial" w:hAnsi="Arial" w:cs="Arial"/>
          <w:i/>
          <w:color w:val="000000"/>
          <w:sz w:val="20"/>
        </w:rPr>
        <w:t>See</w:t>
      </w:r>
      <w:r>
        <w:rPr>
          <w:rFonts w:ascii="Arial" w:eastAsia="Arial" w:hAnsi="Arial" w:cs="Arial"/>
          <w:color w:val="000000"/>
          <w:sz w:val="20"/>
        </w:rPr>
        <w:t xml:space="preserve"> 42 U.S.C. § 12132 (Title II of the ADA states "no qualified individual with a disability shall, by reason of such disability, be excluded from [**17]  participation in or be denied the benefits of the services, programs, or activities of a public entity, or be subject to discrimination by any such entity"); 42 U.S.C. § 3604(f)(1) (the FHA makes it unlawful "to discriminate in the sale or rental, or to otherwise make unavailable or deny, a dwelling to any buyer or renter because of a handicap"); Tex. Prop. Code Ann. § 301.025 (the TFHA makes it unlawful to "discriminate in the sale or rental of, or make unavailable or deny, a dwelling to any buyer or renter because of a disability"). To establish intentional discrimination based on a disability, Providence must prove by a preponderance of the evidence: "(1) that [Providence's potential patients have] a qualifying disability; (2) that [Providence] is being denied the benefits of services, programs, or activities for which the public entity is responsible, or is otherwise discriminated against by [Grant Road]; and (3) that such discrimination is by reason of [Providence's potential patient's] disability." </w:t>
      </w:r>
      <w:bookmarkStart w:id="2916" w:name="Bookmark_I5T9WS1P2N1RBW0040000400"/>
      <w:bookmarkEnd w:id="2916"/>
      <w:r>
        <w:rPr>
          <w:rFonts w:ascii="Arial" w:eastAsia="Arial" w:hAnsi="Arial" w:cs="Arial"/>
          <w:i/>
          <w:color w:val="000000"/>
          <w:sz w:val="20"/>
        </w:rPr>
        <w:t>Doe v. Columbia-Brazoria Indep. Sch. Dist.</w:t>
      </w:r>
      <w:r>
        <w:rPr>
          <w:rFonts w:ascii="Arial" w:eastAsia="Arial" w:hAnsi="Arial" w:cs="Arial"/>
          <w:color w:val="000000"/>
          <w:sz w:val="20"/>
        </w:rPr>
        <w:t xml:space="preserve">, 855 F.3d 681, 690 (5th Cir. 2017) (citing </w:t>
      </w:r>
      <w:bookmarkStart w:id="2917" w:name="Bookmark_I5T9WS1P2HM69V0010000400"/>
      <w:bookmarkEnd w:id="2917"/>
      <w:r>
        <w:rPr>
          <w:rFonts w:ascii="Arial" w:eastAsia="Arial" w:hAnsi="Arial" w:cs="Arial"/>
          <w:i/>
          <w:color w:val="000000"/>
          <w:sz w:val="20"/>
        </w:rPr>
        <w:t>Hale v. King</w:t>
      </w:r>
      <w:r>
        <w:rPr>
          <w:rFonts w:ascii="Arial" w:eastAsia="Arial" w:hAnsi="Arial" w:cs="Arial"/>
          <w:color w:val="000000"/>
          <w:sz w:val="20"/>
        </w:rPr>
        <w:t>, 642 F.3d 492, 499 (5th Cir. 2011)).</w:t>
      </w:r>
    </w:p>
    <w:p w:rsidR="00E456CD" w:rsidRDefault="00000000">
      <w:pPr>
        <w:pStyle w:val="Normal15"/>
        <w:widowControl w:val="0"/>
        <w:spacing w:before="200" w:line="260" w:lineRule="atLeast"/>
        <w:jc w:val="both"/>
      </w:pPr>
      <w:bookmarkStart w:id="2918" w:name="Bookmark_para_32_9"/>
      <w:bookmarkEnd w:id="2918"/>
      <w:r>
        <w:rPr>
          <w:rFonts w:ascii="Arial" w:eastAsia="Arial" w:hAnsi="Arial" w:cs="Arial"/>
          <w:color w:val="000000"/>
          <w:sz w:val="20"/>
        </w:rPr>
        <w:t>Despite Providence's arguments, the district court found the testimony supporting Grant Road's position to be more convincing. Here, based on its factual findings, the [**18]  district court determined that Providence failed to carry its burden in proving that Grant Road discriminated against Providence. After Grant Road presented evidence, the district court found that the Grant Road Board considered the value of the building project, the demand on the current utility system, and the value that the Providence Health facility building project would add to Grant Road's district. Importantly, when asked during the bench trial, "with respect to the population of the patients, did that issue play a role in your part to deny annexation?" Krzeszkiewicz replied, "No." Similarly, when Scott was asked, "did you have any reaction to the fact that the facility was going to be a psychiatric care facility?" Scott responded, "No."</w:t>
      </w:r>
    </w:p>
    <w:p w:rsidR="00E456CD" w:rsidRDefault="00000000">
      <w:pPr>
        <w:pStyle w:val="Normal15"/>
        <w:widowControl w:val="0"/>
        <w:spacing w:before="200" w:line="260" w:lineRule="atLeast"/>
        <w:jc w:val="both"/>
      </w:pPr>
      <w:bookmarkStart w:id="2919" w:name="Bookmark_para_33_8"/>
      <w:bookmarkEnd w:id="2919"/>
      <w:r>
        <w:rPr>
          <w:rFonts w:ascii="Arial" w:eastAsia="Arial" w:hAnsi="Arial" w:cs="Arial"/>
          <w:color w:val="000000"/>
          <w:sz w:val="20"/>
        </w:rPr>
        <w:t>The testimony of Krzeszkiewicz and Scott also provided support for the financial reasons that Grant Road pointed to for the annexation denial. Krzeszkiewicz, a retired accountant and Grant Road Board member for thirty years, testified during the bench trial that he considered financial implications, such as what the value of the property is and what value that the annexation adds to the current tax base when making the annexation decision. Krzeszkiewicz [**19]  explained that if the entity fails, Grant Road "would possibly be left holding the bag for any construction costs for the infrastructure as well as a loss of revenue to [Grant Road's] tax base." Similarly, Scott, a Grant Road Board member for over forty years, articulated that if the Providence Health facility building project failed, Grant Road would not have had any  [*458]  way to recoup the costs of running the pipes for the water and sewage services to the Providence Health facility. Since Providence was not as experienced with developing land, the Grant Road Board projected a higher possible likelihood that the Providence Health building project would fail.</w:t>
      </w:r>
    </w:p>
    <w:p w:rsidR="00E456CD" w:rsidRDefault="00000000">
      <w:pPr>
        <w:pStyle w:val="Normal15"/>
        <w:widowControl w:val="0"/>
        <w:spacing w:before="200" w:line="260" w:lineRule="atLeast"/>
        <w:jc w:val="both"/>
      </w:pPr>
      <w:bookmarkStart w:id="2920" w:name="Bookmark_para_34_7"/>
      <w:bookmarkEnd w:id="2920"/>
      <w:r>
        <w:rPr>
          <w:rFonts w:ascii="Arial" w:eastAsia="Arial" w:hAnsi="Arial" w:cs="Arial"/>
          <w:color w:val="000000"/>
          <w:sz w:val="20"/>
        </w:rPr>
        <w:t>In relation to Providence's presentation to the Grant Road Board, Krzeszkiewicz explained that the presentation from Providence was also "poorly developed" and he "would expect that the plaintiff would have done more homework as far as going to the board, providing some . . . financial information." Moreover, Scott noted that the presentation to the Grant Road Board was poorly developed because financial information relating to water usage and return on investment for the construction project was missing.</w:t>
      </w:r>
    </w:p>
    <w:p w:rsidR="00E456CD" w:rsidRDefault="00000000">
      <w:pPr>
        <w:pStyle w:val="Normal15"/>
        <w:widowControl w:val="0"/>
        <w:spacing w:before="200" w:line="260" w:lineRule="atLeast"/>
        <w:jc w:val="both"/>
      </w:pPr>
      <w:bookmarkStart w:id="2921" w:name="Bookmark_para_35_6"/>
      <w:bookmarkEnd w:id="2921"/>
      <w:r>
        <w:rPr>
          <w:rFonts w:ascii="Arial" w:eastAsia="Arial" w:hAnsi="Arial" w:cs="Arial"/>
          <w:color w:val="000000"/>
          <w:sz w:val="20"/>
        </w:rPr>
        <w:t>Grant Road also cited tax abatements [**20]  for the Providence Health facility as a reason for how annexation could decrease the amount of revenue contributed to the tax base. Scott testified that the main reason for his decision against annexation of the Providence Health facility was because "[t]here just wasn't going to be enough tax return." Scott stated that although he did not ask questions relating to tax abatements during the September 2014 Grant Road Board meeting, he realized that the Providence Health facility would likely receive tax abatements which bring down the taxable value.</w:t>
      </w:r>
    </w:p>
    <w:p w:rsidR="00E456CD" w:rsidRDefault="00000000">
      <w:pPr>
        <w:pStyle w:val="Normal15"/>
        <w:widowControl w:val="0"/>
        <w:spacing w:before="200" w:line="260" w:lineRule="atLeast"/>
        <w:jc w:val="both"/>
      </w:pPr>
      <w:bookmarkStart w:id="2922" w:name="Bookmark_para_36_6"/>
      <w:bookmarkEnd w:id="2922"/>
      <w:r>
        <w:rPr>
          <w:rFonts w:ascii="Arial" w:eastAsia="Arial" w:hAnsi="Arial" w:cs="Arial"/>
          <w:color w:val="000000"/>
          <w:sz w:val="20"/>
        </w:rPr>
        <w:t>All of the evidence of discrimination presented by Providence was based on speculation rather than actual proof of Grant Road's discriminatory motives. Providence presented evidence attempting to show that a combination of events involving community pressure, politics, and lack of questioning proved Grant Road discriminated. Providence highlights that Grant Road's discriminatory motives were displayed when the Grant Road Board only primarily asked about the population of psychiatric patients intended to be treated at the facility when evaluating whether to approve annexation. Testimony from Grant Road's attorney also revealed that he speculated [**21]  to Dr. Valdes that reasons for the Grant Road Board's annexation denial could be attributed to the negative perception a mental health facility created for the community. Providence presented evidence that a local real estate developer contacted the Grant Road Board and allegedly later spread negative information about a mental health facility being present in the community. Grant Road's attorney further speculated that the annexation decision might have been swayed by politics within the Grant Road Board positioning for a favorable bond election vote in November 2014. All of the reasons provided by Providence, however, only speculatively point to possible discriminatory motives.</w:t>
      </w:r>
    </w:p>
    <w:p w:rsidR="00E456CD" w:rsidRDefault="00000000">
      <w:pPr>
        <w:pStyle w:val="Normal15"/>
        <w:widowControl w:val="0"/>
        <w:spacing w:before="200" w:line="260" w:lineRule="atLeast"/>
        <w:jc w:val="both"/>
      </w:pPr>
      <w:bookmarkStart w:id="2923" w:name="Bookmark_para_37_5"/>
      <w:bookmarkStart w:id="2924" w:name="Bookmark_I70B55BPVRD0003GHN50001P"/>
      <w:bookmarkStart w:id="2925" w:name="Bookmark_I5T9WS1P2HM69V0040000400"/>
      <w:bookmarkEnd w:id="2923"/>
      <w:bookmarkEnd w:id="2924"/>
      <w:bookmarkEnd w:id="2925"/>
      <w:r>
        <w:rPr>
          <w:rFonts w:ascii="Arial" w:eastAsia="Arial" w:hAnsi="Arial" w:cs="Arial"/>
          <w:color w:val="000000"/>
          <w:sz w:val="20"/>
        </w:rPr>
        <w:t xml:space="preserve">During the bench trial, Providence presented its theory for why there was discrimination by Grant Road, and alternatively Grant Road presented its theory for why the annexation request was denied. Considering the evidence presented by Providence and Grant Road, the district court then made findings of fact and concluded that Providence failed to carry its burden to prove its discrimination claims. Simply put, the district court gave Providence every opportunity to make its case and Providence failed to do so. [**22]  </w:t>
      </w:r>
      <w:bookmarkStart w:id="2926" w:name="Bookmark_LNHNREFclscc5_11"/>
      <w:bookmarkEnd w:id="2926"/>
      <w:r>
        <w:rPr>
          <w:rFonts w:ascii="Arial" w:eastAsia="Arial" w:hAnsi="Arial" w:cs="Arial"/>
          <w:color w:val="000000"/>
          <w:sz w:val="20"/>
        </w:rPr>
        <w:t xml:space="preserve">"[W]hen a trial judge's finding is based on his decision to credit the testimony of one of two or more witnesses, each of whom has told a coherent and facially plausible story that is not contradicted by extrinsic evidence, that finding, if not internally inconsistent, can virtually never be clear error." </w:t>
      </w:r>
      <w:bookmarkStart w:id="2927" w:name="Bookmark_I5T9WS1P2HM69V0030000400"/>
      <w:bookmarkEnd w:id="2927"/>
      <w:r>
        <w:rPr>
          <w:rFonts w:ascii="Arial" w:eastAsia="Arial" w:hAnsi="Arial" w:cs="Arial"/>
          <w:i/>
          <w:color w:val="000000"/>
          <w:sz w:val="20"/>
        </w:rPr>
        <w:t>Anderson</w:t>
      </w:r>
      <w:r>
        <w:rPr>
          <w:rFonts w:ascii="Arial" w:eastAsia="Arial" w:hAnsi="Arial" w:cs="Arial"/>
          <w:color w:val="000000"/>
          <w:sz w:val="20"/>
        </w:rPr>
        <w:t xml:space="preserve">, 470 U.S. at 575; </w:t>
      </w:r>
      <w:r>
        <w:rPr>
          <w:rFonts w:ascii="Arial" w:eastAsia="Arial" w:hAnsi="Arial" w:cs="Arial"/>
          <w:i/>
          <w:color w:val="000000"/>
          <w:sz w:val="20"/>
        </w:rPr>
        <w:t xml:space="preserve">see also </w:t>
      </w:r>
      <w:bookmarkStart w:id="2928" w:name="Bookmark_I5T9WS1P2HM69V0050000400"/>
      <w:bookmarkEnd w:id="2928"/>
      <w:r>
        <w:rPr>
          <w:rFonts w:ascii="Arial" w:eastAsia="Arial" w:hAnsi="Arial" w:cs="Arial"/>
          <w:i/>
          <w:color w:val="000000"/>
          <w:sz w:val="20"/>
        </w:rPr>
        <w:t>Thomas</w:t>
      </w:r>
      <w:r>
        <w:rPr>
          <w:rFonts w:ascii="Arial" w:eastAsia="Arial" w:hAnsi="Arial" w:cs="Arial"/>
          <w:color w:val="000000"/>
          <w:sz w:val="20"/>
        </w:rPr>
        <w:t>, 542 Fed. Appx. at 320 ("[T]he reviewing court must give due regard to the trial court's opportunity to judge the witnesses' credibility . . . for  [*459]  only the trial judge can be aware of the variations in demeanor and tone of voice that bear so heavily on the listener's understanding of and belief in what is said."). Thus, the district court did not commit reversible error when dismissing Providence's intentional discrimination claims under the ADA, FHA, and TFHA.</w:t>
      </w:r>
    </w:p>
    <w:p w:rsidR="00E456CD" w:rsidRDefault="00000000">
      <w:pPr>
        <w:pStyle w:val="Normal15"/>
        <w:widowControl w:val="0"/>
        <w:spacing w:before="240" w:line="260" w:lineRule="atLeast"/>
      </w:pPr>
      <w:r>
        <w:br/>
      </w:r>
      <w:r>
        <w:rPr>
          <w:rFonts w:ascii="Arial" w:eastAsia="Arial" w:hAnsi="Arial" w:cs="Arial"/>
          <w:b/>
          <w:color w:val="000000"/>
          <w:sz w:val="20"/>
        </w:rPr>
        <w:t>d. Providence's Reasonable Accommodation Claims</w:t>
      </w:r>
    </w:p>
    <w:p w:rsidR="00E456CD" w:rsidRDefault="00000000">
      <w:pPr>
        <w:pStyle w:val="Normal15"/>
        <w:widowControl w:val="0"/>
        <w:spacing w:before="200" w:line="260" w:lineRule="atLeast"/>
        <w:jc w:val="both"/>
      </w:pPr>
      <w:bookmarkStart w:id="2929" w:name="Bookmark_para_38_5"/>
      <w:bookmarkEnd w:id="2929"/>
      <w:r>
        <w:rPr>
          <w:rFonts w:ascii="Arial" w:eastAsia="Arial" w:hAnsi="Arial" w:cs="Arial"/>
          <w:color w:val="000000"/>
          <w:sz w:val="20"/>
        </w:rPr>
        <w:t>Providence lodges the claim that Grant Road failed to provide a reasonable accommodation to Providence and its potential patients because the facility was denied access to water, drainage, and septic services. Providence asserts that even though access to utilities did not negate the disabilities of the potential patients that Providence planned to treat at the facility, the access to sewage [**23]  and water constituted a reasonable accommodation for individuals who had mental illness to have access to the local community.</w:t>
      </w:r>
    </w:p>
    <w:p w:rsidR="00E456CD" w:rsidRDefault="00000000">
      <w:pPr>
        <w:pStyle w:val="Normal15"/>
        <w:widowControl w:val="0"/>
        <w:spacing w:before="200" w:line="260" w:lineRule="atLeast"/>
        <w:jc w:val="both"/>
      </w:pPr>
      <w:bookmarkStart w:id="2930" w:name="Bookmark_para_39_5"/>
      <w:bookmarkStart w:id="2931" w:name="Bookmark_I70B55BR4CP0003GHN50001R"/>
      <w:bookmarkStart w:id="2932" w:name="Bookmark_I5T9WS1P2SF8B00030000400"/>
      <w:bookmarkStart w:id="2933" w:name="Bookmark_LNHNREFclscc6_11"/>
      <w:bookmarkEnd w:id="2930"/>
      <w:bookmarkEnd w:id="2931"/>
      <w:bookmarkEnd w:id="2932"/>
      <w:bookmarkEnd w:id="2933"/>
      <w:r>
        <w:rPr>
          <w:rFonts w:ascii="Arial" w:eastAsia="Arial" w:hAnsi="Arial" w:cs="Arial"/>
          <w:color w:val="000000"/>
          <w:sz w:val="20"/>
        </w:rPr>
        <w:t xml:space="preserve">To prove its reasonable accommodation claims under the ADA, Providence was required to show by a preponderance of the evidence that: "(1) [Providence's potential patients are] qualified individual[s] with a disability; (2) the disability and its consequential limitations were known by [Grant Road]; and (3) [Grant Road] failed to make reasonable accommodations for such known limitations." </w:t>
      </w:r>
      <w:r>
        <w:rPr>
          <w:rFonts w:ascii="Arial" w:eastAsia="Arial" w:hAnsi="Arial" w:cs="Arial"/>
          <w:i/>
          <w:color w:val="000000"/>
          <w:sz w:val="20"/>
        </w:rPr>
        <w:t xml:space="preserve">See </w:t>
      </w:r>
      <w:bookmarkStart w:id="2934" w:name="Bookmark_I5T9WS1P2SF8B00020000400"/>
      <w:bookmarkEnd w:id="2934"/>
      <w:r>
        <w:rPr>
          <w:rFonts w:ascii="Arial" w:eastAsia="Arial" w:hAnsi="Arial" w:cs="Arial"/>
          <w:i/>
          <w:color w:val="000000"/>
          <w:sz w:val="20"/>
        </w:rPr>
        <w:t>Jin Choi v. Univ. of Tex. Health Sci. Ctr. of San Antonio</w:t>
      </w:r>
      <w:r>
        <w:rPr>
          <w:rFonts w:ascii="Arial" w:eastAsia="Arial" w:hAnsi="Arial" w:cs="Arial"/>
          <w:color w:val="000000"/>
          <w:sz w:val="20"/>
        </w:rPr>
        <w:t xml:space="preserve">, 633 F. App'x 214, 215 (5th Cir. 2015) (per curiam) (unpublished) (citing </w:t>
      </w:r>
      <w:bookmarkStart w:id="2935" w:name="Bookmark_I5T9WS1P2SF8B00040000400"/>
      <w:bookmarkEnd w:id="2935"/>
      <w:r>
        <w:rPr>
          <w:rFonts w:ascii="Arial" w:eastAsia="Arial" w:hAnsi="Arial" w:cs="Arial"/>
          <w:i/>
          <w:color w:val="000000"/>
          <w:sz w:val="20"/>
        </w:rPr>
        <w:t>Neely v. PSEG Tex., Ltd. P'ship</w:t>
      </w:r>
      <w:r>
        <w:rPr>
          <w:rFonts w:ascii="Arial" w:eastAsia="Arial" w:hAnsi="Arial" w:cs="Arial"/>
          <w:color w:val="000000"/>
          <w:sz w:val="20"/>
        </w:rPr>
        <w:t xml:space="preserve">, 735 F.3d 242, 247 (5th Cir. 2013)); </w:t>
      </w:r>
      <w:r>
        <w:rPr>
          <w:rFonts w:ascii="Arial" w:eastAsia="Arial" w:hAnsi="Arial" w:cs="Arial"/>
          <w:i/>
          <w:color w:val="000000"/>
          <w:sz w:val="20"/>
        </w:rPr>
        <w:t>see also</w:t>
      </w:r>
      <w:r>
        <w:rPr>
          <w:rFonts w:ascii="Arial" w:eastAsia="Arial" w:hAnsi="Arial" w:cs="Arial"/>
          <w:color w:val="000000"/>
          <w:sz w:val="20"/>
        </w:rPr>
        <w:t xml:space="preserve"> 42 U.S.C. § 12131(2). Under the FHA, a public entity engages in a discriminatory practice if it refuses to make a "reasonable accommodation" to "rules, policies, practices or services when such accommodation may be necessary to afford [a disabled person] equal opportunity to use and enjoy a dwelling." 42 U.S.C. § 3604(f)(3)(B). Reasonable accommodation claims under the FHA and ADA both require that a reasonable accommodation be provided to the plaintiffs if necessary to allow the plaintiffs to have usage and enjoyment in a facility equivalent to individuals who are not disabled.</w:t>
      </w:r>
    </w:p>
    <w:p w:rsidR="00E456CD" w:rsidRDefault="00000000">
      <w:pPr>
        <w:pStyle w:val="Normal15"/>
        <w:widowControl w:val="0"/>
        <w:spacing w:before="200" w:line="260" w:lineRule="atLeast"/>
        <w:jc w:val="both"/>
      </w:pPr>
      <w:bookmarkStart w:id="2936" w:name="Bookmark_para_40_4"/>
      <w:bookmarkEnd w:id="2936"/>
      <w:r>
        <w:rPr>
          <w:rFonts w:ascii="Arial" w:eastAsia="Arial" w:hAnsi="Arial" w:cs="Arial"/>
          <w:color w:val="000000"/>
          <w:sz w:val="20"/>
        </w:rPr>
        <w:t xml:space="preserve">Here, providing water, drainage, and septic services has no relation to accommodating the expected [**24]  disabilities of the patients planned to be treated at the Providence Health facility. Contrary to Providence's argument that the district court neglected to address the reasonable accommodation issues, the district court found "[i]rrespective of whether the [Providence Health facility] was to be developed into a psychiatric hospital, an office building, or a condo development, it would need water and wastewater services . . . The need for water and wastewater is not unique to the fact that the [Providence Health facility] will be a psychiatric facility." Importantly, the failure to provide sewage and water services to the Providence Health facility did not create a situation where disabled individuals had an unequal ability to use and enjoy the facility compared to individuals who do not have a disability. </w:t>
      </w:r>
      <w:r>
        <w:rPr>
          <w:rFonts w:ascii="Arial" w:eastAsia="Arial" w:hAnsi="Arial" w:cs="Arial"/>
          <w:i/>
          <w:color w:val="000000"/>
          <w:sz w:val="20"/>
        </w:rPr>
        <w:t>See</w:t>
      </w:r>
      <w:r>
        <w:rPr>
          <w:rFonts w:ascii="Arial" w:eastAsia="Arial" w:hAnsi="Arial" w:cs="Arial"/>
          <w:color w:val="000000"/>
          <w:sz w:val="20"/>
        </w:rPr>
        <w:t xml:space="preserve"> 42 U.S.C. § 3604(f)(3)(B); 42 U.S.C. § 12131(2).</w:t>
      </w:r>
    </w:p>
    <w:p w:rsidR="00E456CD" w:rsidRDefault="00000000">
      <w:pPr>
        <w:pStyle w:val="Normal15"/>
        <w:widowControl w:val="0"/>
        <w:spacing w:before="200" w:line="260" w:lineRule="atLeast"/>
        <w:jc w:val="both"/>
      </w:pPr>
      <w:bookmarkStart w:id="2937" w:name="Bookmark_para_41_4"/>
      <w:bookmarkEnd w:id="2937"/>
      <w:r>
        <w:rPr>
          <w:rFonts w:ascii="Arial" w:eastAsia="Arial" w:hAnsi="Arial" w:cs="Arial"/>
          <w:color w:val="000000"/>
          <w:sz w:val="20"/>
        </w:rPr>
        <w:t xml:space="preserve">Moreover, Providence's theory that Grant Road failed to make reasonable accommodations under the ADA and FHA for the facility is unsupported. </w:t>
      </w:r>
      <w:bookmarkStart w:id="2938" w:name="Bookmark_I5T9WS1P2D6N6R0020000400"/>
      <w:bookmarkEnd w:id="2938"/>
      <w:r>
        <w:rPr>
          <w:rFonts w:ascii="Arial" w:eastAsia="Arial" w:hAnsi="Arial" w:cs="Arial"/>
          <w:color w:val="000000"/>
          <w:sz w:val="20"/>
        </w:rPr>
        <w:t xml:space="preserve">Providence does not cite to a case from this circuit or any other circuit which supports that the denial of utilities for a facility intended to serve disabled individuals amounts to a reasonable accommodation claim. Accordingly, the [**25]  district court did not err when it dismissed the reasonable accommodation claims raised by Providence. </w:t>
      </w:r>
      <w:r>
        <w:rPr>
          <w:rFonts w:ascii="Arial" w:eastAsia="Arial" w:hAnsi="Arial" w:cs="Arial"/>
          <w:i/>
          <w:color w:val="000000"/>
          <w:sz w:val="20"/>
        </w:rPr>
        <w:t xml:space="preserve">See, e.g., </w:t>
      </w:r>
      <w:bookmarkStart w:id="2939" w:name="Bookmark_I5T9WS1P2D6N6R0010000400"/>
      <w:bookmarkEnd w:id="2939"/>
      <w:r>
        <w:rPr>
          <w:rFonts w:ascii="Arial" w:eastAsia="Arial" w:hAnsi="Arial" w:cs="Arial"/>
          <w:i/>
          <w:color w:val="000000"/>
          <w:sz w:val="20"/>
        </w:rPr>
        <w:t>Good Shepherd Manor Found., Inc. v. City of Momence</w:t>
      </w:r>
      <w:r>
        <w:rPr>
          <w:rFonts w:ascii="Arial" w:eastAsia="Arial" w:hAnsi="Arial" w:cs="Arial"/>
          <w:color w:val="000000"/>
          <w:sz w:val="20"/>
        </w:rPr>
        <w:t>, 323 F.3d 557, 562 (7th Cir. 2003) ("The whole purpose behind the FHA[] and ADA reasonable accommodation provisions is to prohibit local governments  [*460]  from applying land use regulations in a manner that will . . . give disabled people less opportunity to live in certain neighborhoods than people without disabilities . . . . Cutting off water prevents anyone from living in a dwelling, not just handicapped people, and therefore the prohibitions found in the FHA[] and the ADA do not apply to this case.") (quotation marks and citation omitted).</w:t>
      </w:r>
    </w:p>
    <w:p w:rsidR="00E456CD" w:rsidRDefault="00000000">
      <w:pPr>
        <w:pStyle w:val="Normal15"/>
        <w:widowControl w:val="0"/>
        <w:spacing w:before="240" w:line="260" w:lineRule="atLeast"/>
      </w:pPr>
      <w:r>
        <w:br/>
      </w:r>
      <w:r>
        <w:rPr>
          <w:rFonts w:ascii="Arial" w:eastAsia="Arial" w:hAnsi="Arial" w:cs="Arial"/>
          <w:b/>
          <w:color w:val="000000"/>
          <w:sz w:val="20"/>
        </w:rPr>
        <w:t>e. Grant Road's Cross Appeal for Attorneys' Fees</w:t>
      </w:r>
    </w:p>
    <w:p w:rsidR="00E456CD" w:rsidRDefault="00000000">
      <w:pPr>
        <w:pStyle w:val="Normal15"/>
        <w:widowControl w:val="0"/>
        <w:spacing w:before="200" w:line="260" w:lineRule="atLeast"/>
        <w:jc w:val="both"/>
      </w:pPr>
      <w:bookmarkStart w:id="2940" w:name="Bookmark_para_42_3"/>
      <w:bookmarkStart w:id="2941" w:name="Bookmark_I70B55BRD200003GHN50001S"/>
      <w:bookmarkStart w:id="2942" w:name="Bookmark_I5T9WS1P2D6N6R0040000400"/>
      <w:bookmarkStart w:id="2943" w:name="Bookmark_I5T9WS1P28T41C0030000400"/>
      <w:bookmarkStart w:id="2944" w:name="Bookmark_LNHNREFclscc7_11"/>
      <w:bookmarkEnd w:id="2940"/>
      <w:bookmarkEnd w:id="2941"/>
      <w:bookmarkEnd w:id="2942"/>
      <w:bookmarkEnd w:id="2943"/>
      <w:bookmarkEnd w:id="2944"/>
      <w:r>
        <w:rPr>
          <w:rFonts w:ascii="Arial" w:eastAsia="Arial" w:hAnsi="Arial" w:cs="Arial"/>
          <w:color w:val="000000"/>
          <w:sz w:val="20"/>
        </w:rPr>
        <w:t xml:space="preserve">The ADA and FHA authorize the court in its discretion to award attorneys' fees to a "prevailing party." </w:t>
      </w:r>
      <w:r>
        <w:rPr>
          <w:rFonts w:ascii="Arial" w:eastAsia="Arial" w:hAnsi="Arial" w:cs="Arial"/>
          <w:i/>
          <w:color w:val="000000"/>
          <w:sz w:val="20"/>
        </w:rPr>
        <w:t>See</w:t>
      </w:r>
      <w:r>
        <w:rPr>
          <w:rFonts w:ascii="Arial" w:eastAsia="Arial" w:hAnsi="Arial" w:cs="Arial"/>
          <w:color w:val="000000"/>
          <w:sz w:val="20"/>
        </w:rPr>
        <w:t xml:space="preserve"> 42 U.S.C. § 12205 ("[T]he court . . . in its discretion, may allow the prevailing party . . . a reasonable attorney's fee, including litigation expenses, and costs."); 42 U.S.C. § 3613(c) ("[T]he court, in its discretion, may allow the prevailing party . . . a reasonable attorney's fee and costs."). In </w:t>
      </w:r>
      <w:bookmarkStart w:id="2945" w:name="Bookmark_I5T9WS1P2D6N6R0030000400"/>
      <w:bookmarkEnd w:id="2945"/>
      <w:r>
        <w:rPr>
          <w:rFonts w:ascii="Arial" w:eastAsia="Arial" w:hAnsi="Arial" w:cs="Arial"/>
          <w:i/>
          <w:color w:val="000000"/>
          <w:sz w:val="20"/>
        </w:rPr>
        <w:t>Christiansburg Garment Co. v. Equal Employment Opportunity Commission</w:t>
      </w:r>
      <w:r>
        <w:rPr>
          <w:rFonts w:ascii="Arial" w:eastAsia="Arial" w:hAnsi="Arial" w:cs="Arial"/>
          <w:color w:val="000000"/>
          <w:sz w:val="20"/>
        </w:rPr>
        <w:t xml:space="preserve">, the Supreme Court established that a prevailing defendant may not receive attorneys' [**26]  fees "unless a court finds that [the plaintiff's] claim was frivolous, unreasonable, or groundless, or that the plaintiff continued to litigate after it clearly became so." </w:t>
      </w:r>
      <w:bookmarkStart w:id="2946" w:name="Bookmark_I5T9WS1P2D6N6R0050000400"/>
      <w:bookmarkEnd w:id="2946"/>
      <w:r>
        <w:rPr>
          <w:rFonts w:ascii="Arial" w:eastAsia="Arial" w:hAnsi="Arial" w:cs="Arial"/>
          <w:color w:val="000000"/>
          <w:sz w:val="20"/>
        </w:rPr>
        <w:t xml:space="preserve">434 U.S. 412, 422, 98 S. Ct. 694, 54 L. Ed. 2d 648 (1978). "In contrast to prevailing plaintiffs in civil rights actions, who should ordinarily recover an attorney's fee unless special circumstances would render such an award unjust . . . prevailing defendants </w:t>
      </w:r>
      <w:r>
        <w:rPr>
          <w:rFonts w:ascii="Arial" w:eastAsia="Arial" w:hAnsi="Arial" w:cs="Arial"/>
          <w:i/>
          <w:color w:val="000000"/>
          <w:sz w:val="20"/>
        </w:rPr>
        <w:t>may</w:t>
      </w:r>
      <w:r>
        <w:rPr>
          <w:rFonts w:ascii="Arial" w:eastAsia="Arial" w:hAnsi="Arial" w:cs="Arial"/>
          <w:color w:val="000000"/>
          <w:sz w:val="20"/>
        </w:rPr>
        <w:t xml:space="preserve"> receive fees." </w:t>
      </w:r>
      <w:bookmarkStart w:id="2947" w:name="Bookmark_I5T9WS1P28T41C0020000400"/>
      <w:bookmarkEnd w:id="2947"/>
      <w:r>
        <w:rPr>
          <w:rFonts w:ascii="Arial" w:eastAsia="Arial" w:hAnsi="Arial" w:cs="Arial"/>
          <w:i/>
          <w:color w:val="000000"/>
          <w:sz w:val="20"/>
        </w:rPr>
        <w:t>Vitale v. Ga. Gulf Corp.</w:t>
      </w:r>
      <w:r>
        <w:rPr>
          <w:rFonts w:ascii="Arial" w:eastAsia="Arial" w:hAnsi="Arial" w:cs="Arial"/>
          <w:color w:val="000000"/>
          <w:sz w:val="20"/>
        </w:rPr>
        <w:t xml:space="preserve">, 82 F. App'x 873, 876 (5th Cir. 2003) (emphasis in original) (quotation marks and citation omitted) (unpublished) (citing </w:t>
      </w:r>
      <w:bookmarkStart w:id="2948" w:name="Bookmark_I5T9WS1P28T41C0040000400"/>
      <w:bookmarkEnd w:id="2948"/>
      <w:r>
        <w:rPr>
          <w:rFonts w:ascii="Arial" w:eastAsia="Arial" w:hAnsi="Arial" w:cs="Arial"/>
          <w:i/>
          <w:color w:val="000000"/>
          <w:sz w:val="20"/>
        </w:rPr>
        <w:t>Christiansburg Garment Co.</w:t>
      </w:r>
      <w:r>
        <w:rPr>
          <w:rFonts w:ascii="Arial" w:eastAsia="Arial" w:hAnsi="Arial" w:cs="Arial"/>
          <w:color w:val="000000"/>
          <w:sz w:val="20"/>
        </w:rPr>
        <w:t>, 434 U.S. at 422).</w:t>
      </w:r>
    </w:p>
    <w:p w:rsidR="00E456CD" w:rsidRDefault="00000000">
      <w:pPr>
        <w:pStyle w:val="Normal15"/>
        <w:widowControl w:val="0"/>
        <w:spacing w:before="200" w:line="260" w:lineRule="atLeast"/>
        <w:jc w:val="both"/>
      </w:pPr>
      <w:bookmarkStart w:id="2949" w:name="Bookmark_para_43_2"/>
      <w:bookmarkStart w:id="2950" w:name="Bookmark_I5T9WS1P2HM69W0020000400"/>
      <w:bookmarkEnd w:id="2949"/>
      <w:bookmarkEnd w:id="2950"/>
      <w:r>
        <w:rPr>
          <w:rFonts w:ascii="Arial" w:eastAsia="Arial" w:hAnsi="Arial" w:cs="Arial"/>
          <w:color w:val="000000"/>
          <w:sz w:val="20"/>
        </w:rPr>
        <w:t xml:space="preserve">Grant Road argues that because it was clear throughout the litigation that Providence had not suffered irreparable harm, the district court erred by not finding Providence's claims to be "frivolous, unreasonable, or groundless, or that [Providence] continued to litigate the case after it clearly became so." </w:t>
      </w:r>
      <w:r>
        <w:rPr>
          <w:rFonts w:ascii="Arial" w:eastAsia="Arial" w:hAnsi="Arial" w:cs="Arial"/>
          <w:i/>
          <w:color w:val="000000"/>
          <w:sz w:val="20"/>
        </w:rPr>
        <w:t xml:space="preserve">See </w:t>
      </w:r>
      <w:bookmarkStart w:id="2951" w:name="Bookmark_I5T9WS1P2HM69W0010000400"/>
      <w:bookmarkEnd w:id="2951"/>
      <w:r>
        <w:rPr>
          <w:rFonts w:ascii="Arial" w:eastAsia="Arial" w:hAnsi="Arial" w:cs="Arial"/>
          <w:i/>
          <w:color w:val="000000"/>
          <w:sz w:val="20"/>
        </w:rPr>
        <w:t>Christiansburg Garment Co.</w:t>
      </w:r>
      <w:r>
        <w:rPr>
          <w:rFonts w:ascii="Arial" w:eastAsia="Arial" w:hAnsi="Arial" w:cs="Arial"/>
          <w:color w:val="000000"/>
          <w:sz w:val="20"/>
        </w:rPr>
        <w:t>, 434 U.S. at 422. Grant Road additionally asserts that it never actually moved for attorneys' fees as required by Federal Rule of Civil Procedure 54(d)(2) because the district court never found Grant Road to be a "prevailing party" under the FHA and ADA. Grant Road's arguments for attorneys' fees are unavailing. Even if Grant Road was correct in asserting that the district court erred by failing to find Grant Road to be a "prevailing party," Providence's lawsuit [**27]  against Grant Road is not frivolous, unreasonable, or groundless.</w:t>
      </w:r>
    </w:p>
    <w:p w:rsidR="00E456CD" w:rsidRDefault="00000000">
      <w:pPr>
        <w:pStyle w:val="Normal15"/>
        <w:widowControl w:val="0"/>
        <w:spacing w:before="200" w:line="260" w:lineRule="atLeast"/>
        <w:jc w:val="both"/>
      </w:pPr>
      <w:bookmarkStart w:id="2952" w:name="Bookmark_para_44_2"/>
      <w:bookmarkStart w:id="2953" w:name="Bookmark_I5T9WS1P2HM69W0040000400"/>
      <w:bookmarkEnd w:id="2952"/>
      <w:bookmarkEnd w:id="2953"/>
      <w:r>
        <w:rPr>
          <w:rFonts w:ascii="Arial" w:eastAsia="Arial" w:hAnsi="Arial" w:cs="Arial"/>
          <w:color w:val="000000"/>
          <w:sz w:val="20"/>
        </w:rPr>
        <w:t xml:space="preserve">"Here, the district court issued its final ruling only after a contested bench trial where both parties presented a case—a fact that weighs against a finding of frivolousness." </w:t>
      </w:r>
      <w:bookmarkStart w:id="2954" w:name="Bookmark_I5T9WS1P2HM69W0030000400"/>
      <w:bookmarkEnd w:id="2954"/>
      <w:r>
        <w:rPr>
          <w:rFonts w:ascii="Arial" w:eastAsia="Arial" w:hAnsi="Arial" w:cs="Arial"/>
          <w:i/>
          <w:color w:val="000000"/>
          <w:sz w:val="20"/>
        </w:rPr>
        <w:t>Braud v. Spell</w:t>
      </w:r>
      <w:r>
        <w:rPr>
          <w:rFonts w:ascii="Arial" w:eastAsia="Arial" w:hAnsi="Arial" w:cs="Arial"/>
          <w:color w:val="000000"/>
          <w:sz w:val="20"/>
        </w:rPr>
        <w:t xml:space="preserve">, 667 F. App'x 443, 444 (5th Cir. 2016) (per curiam) (unpublished). </w:t>
      </w:r>
      <w:bookmarkStart w:id="2955" w:name="Bookmark_I5T9WS1P2D6N6S0010000400"/>
      <w:bookmarkEnd w:id="2955"/>
      <w:r>
        <w:rPr>
          <w:rFonts w:ascii="Arial" w:eastAsia="Arial" w:hAnsi="Arial" w:cs="Arial"/>
          <w:color w:val="000000"/>
          <w:sz w:val="20"/>
        </w:rPr>
        <w:t xml:space="preserve">First, the district court had a preliminary injunction hearing where the district court addressed the necessary elements for Providence to receive injunctive relief, including whether Providence would suffer irreparable harm if the injunction were to be denied. Later at the bench trial, the parties continued to debate whether Providence acquiring a well and septic system permit from the Harris County Engineering Department or a permit from the Texas Commission on Environmental Quality for a package plant at the Providence Health facility was a viable form of alternative relief. </w:t>
      </w:r>
      <w:bookmarkStart w:id="2956" w:name="Bookmark_I5T9WS1P2D6N6S0010000400_2"/>
      <w:bookmarkEnd w:id="2956"/>
      <w:r>
        <w:rPr>
          <w:rFonts w:ascii="Arial" w:eastAsia="Arial" w:hAnsi="Arial" w:cs="Arial"/>
          <w:color w:val="000000"/>
          <w:sz w:val="20"/>
        </w:rPr>
        <w:t xml:space="preserve">Thus, the district court did not abuse its discretion when it declined to hold that Grant Road was entitled to attorneys' fees. </w:t>
      </w:r>
      <w:r>
        <w:rPr>
          <w:rFonts w:ascii="Arial" w:eastAsia="Arial" w:hAnsi="Arial" w:cs="Arial"/>
          <w:i/>
          <w:color w:val="000000"/>
          <w:sz w:val="20"/>
        </w:rPr>
        <w:t xml:space="preserve">See </w:t>
      </w:r>
      <w:bookmarkStart w:id="2957" w:name="Bookmark_I5T9WS1P2HM69W0050000400"/>
      <w:bookmarkEnd w:id="2957"/>
      <w:r>
        <w:rPr>
          <w:rFonts w:ascii="Arial" w:eastAsia="Arial" w:hAnsi="Arial" w:cs="Arial"/>
          <w:i/>
          <w:color w:val="000000"/>
          <w:sz w:val="20"/>
        </w:rPr>
        <w:t>Vitale</w:t>
      </w:r>
      <w:r>
        <w:rPr>
          <w:rFonts w:ascii="Arial" w:eastAsia="Arial" w:hAnsi="Arial" w:cs="Arial"/>
          <w:color w:val="000000"/>
          <w:sz w:val="20"/>
        </w:rPr>
        <w:t>, 82 F. App'x at 876 (holding the district court did not abuse its "sound discretion" in denying the prevailing defendant attorneys' fees that the defendant sought in connection with the district court's grant of its motion for judgment [**28]  as a matter of law dismissing the plaintiff's ADA claims).</w:t>
      </w:r>
    </w:p>
    <w:p w:rsidR="00E456CD" w:rsidRDefault="00000000">
      <w:pPr>
        <w:pStyle w:val="Normal15"/>
        <w:widowControl w:val="0"/>
        <w:spacing w:before="240" w:line="260" w:lineRule="atLeast"/>
      </w:pPr>
      <w:r>
        <w:br/>
      </w:r>
      <w:r>
        <w:rPr>
          <w:rFonts w:ascii="Arial" w:eastAsia="Arial" w:hAnsi="Arial" w:cs="Arial"/>
          <w:color w:val="000000"/>
          <w:sz w:val="20"/>
        </w:rPr>
        <w:t xml:space="preserve"> [*461]  </w:t>
      </w:r>
      <w:r>
        <w:rPr>
          <w:rFonts w:ascii="Arial" w:eastAsia="Arial" w:hAnsi="Arial" w:cs="Arial"/>
          <w:b/>
          <w:color w:val="000000"/>
          <w:sz w:val="20"/>
        </w:rPr>
        <w:t>III. CONCLUSION</w:t>
      </w:r>
    </w:p>
    <w:p w:rsidR="00E456CD" w:rsidRDefault="00000000">
      <w:pPr>
        <w:pStyle w:val="Normal15"/>
        <w:widowControl w:val="0"/>
        <w:spacing w:before="200" w:line="260" w:lineRule="atLeast"/>
        <w:jc w:val="both"/>
      </w:pPr>
      <w:bookmarkStart w:id="2958" w:name="Bookmark_para_45_2"/>
      <w:bookmarkEnd w:id="2958"/>
      <w:r>
        <w:rPr>
          <w:rFonts w:ascii="Arial" w:eastAsia="Arial" w:hAnsi="Arial" w:cs="Arial"/>
          <w:color w:val="000000"/>
          <w:sz w:val="20"/>
        </w:rPr>
        <w:t>For the foregoing reasons, we AFFIRM the district court's judgment dismissing Providence's claims and denying Grant Road attorneys' fees.</w:t>
      </w:r>
    </w:p>
    <w:p w:rsidR="00E456CD" w:rsidRDefault="00E456CD">
      <w:pPr>
        <w:pStyle w:val="Normal15"/>
      </w:pPr>
    </w:p>
    <w:p w:rsidR="00E456CD" w:rsidRDefault="00000000">
      <w:pPr>
        <w:pStyle w:val="Normal15"/>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9305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048557533"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40A1E" id="Line 3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6"/>
        <w:sectPr w:rsidR="00E456CD">
          <w:headerReference w:type="even" r:id="rId102"/>
          <w:headerReference w:type="default" r:id="rId103"/>
          <w:footerReference w:type="even" r:id="rId104"/>
          <w:footerReference w:type="default" r:id="rId105"/>
          <w:headerReference w:type="first" r:id="rId106"/>
          <w:footerReference w:type="first" r:id="rId107"/>
          <w:pgSz w:w="12240" w:h="15840"/>
          <w:pgMar w:top="840" w:right="1000" w:bottom="840" w:left="1000" w:header="400" w:footer="400" w:gutter="0"/>
          <w:cols w:space="720"/>
          <w:titlePg/>
        </w:sectPr>
      </w:pPr>
    </w:p>
    <w:p w:rsidR="00E456CD" w:rsidRDefault="00E456CD">
      <w:pPr>
        <w:pStyle w:val="Normal16"/>
      </w:pPr>
    </w:p>
    <w:p w:rsidR="00E456CD" w:rsidRDefault="00000000">
      <w:pPr>
        <w:pStyle w:val="Heading115"/>
        <w:keepNext w:val="0"/>
        <w:widowControl w:val="0"/>
        <w:spacing w:after="200" w:line="340" w:lineRule="atLeast"/>
        <w:jc w:val="center"/>
      </w:pPr>
      <w:r>
        <w:rPr>
          <w:rFonts w:eastAsia="Arial"/>
          <w:color w:val="000000"/>
          <w:sz w:val="28"/>
        </w:rPr>
        <w:t>A.L. v. Walt Disney Parks &amp; Resorts US, Inc.</w:t>
      </w:r>
    </w:p>
    <w:p w:rsidR="00E456CD" w:rsidRDefault="00000000">
      <w:pPr>
        <w:pStyle w:val="Normal16"/>
        <w:widowControl w:val="0"/>
        <w:spacing w:before="120" w:line="260" w:lineRule="atLeast"/>
        <w:jc w:val="center"/>
      </w:pPr>
      <w:r>
        <w:rPr>
          <w:rFonts w:ascii="Arial" w:eastAsia="Arial" w:hAnsi="Arial" w:cs="Arial"/>
          <w:color w:val="000000"/>
          <w:sz w:val="20"/>
        </w:rPr>
        <w:t>United States Court of Appeals for the Eleventh Circuit</w:t>
      </w:r>
    </w:p>
    <w:p w:rsidR="00E456CD" w:rsidRDefault="00000000">
      <w:pPr>
        <w:pStyle w:val="Normal16"/>
        <w:widowControl w:val="0"/>
        <w:spacing w:before="120" w:line="260" w:lineRule="atLeast"/>
        <w:jc w:val="center"/>
      </w:pPr>
      <w:r>
        <w:rPr>
          <w:rFonts w:ascii="Arial" w:eastAsia="Arial" w:hAnsi="Arial" w:cs="Arial"/>
          <w:color w:val="000000"/>
          <w:sz w:val="20"/>
        </w:rPr>
        <w:t>August 17, 2018, Decided</w:t>
      </w:r>
    </w:p>
    <w:p w:rsidR="00E456CD" w:rsidRDefault="00000000">
      <w:pPr>
        <w:pStyle w:val="Normal16"/>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Nos. 16-12647, 17-10143, 17-10144, 17-10148 through 17-10154, 17-10193 through 17-10196, 17-10198, 17-10199, 17-10200, 17-10202, 17-10203, 17-10205 through 17-10209, 17-10212 through 17-10214, 17-10216 through 17-10218</w:t>
      </w:r>
    </w:p>
    <w:p w:rsidR="00E456CD" w:rsidRDefault="00E456CD">
      <w:pPr>
        <w:pStyle w:val="Normal16"/>
        <w:widowControl w:val="0"/>
        <w:spacing w:line="240" w:lineRule="atLeast"/>
        <w:jc w:val="both"/>
      </w:pPr>
      <w:bookmarkStart w:id="2959" w:name="Bookmark_17"/>
      <w:bookmarkEnd w:id="2959"/>
    </w:p>
    <w:p w:rsidR="00E456CD" w:rsidRDefault="00000000">
      <w:pPr>
        <w:pStyle w:val="Normal16"/>
        <w:widowControl w:val="0"/>
        <w:spacing w:before="200" w:line="240" w:lineRule="atLeast"/>
      </w:pPr>
      <w:bookmarkStart w:id="2960" w:name="Reporter_15"/>
      <w:bookmarkEnd w:id="2960"/>
      <w:r>
        <w:rPr>
          <w:rFonts w:ascii="Arial" w:eastAsia="Arial" w:hAnsi="Arial" w:cs="Arial"/>
          <w:b/>
          <w:color w:val="000000"/>
          <w:sz w:val="18"/>
        </w:rPr>
        <w:t>Reporter</w:t>
      </w:r>
    </w:p>
    <w:p w:rsidR="00E456CD" w:rsidRDefault="00000000">
      <w:pPr>
        <w:pStyle w:val="Normal16"/>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900 F.3d 1270 *; 2018 U.S. App. LEXIS 22990 **; 27 Fla. L. Weekly Fed. C 1192</w:t>
      </w:r>
    </w:p>
    <w:p w:rsidR="00E456CD" w:rsidRDefault="00000000">
      <w:pPr>
        <w:pStyle w:val="Normal16"/>
        <w:widowControl w:val="0"/>
        <w:spacing w:before="120" w:line="260" w:lineRule="atLeast"/>
      </w:pPr>
      <w:r>
        <w:rPr>
          <w:rFonts w:ascii="Arial" w:eastAsia="Arial" w:hAnsi="Arial" w:cs="Arial"/>
          <w:color w:val="000000"/>
          <w:sz w:val="20"/>
        </w:rPr>
        <w:t>A.L. by and through D.L., as Next Friend, Parent and Natural Guardian, S.J.K, by and through S.L.K. as Next Friend, Parent and Court-Appointed Guardian, et al., Plaintiffs-Appellants, versus WALT DISNEY PARKS AND RESORTS US, INC., Defendant-Appellee.</w:t>
      </w:r>
    </w:p>
    <w:p w:rsidR="00E456CD" w:rsidRDefault="00000000">
      <w:pPr>
        <w:pStyle w:val="Normal16"/>
        <w:widowControl w:val="0"/>
        <w:spacing w:before="240" w:line="260" w:lineRule="atLeast"/>
      </w:pPr>
      <w:bookmarkStart w:id="2961" w:name="Subsequent_History_4"/>
      <w:bookmarkEnd w:id="2961"/>
      <w:r>
        <w:rPr>
          <w:rFonts w:ascii="Arial" w:eastAsia="Arial" w:hAnsi="Arial" w:cs="Arial"/>
          <w:b/>
          <w:color w:val="000000"/>
          <w:sz w:val="20"/>
        </w:rPr>
        <w:t>Subsequent History:</w:t>
      </w:r>
      <w:r>
        <w:rPr>
          <w:rFonts w:ascii="Arial" w:eastAsia="Arial" w:hAnsi="Arial" w:cs="Arial"/>
          <w:color w:val="000000"/>
          <w:sz w:val="20"/>
        </w:rPr>
        <w:t> Rehearing denied by, Rehearing, en banc, denied by A.L. v. Walt Disney Parks &amp; Resorts US, Inc., 2018 U.S. App. LEXIS 32587 (11th Cir. Fla., Nov. 16, 2018)</w:t>
      </w:r>
    </w:p>
    <w:p w:rsidR="00E456CD" w:rsidRDefault="00000000">
      <w:pPr>
        <w:pStyle w:val="Normal16"/>
        <w:widowControl w:val="0"/>
        <w:spacing w:before="120" w:line="260" w:lineRule="atLeast"/>
      </w:pPr>
      <w:r>
        <w:rPr>
          <w:rFonts w:ascii="Arial" w:eastAsia="Arial" w:hAnsi="Arial" w:cs="Arial"/>
          <w:color w:val="000000"/>
          <w:sz w:val="20"/>
        </w:rPr>
        <w:t>On remand at, Findings of fact/conclusions of law at, Judgment entered by A.L. v. Walt Disney Parks &amp; Resorts US, Inc., 2020 U.S. Dist. LEXIS 109205 (M.D. Fla., June 22, 2020)</w:t>
      </w:r>
    </w:p>
    <w:p w:rsidR="00E456CD" w:rsidRDefault="00000000">
      <w:pPr>
        <w:pStyle w:val="Normal16"/>
        <w:widowControl w:val="0"/>
        <w:spacing w:before="240" w:line="260" w:lineRule="atLeast"/>
        <w:jc w:val="both"/>
      </w:pPr>
      <w:bookmarkStart w:id="2962" w:name="Prior_History_15"/>
      <w:bookmarkEnd w:id="2962"/>
      <w:r>
        <w:rPr>
          <w:rFonts w:ascii="Arial" w:eastAsia="Arial" w:hAnsi="Arial" w:cs="Arial"/>
          <w:b/>
          <w:color w:val="000000"/>
          <w:sz w:val="20"/>
        </w:rPr>
        <w:t>Prior History:</w:t>
      </w:r>
      <w:r>
        <w:rPr>
          <w:rFonts w:ascii="Arial" w:eastAsia="Arial" w:hAnsi="Arial" w:cs="Arial"/>
          <w:color w:val="000000"/>
          <w:sz w:val="20"/>
        </w:rPr>
        <w:t> </w:t>
      </w:r>
      <w:bookmarkStart w:id="2963" w:name="Bookmark_para_1_15"/>
      <w:bookmarkEnd w:id="2963"/>
      <w:r>
        <w:rPr>
          <w:rFonts w:ascii="Arial" w:eastAsia="Arial" w:hAnsi="Arial" w:cs="Arial"/>
          <w:color w:val="000000"/>
          <w:sz w:val="20"/>
        </w:rPr>
        <w:t> [**1] Appeal from the United States District Court for the Middle District of Florida. D.C. Docket No. 6:14-cv-01544-ACC-GJK, et al.</w:t>
      </w:r>
    </w:p>
    <w:p w:rsidR="00E456CD" w:rsidRDefault="00000000">
      <w:pPr>
        <w:pStyle w:val="Normal16"/>
        <w:widowControl w:val="0"/>
        <w:spacing w:before="120" w:line="260" w:lineRule="atLeast"/>
      </w:pPr>
      <w:r>
        <w:rPr>
          <w:rFonts w:ascii="Arial" w:eastAsia="Arial" w:hAnsi="Arial" w:cs="Arial"/>
          <w:color w:val="000000"/>
          <w:sz w:val="20"/>
        </w:rPr>
        <w:t>A.L. v. Walt Disney Parks &amp; Resorts United States, Inc., 2016 U.S. Dist. LEXIS 147453 (M.D. Fla., Apr. 28, 2016)</w:t>
      </w:r>
    </w:p>
    <w:p w:rsidR="00E456CD" w:rsidRDefault="00000000">
      <w:pPr>
        <w:pStyle w:val="Normal16"/>
        <w:widowControl w:val="0"/>
        <w:spacing w:before="120" w:line="260" w:lineRule="atLeast"/>
      </w:pPr>
      <w:r>
        <w:rPr>
          <w:rFonts w:ascii="Arial" w:eastAsia="Arial" w:hAnsi="Arial" w:cs="Arial"/>
          <w:color w:val="000000"/>
          <w:sz w:val="20"/>
        </w:rPr>
        <w:t>C.J.K. v. Walt Disney Parks &amp; Resorts United States, Inc., 2016 U.S. Dist. LEXIS 193528 (M.D. Fla., Sept. 23, 2016)</w:t>
      </w:r>
    </w:p>
    <w:p w:rsidR="00E456CD" w:rsidRDefault="00000000">
      <w:pPr>
        <w:pStyle w:val="Normal16"/>
        <w:widowControl w:val="0"/>
        <w:spacing w:before="120" w:line="260" w:lineRule="atLeast"/>
      </w:pPr>
      <w:r>
        <w:rPr>
          <w:rFonts w:ascii="Arial" w:eastAsia="Arial" w:hAnsi="Arial" w:cs="Arial"/>
          <w:color w:val="000000"/>
          <w:sz w:val="20"/>
        </w:rPr>
        <w:t>R.J.R.G. &amp; G.M.G. v. Walt Disney Parks &amp; Resorts U.S., Inc., 2016 U.S. Dist. LEXIS 192921 (M.D. Fla., Sept. 26, 2016)</w:t>
      </w:r>
    </w:p>
    <w:p w:rsidR="00E456CD" w:rsidRDefault="00000000">
      <w:pPr>
        <w:pStyle w:val="Normal16"/>
        <w:widowControl w:val="0"/>
        <w:spacing w:before="120" w:line="260" w:lineRule="atLeast"/>
      </w:pPr>
      <w:r>
        <w:rPr>
          <w:rFonts w:ascii="Arial" w:eastAsia="Arial" w:hAnsi="Arial" w:cs="Arial"/>
          <w:color w:val="000000"/>
          <w:sz w:val="20"/>
        </w:rPr>
        <w:t>J.T.I. v. Walt Disney Parks &amp; Resorts U.S., Inc., 2016 U.S. Dist. LEXIS 194403 (M.D. Fla., Sept. 26, 2016)</w:t>
      </w:r>
    </w:p>
    <w:p w:rsidR="00E456CD" w:rsidRDefault="00000000">
      <w:pPr>
        <w:pStyle w:val="Normal16"/>
        <w:widowControl w:val="0"/>
        <w:spacing w:before="120" w:line="260" w:lineRule="atLeast"/>
      </w:pPr>
      <w:r>
        <w:rPr>
          <w:rFonts w:ascii="Arial" w:eastAsia="Arial" w:hAnsi="Arial" w:cs="Arial"/>
          <w:color w:val="000000"/>
          <w:sz w:val="20"/>
        </w:rPr>
        <w:t>T.P. v. Walt Disney Parks &amp; Resorts U.S., Inc., 2016 U.S. Dist. LEXIS 149171 (M.D. Fla., Sept. 22, 2016)</w:t>
      </w:r>
    </w:p>
    <w:p w:rsidR="00E456CD" w:rsidRDefault="00000000">
      <w:pPr>
        <w:pStyle w:val="Normal16"/>
        <w:widowControl w:val="0"/>
        <w:spacing w:before="240" w:line="260" w:lineRule="atLeast"/>
        <w:jc w:val="both"/>
      </w:pPr>
      <w:bookmarkStart w:id="2964" w:name="Disposition_2"/>
      <w:bookmarkEnd w:id="2964"/>
      <w:r>
        <w:rPr>
          <w:rFonts w:ascii="Arial" w:eastAsia="Arial" w:hAnsi="Arial" w:cs="Arial"/>
          <w:b/>
          <w:color w:val="000000"/>
          <w:sz w:val="20"/>
        </w:rPr>
        <w:t>Disposition:</w:t>
      </w:r>
      <w:r>
        <w:rPr>
          <w:rFonts w:ascii="Arial" w:eastAsia="Arial" w:hAnsi="Arial" w:cs="Arial"/>
          <w:color w:val="000000"/>
          <w:sz w:val="20"/>
        </w:rPr>
        <w:t> </w:t>
      </w:r>
      <w:bookmarkStart w:id="2965" w:name="Bookmark_clspara_4_2"/>
      <w:bookmarkEnd w:id="2965"/>
      <w:r>
        <w:rPr>
          <w:rFonts w:ascii="Arial" w:eastAsia="Arial" w:hAnsi="Arial" w:cs="Arial"/>
          <w:color w:val="000000"/>
          <w:sz w:val="20"/>
        </w:rPr>
        <w:t>AFFIRMED IN PART; REVERSED IN PART; VACATED AND REMANDED IN PART.</w:t>
      </w:r>
    </w:p>
    <w:p w:rsidR="00E456CD" w:rsidRDefault="00000000">
      <w:pPr>
        <w:pStyle w:val="Normal16"/>
        <w:widowControl w:val="0"/>
        <w:spacing w:before="240" w:line="260" w:lineRule="atLeast"/>
      </w:pPr>
      <w:bookmarkStart w:id="2966" w:name="Counsel_15"/>
      <w:bookmarkEnd w:id="2966"/>
      <w:r>
        <w:rPr>
          <w:rFonts w:ascii="Arial" w:eastAsia="Arial" w:hAnsi="Arial" w:cs="Arial"/>
          <w:b/>
          <w:color w:val="000000"/>
          <w:sz w:val="20"/>
        </w:rPr>
        <w:t>Counsel:</w:t>
      </w:r>
      <w:r>
        <w:rPr>
          <w:rFonts w:ascii="Arial" w:eastAsia="Arial" w:hAnsi="Arial" w:cs="Arial"/>
          <w:color w:val="000000"/>
          <w:sz w:val="20"/>
        </w:rPr>
        <w:t> For A. L., by and through D.L., as Next Friend, Parent and Natural Guardian, Plaintiff - Appellant (16-12647): Anthony Anderson Benton Dogali, Dogali Law Group, PA, TAMPA, FL; Eugene Feldman, Arias Sanguinetti Stahle &amp; Torrijos, LLP, LOS ANGELES, CA.</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(16-12647): Kerry Alan Scanlon, Jeremy White, McDermott Will &amp; Emery, LLP, WASHINGTON, DC; Manuel Kushner, Arnold &amp; Porter Kaye Scholer, LLP, WEST PALM BEACH, FL.</w:t>
      </w:r>
    </w:p>
    <w:p w:rsidR="00E456CD" w:rsidRDefault="00000000">
      <w:pPr>
        <w:pStyle w:val="Normal16"/>
        <w:widowControl w:val="0"/>
        <w:spacing w:before="120" w:line="260" w:lineRule="atLeast"/>
      </w:pPr>
      <w:r>
        <w:rPr>
          <w:rFonts w:ascii="Arial" w:eastAsia="Arial" w:hAnsi="Arial" w:cs="Arial"/>
          <w:color w:val="000000"/>
          <w:sz w:val="20"/>
        </w:rPr>
        <w:t>For S.J.K., by and through S.L.K., as Next Friend, Parent and Court-Appointed Co-Guardian, Plaintiff - Appellant (17-10143): Anthony Anderson Benton Dogali, Geoffrey E. Parmer, Dogali Law Group, PA, TAMPA, FL; Eugene Feldman, Arias Sanguinetti Stahle &amp; Torrijos, LLP, LOS ANGELES, CA.</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(17-10143): Kerry Alan Scanlon, Jeremy White, McDermott Will &amp; Emery, LLP, WASHINGTON, DC; Robert M. Kline, McDermott Will &amp; Emery, LLP, MIAMI, FL; Manuel Kushner, Arnold &amp; Porter Kaye [**2]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A.C.W., by and through C.A.W. as Next Friend, Parent and Natural Guardian, Plaintiff - Appellant (17-10193): Anthony Anderson Benton Dogali, Dogali Law Group, PA, TAMPA, FL; Eugene Feldman, Arias Sanguinetti Stahle &amp; Torrijos, LLP, LOS ANGELES, CA; Domenick Giovanni Lazzara, Lee Law Group, PLLC, TAMPA, FL; Geoffrey E. Parmer, Dogali Law Group, PA,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(17-10193):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C.J.K., by and through P.A.K. as Next Friend, Parent and Natural Guardian, P.A.K., Individually, Plaintiffs - Appellants (17-10194): Anthony Anderson Benton Dogali, Geoffrey E. Parmer, Dogali Law Group, [**3]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(17-10194): Kerry Alan Scanlon, Jeremy White, McDermott Will &amp; Emery, LLP, WASHINGTON, DC; Robert M. Kline, McDermott Will &amp; Emery, LLP, MIAMI, FL; Manuel Kushner, Arnold &amp; Porter Kaye Scholer, LLP, WEST PALM BEACH, FL; Paul I. Margulies, Arnold &amp; Porter Kaye Scholer, LLP, WASHINGTON, DC;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M.A.C., by and through R.M. as Next Friend, Parent and Natural Guardian, R.M., Individually, Plaintiffs - Appellants (17-10195): Anthony Anderson Benton Dogali, Dogali Law Group, PA, TAMPA, FL; Eugene Feldman, Arias Sanguinetti Stahle &amp; Torrijos, LLP, LOS ANGELES, CA; Domenick Giovanni Lazzara, Lee Law Group, PLLC, TAMPA, FL; Geoffrey E. Parmer, Dogali Law Group, PA,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(17-10195): Kerry Alan Scanlon, Jeremy White, McDermott Will &amp; Emery, LLP, WASHINGTON, DC; Robert M. Kline, McDermott Will &amp; Emery, LLP, MIAMI, FL; Manuel Kushner, Arnold &amp; Porter [**4]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C.J.J., by and through C.R.J. as Next Friend, Parent and Natural Guardian, Plaintiff - Appellant (17-10196): Anthony Anderson Benton Dogali, Dogali Law Group, PA, TAMPA, FL; Eugene Feldman, Arias Sanguinetti Stahle &amp; Torrijos, LLP, LOS ANGELES, CA; Domenick Giovanni Lazzara, Lee Law Group, PLLC, TAMPA, FL; Geoffrey E. Parmer, Dogali Law Group, PA,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(17-10196): Kerry Alan Scanlon, Jeremy White, McDermott Will &amp; Emery, LLP, WASHINGTON, DC; Robert M. Kline, McDermott Will &amp; Emery, LLP, MIAMI, FL ;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P.H.G., by and through E.G.R. as Next Friend, Parent and Natural Guardian, Plaintiff - Appellant (17-10198): Anthony Anderson Benton Dogali, Geoffrey E. Parmer, Dogali Law Group, PA, TAMPA, FL; Eugene [**5]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(17-10198):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J.W.B., by and through N.F.B. as Next Friend, Parent and Natural Guardian, V.J.B., by and through N.F.B. as Next Friend, Parent and Natural Guardian, N.F.B., individually, Plaintiffs - Appellants (17-10199):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(17-10199): Kerry Alan Scanlon, Jeremy White, McDermott Will &amp; Emery, LLP, WASHINGTON, DC; Robert M. Kline, McDermott Will &amp; Emery, LLP, MIAMI, [**6]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J.S.H., by and through S.J.H. as Next Friend, Parent and and Court Appointed Co-Guardian, Plaintiff - Appellant (17-10200):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J.T.I., by and through K.J.I. as Next Friend, Parent and Natural Guardian, K.J.I., Individually, Plaintiffs - Appellants (17-10202): Anthony Anderson Benton Dogali, Dogali Law Group, PA, TAMPA, [**7]  FL; Eugene Feldman, Arias Sanguinetti Stahle &amp; Torrijos, LLP, LOS ANGELES, CA; Domenick Giovanni Lazzara, Lee Law Group, PLLC, TAMPA, FL; Geoffrey E. Parmer, Dogali Law Group, PA,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(17-10202):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T.A.L., by and through G.L. as next friend, parent and natural guardian, Plaintiff - Appellant (17-10203):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(17-10203): Kerry Alan Scanlon, Jeremy White, McDermott Will &amp; Emery, LLP, WASHINGTON, DC; Robert M. Kline, McDermott Will &amp; Emery, LLP, MIAMI, FL; Manuel Kushner, Arnold &amp; Porter [**8]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D.F., and through C.F. as Next, Friend, Parent and Natural Guardian, C.F., individually, Plaintiffs - Appellants (17-10205):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(17-10205):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A.B., by and through M.B., as Next Friend, Parent and Natural Guardian, M.B., Individually, Plaintiffs - Appellants (17-10144): Anthony Anderson Benton Dogali, Geoffrey E. Parmer, Dogali Law Group, PA, TAMPA, FL; Eugene [**9]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(17-10144):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E.R.M., by and through M.A.M as Next Friend, Parent and Natural Guardian, J.M.M., by and through M.A.M. as Next Friend, Parent and Natural Guardian, M.A.M., Individually, Plaintiffs - Appellants (17-10206):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(17-10206): Kerry Alan Scanlon, Jeremy White, McDermott Will &amp; Emery, LLP, WASHINGTON, DC; Robert M. Kline, McDermott Will &amp; Emery, LLP, MIAMI, [**10]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G.C.P., by and through J.C.P. as Next Friend, Parent and Natural Guardian, J.C.P., individually, M.I.P., individually, Plaintiff - Appellants (17-10207):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(17-10207):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A.J.M., by and through L.M.M. as next friend, parent and natural guardian, O.M.M., by and through L.M.M. as next friend, parent and natural guardian, [**11]  Plaintiffs - Appellants (17-10208):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(17-10208): Kerry Alan Scanlon, Paul I. Margulies, Jeremy White, McDermott Will &amp; Emery, LLP, WASHINGTON, DC; Robert M. Kline, McDermott Will &amp; Emery, LLP, MIAMI, FL; Manuel Kushner, Arnold &amp; Porter Kaye Scholer, LLP, WEST PALM BEACH, FL;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A.M.N., by and through V.M.N. as next friend, parent and natural guardian, V.M.N., Individually, Plaintiffs - Appellants (17-10209): Anthony Anderson Benton Dogali, Dogali Law Group, PA, TAMPA, FL; Eugene Feldman, Arias Sanguinetti Stahle &amp; Torrijos, LLP, LOS ANGELES, CA; Domenick Giovanni Lazzara, Lee Law Group, PLLC, TAMPA, FL; Geoffrey E. Parmer, Dogali Law Group, PA,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(17-10209): Kerry Alan Scanlon, McDermott Will &amp; Emery, LLP, WASHINGTON, DC; Robert M. Kline, McDermott [**12]  Will &amp; Emery, LLP, MIAMI, FL; Manuel Kushner, Arnold &amp; Porter Kaye Scholer, LLP, WEST PALM BEACH, FL; Paul I. Margulies, Arnold &amp; Porter Kaye Scholer, LLP, WASHINGTON, DC; Oscar Ramallo, Rhonda R. Trotter, Arnold &amp; Porter Kaye Scholer, LLP, LOS ANGELES, CA; Jeremy White, McDermott Will &amp; Emery, LLP, WASHINGTON, DC.</w:t>
      </w:r>
    </w:p>
    <w:p w:rsidR="00E456CD" w:rsidRDefault="00000000">
      <w:pPr>
        <w:pStyle w:val="Normal16"/>
        <w:widowControl w:val="0"/>
        <w:spacing w:before="120" w:line="260" w:lineRule="atLeast"/>
      </w:pPr>
      <w:r>
        <w:rPr>
          <w:rFonts w:ascii="Arial" w:eastAsia="Arial" w:hAnsi="Arial" w:cs="Arial"/>
          <w:color w:val="000000"/>
          <w:sz w:val="20"/>
        </w:rPr>
        <w:t>For L.J.P., by and through J.R.P. as Next Friend, Parent and Natural Guardian, J.R.P., individually, Plaintiffs - Appellants (17-10212):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(17-10212):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R.J.R.G., by and through G.M.G. as next friend, parent and natural guardian, G.M.G., [**13]  Individually, J.M.G., Individually, Plaintiffs-Appellants (17-10213):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Defendant-Appellee (17-10213):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T.E.F., by and through T.L.F. as next friend, parent and natural guardian and A.J.F. by and through T.L.F. as next friend, parent and natural guardian, A.J.F., Plaintiffs - Appellants (17-10214):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[**14]  Appellee (17-10214): Kerry Alan Scanlon,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 Jeremy White, McDermott Will &amp; Emery, LLP, WASHINGTON, DC.</w:t>
      </w:r>
    </w:p>
    <w:p w:rsidR="00E456CD" w:rsidRDefault="00000000">
      <w:pPr>
        <w:pStyle w:val="Normal16"/>
        <w:widowControl w:val="0"/>
        <w:spacing w:before="120" w:line="260" w:lineRule="atLeast"/>
      </w:pPr>
      <w:r>
        <w:rPr>
          <w:rFonts w:ascii="Arial" w:eastAsia="Arial" w:hAnsi="Arial" w:cs="Arial"/>
          <w:color w:val="000000"/>
          <w:sz w:val="20"/>
        </w:rPr>
        <w:t>For D.L.B., by and through L.V.F. as Next Friend, Parent and Natural Guardian, LV.F., Individually, Plaintiffs - Appellants (17-10216):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(17-10216)):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[**15]  LLP, LOS ANGELES, CA.</w:t>
      </w:r>
    </w:p>
    <w:p w:rsidR="00E456CD" w:rsidRDefault="00000000">
      <w:pPr>
        <w:pStyle w:val="Normal16"/>
        <w:widowControl w:val="0"/>
        <w:spacing w:before="120" w:line="260" w:lineRule="atLeast"/>
      </w:pPr>
      <w:r>
        <w:rPr>
          <w:rFonts w:ascii="Arial" w:eastAsia="Arial" w:hAnsi="Arial" w:cs="Arial"/>
          <w:color w:val="000000"/>
          <w:sz w:val="20"/>
        </w:rPr>
        <w:t>For S.A.B., by and through M.F.B. as Next Friend, Parent and Natural Guardian, Plaintiff - Appellant (17-10217):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(17-10217): Kerry Alan Scanlon, McDermott Will &amp; Emery, LLP, WASHINGTON, DC; Robert M. Kline, McDermott Will &amp; Emery, LLP, MIAMI, FL; Manuel Kushner, Arnold &amp; Porter Kaye Scholer, LLP, WEST PALM BEACH, FL; Paul I. Margulies, Jeremy White,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J.T.G., by and through B.D.G. as Next Friend, Parent and Natural Guardian, B.D.G., Individually, Plaintiff - Appellants (17-10218):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[**16]  - Appellee (17-10218): Kerry Alan Scanlon, Jeremy White, McDermott Will &amp; Emery, LLP, WASHINGTON, DC; Robert M. Kline, McDermott Will &amp; Emery, LLP, MIAMI, FL; Manuel Kushner, Arnold &amp; Porter Kaye Scholer, LLP, WEST PALM BEACH, FL; Paul I. Margulies, Arnold &amp; Porter Kaye Scholer, LLP, WASHINGTON, DC;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J.M., by and through E.M., as Next Friend, Parent and Natural Guardian, S.M., by and through E.M., as Next Friend, Parent and Natural Guardian, E.M., Individually, Plaintiff - Appellants (17-10148):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(17-10148):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[**17]  Scholer, LLP, LOS ANGELES, CA.</w:t>
      </w:r>
    </w:p>
    <w:p w:rsidR="00E456CD" w:rsidRDefault="00000000">
      <w:pPr>
        <w:pStyle w:val="Normal16"/>
        <w:widowControl w:val="0"/>
        <w:spacing w:before="120" w:line="260" w:lineRule="atLeast"/>
      </w:pPr>
      <w:r>
        <w:rPr>
          <w:rFonts w:ascii="Arial" w:eastAsia="Arial" w:hAnsi="Arial" w:cs="Arial"/>
          <w:color w:val="000000"/>
          <w:sz w:val="20"/>
        </w:rPr>
        <w:t>For J.K., by and through R.K., as Next Friend, Parent and Natural Guardian, Plaintiff - Appellant (17-10149):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(17-10149):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 Jeremy White, McDermott Will &amp; Emery, LLP, WASHINGTON, DC.</w:t>
      </w:r>
    </w:p>
    <w:p w:rsidR="00E456CD" w:rsidRDefault="00000000">
      <w:pPr>
        <w:pStyle w:val="Normal16"/>
        <w:widowControl w:val="0"/>
        <w:spacing w:before="120" w:line="260" w:lineRule="atLeast"/>
      </w:pPr>
      <w:r>
        <w:rPr>
          <w:rFonts w:ascii="Arial" w:eastAsia="Arial" w:hAnsi="Arial" w:cs="Arial"/>
          <w:color w:val="000000"/>
          <w:sz w:val="20"/>
        </w:rPr>
        <w:t>For J.C., by and through L.C., as Next Friend, Parent and Natural Guardian, L.C., individually, Plaintiff - Appellants (17-10150): Anthony Anderson Benton Dogali, Dogali Law Group, PA, TAMPA, FL; Eugene Feldman, Arias Sanguinetti Stahle &amp; Torrijos, LLP, LOS ANGELES, CA; Domenick Giovanni Lazzara, Law Offices of H.S. Stephen Lee, PA, TAMPA, FL; [**18]  Geoffrey E. Parmer, Dogali Law Group, PA,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(17-10150): Kerry Alan Scanlon, McDermott Will &amp; Emery, LLP, WASHINGTON, DC; Robert M. Kline, McDermott Will &amp; Emery, LLP, MIAMI, FL; Manuel Kushner, Arnold &amp; Porter Kaye Scholer, LLP, WEST PALM BEACH, FL; Paul I. Margulies, Arnold &amp; Porter Kaye Scholer, LLP, WASHINGTON, DC; Oscar Ramallo, Arnold &amp; Porter Kaye Scholer, LLP, LOS ANGELES, CA; Rhonda R. Trotter, Arnold &amp; Porter Kaye Scholer, LLP, LOS ANGELES, CA; Jeremy White, McDermott Will &amp; Emery, LLP, WASHINGTON, DC.</w:t>
      </w:r>
    </w:p>
    <w:p w:rsidR="00E456CD" w:rsidRDefault="00000000">
      <w:pPr>
        <w:pStyle w:val="Normal16"/>
        <w:widowControl w:val="0"/>
        <w:spacing w:before="120" w:line="260" w:lineRule="atLeast"/>
      </w:pPr>
      <w:r>
        <w:rPr>
          <w:rFonts w:ascii="Arial" w:eastAsia="Arial" w:hAnsi="Arial" w:cs="Arial"/>
          <w:color w:val="000000"/>
          <w:sz w:val="20"/>
        </w:rPr>
        <w:t>For T.P., by and through S.P. as next friend, parent, and natural guardian, Plaintiff - Appellant (17-10151): Anthony Anderson Benton Dogali, Dogali Law Group, PA, TAMPA, FL; Eugene Feldman, Arias Sanguinetti Stahle &amp; Torrijos, LLP, LOS ANGELES, CA; Domenick Giovanni Lazzara, Law Offices of H.S. Stephen Lee, PA, TAMPA, FL; Geoffrey E. Parmer, Dogali Law Group, PA,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(17-10151): Kerry Alan Scanlon, Jeremy White, McDermott Will &amp; Emery, LLP, WASHINGTON, DC; Robert M. Kline, McDermott Will &amp; Emery, LLP, MIAMI, FL; Manuel Kushner, Paul [**19]  I. Margulies, Oscar Ramallo, Rhonda R. Trotter, Arnold &amp; Porter Kaye Scholer, LLP, WEST PALM BEACH, FL.</w:t>
      </w:r>
    </w:p>
    <w:p w:rsidR="00E456CD" w:rsidRDefault="00000000">
      <w:pPr>
        <w:pStyle w:val="Normal16"/>
        <w:widowControl w:val="0"/>
        <w:spacing w:before="120" w:line="260" w:lineRule="atLeast"/>
      </w:pPr>
      <w:r>
        <w:rPr>
          <w:rFonts w:ascii="Arial" w:eastAsia="Arial" w:hAnsi="Arial" w:cs="Arial"/>
          <w:color w:val="000000"/>
          <w:sz w:val="20"/>
        </w:rPr>
        <w:t>For J.B.W., by and through K.P.B., as next friend and natural guardian, K.P.B., individually, Plaintiff - Appellants (17-10152): Anthony Anderson Benton Dogali, Dogali Law Group, PA, TAMPA, FL; Geoffrey E. Parmer,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(17-10152): Kerry Alan Scanlon, Jeremy White, McDermott Will &amp; Emery, LLP, WASHINGTON, DC; Robert M. Kline, McDermott Will &amp; Emery, LLP, MIAMI, FL; Manuel Kushner, Arnold &amp; Porter Kaye Scholer, LLP, WEST PALM BEACH, FL; Paul I. Margulies, Arnold &amp; Porter Kaye Scholer, LLP, WASHINGTON, DC;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J.D.S., by and through R.E.S. as Next Friend, Parent and Natural Guardian, R.E.S., Individually, Plaintiffs - Appellants (17-10153): Anthony Anderson Benton Dogali, Geoffrey E. Parmer, Dogali Law Group, PA, TAMPA, FL; Eugene Feldman, Arias Sanguinetti Stahle &amp; Torrijos, LLP, LOS ANGELES, CA; Domenick Giovanni Lazzara, Law [**20]  Offices of H.S. Stephen Lee, PA,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(17-10153):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Arnold &amp; Porter Kaye Scholer, LLP, LOS ANGELES, CA.</w:t>
      </w:r>
    </w:p>
    <w:p w:rsidR="00E456CD" w:rsidRDefault="00000000">
      <w:pPr>
        <w:pStyle w:val="Normal16"/>
        <w:widowControl w:val="0"/>
        <w:spacing w:before="120" w:line="260" w:lineRule="atLeast"/>
      </w:pPr>
      <w:r>
        <w:rPr>
          <w:rFonts w:ascii="Arial" w:eastAsia="Arial" w:hAnsi="Arial" w:cs="Arial"/>
          <w:color w:val="000000"/>
          <w:sz w:val="20"/>
        </w:rPr>
        <w:t>For A.M.W., by and through D.L.W. as Next Friend, Parent and Natural Guardian, Plaintiff - Appellant (17-10154): Anthony Anderson Benton Dogali, Geoffrey E. Parmer, Dogali Law Group, PA, TAMPA, FL; Eugene Feldman, Arias Sanguinetti Stahle &amp; Torrijos, LLP, LOS ANGELES, CA; Domenick Giovanni Lazzara, Lee Law Group, PLLC, TAMPA, FL.</w:t>
      </w:r>
    </w:p>
    <w:p w:rsidR="00E456CD" w:rsidRDefault="00000000">
      <w:pPr>
        <w:pStyle w:val="Normal16"/>
        <w:widowControl w:val="0"/>
        <w:spacing w:before="120" w:line="260" w:lineRule="atLeast"/>
      </w:pPr>
      <w:r>
        <w:rPr>
          <w:rFonts w:ascii="Arial" w:eastAsia="Arial" w:hAnsi="Arial" w:cs="Arial"/>
          <w:color w:val="000000"/>
          <w:sz w:val="20"/>
        </w:rPr>
        <w:t>For WALT DISNEY PARKS AND RESORTS US, INC., Defendant - Appellee (17-10154): Kerry Alan Scanlon, Jeremy White, McDermott Will &amp; Emery, LLP, WASHINGTON, DC; Robert M. Kline, McDermott Will &amp; Emery, LLP, MIAMI, FL; Manuel Kushner, Arnold &amp; Porter Kaye Scholer, LLP, WEST PALM BEACH, FL; Paul I. Margulies, Arnold &amp; Porter Kaye Scholer, LLP, WASHINGTON, DC; Oscar Ramallo, Rhonda R. Trotter, [**21]  Arnold &amp; Porter Kaye Scholer, LLP, LOS ANGELES, CA.</w:t>
      </w:r>
    </w:p>
    <w:p w:rsidR="00E456CD" w:rsidRDefault="00000000">
      <w:pPr>
        <w:pStyle w:val="Normal16"/>
        <w:widowControl w:val="0"/>
        <w:spacing w:before="240" w:line="260" w:lineRule="atLeast"/>
      </w:pPr>
      <w:bookmarkStart w:id="2967" w:name="Judges_15"/>
      <w:bookmarkEnd w:id="2967"/>
      <w:r>
        <w:rPr>
          <w:rFonts w:ascii="Arial" w:eastAsia="Arial" w:hAnsi="Arial" w:cs="Arial"/>
          <w:b/>
          <w:color w:val="000000"/>
          <w:sz w:val="20"/>
        </w:rPr>
        <w:t>Judges:</w:t>
      </w:r>
      <w:r>
        <w:rPr>
          <w:rFonts w:ascii="Arial" w:eastAsia="Arial" w:hAnsi="Arial" w:cs="Arial"/>
          <w:color w:val="000000"/>
          <w:sz w:val="20"/>
        </w:rPr>
        <w:t> Before NEWSOM and HULL, Circuit Judges, and ROYAL,</w:t>
      </w:r>
      <w:r>
        <w:rPr>
          <w:rFonts w:ascii="Arial" w:eastAsia="Arial" w:hAnsi="Arial" w:cs="Arial"/>
          <w:vertAlign w:val="superscript"/>
        </w:rPr>
        <w:footnoteReference w:customMarkFollows="1" w:id="121"/>
        <w:t>*</w:t>
      </w:r>
      <w:r>
        <w:rPr>
          <w:rFonts w:ascii="Arial" w:eastAsia="Arial" w:hAnsi="Arial" w:cs="Arial"/>
          <w:color w:val="000000"/>
          <w:sz w:val="20"/>
        </w:rPr>
        <w:t xml:space="preserve"> Judge.</w:t>
      </w:r>
    </w:p>
    <w:p w:rsidR="00E456CD" w:rsidRDefault="00000000">
      <w:pPr>
        <w:pStyle w:val="Normal16"/>
        <w:widowControl w:val="0"/>
        <w:spacing w:before="240" w:line="260" w:lineRule="atLeast"/>
      </w:pPr>
      <w:bookmarkStart w:id="2969" w:name="Opinion_by_11"/>
      <w:bookmarkEnd w:id="2969"/>
      <w:r>
        <w:rPr>
          <w:rFonts w:ascii="Arial" w:eastAsia="Arial" w:hAnsi="Arial" w:cs="Arial"/>
          <w:b/>
          <w:color w:val="000000"/>
          <w:sz w:val="20"/>
        </w:rPr>
        <w:t>Opinion by:</w:t>
      </w:r>
      <w:r>
        <w:rPr>
          <w:rFonts w:ascii="Arial" w:eastAsia="Arial" w:hAnsi="Arial" w:cs="Arial"/>
          <w:color w:val="000000"/>
          <w:sz w:val="20"/>
        </w:rPr>
        <w:t> HULL</w:t>
      </w:r>
    </w:p>
    <w:p w:rsidR="00E456CD" w:rsidRDefault="00000000">
      <w:pPr>
        <w:pStyle w:val="Normal16"/>
        <w:keepNext/>
        <w:widowControl w:val="0"/>
        <w:spacing w:before="240" w:line="340" w:lineRule="atLeast"/>
      </w:pPr>
      <w:bookmarkStart w:id="2970" w:name="Opinion_15"/>
      <w:bookmarkEnd w:id="2970"/>
      <w:r>
        <w:rPr>
          <w:rFonts w:ascii="Arial" w:eastAsia="Arial" w:hAnsi="Arial" w:cs="Arial"/>
          <w:b/>
          <w:color w:val="000000"/>
          <w:sz w:val="28"/>
        </w:rPr>
        <w:t>Opinion</w:t>
      </w:r>
    </w:p>
    <w:p w:rsidR="00E456CD" w:rsidRDefault="00E22289">
      <w:pPr>
        <w:pStyle w:val="Normal16"/>
        <w:spacing w:line="60" w:lineRule="exact"/>
      </w:pPr>
      <w:r>
        <w:rPr>
          <w:noProof/>
        </w:rPr>
        <mc:AlternateContent>
          <mc:Choice Requires="wps">
            <w:drawing>
              <wp:anchor distT="0" distB="0" distL="114300" distR="114300" simplePos="0" relativeHeight="25169408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04658227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286BF"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6"/>
      </w:pPr>
    </w:p>
    <w:p w:rsidR="00E456CD" w:rsidRDefault="00000000">
      <w:pPr>
        <w:pStyle w:val="Normal16"/>
        <w:widowControl w:val="0"/>
        <w:spacing w:before="200" w:line="260" w:lineRule="atLeast"/>
        <w:jc w:val="both"/>
      </w:pPr>
      <w:bookmarkStart w:id="2971" w:name="Bookmark_para_2_15"/>
      <w:bookmarkEnd w:id="2971"/>
      <w:r>
        <w:rPr>
          <w:rFonts w:ascii="Arial" w:eastAsia="Arial" w:hAnsi="Arial" w:cs="Arial"/>
          <w:color w:val="000000"/>
          <w:sz w:val="20"/>
        </w:rPr>
        <w:t> [*1273]  HULL, Circuit Judge:</w:t>
      </w:r>
    </w:p>
    <w:p w:rsidR="00E456CD" w:rsidRDefault="00000000">
      <w:pPr>
        <w:pStyle w:val="Normal16"/>
        <w:widowControl w:val="0"/>
        <w:spacing w:before="200" w:line="260" w:lineRule="atLeast"/>
        <w:jc w:val="both"/>
      </w:pPr>
      <w:bookmarkStart w:id="2972" w:name="Bookmark_para_3_15"/>
      <w:bookmarkEnd w:id="2972"/>
      <w:r>
        <w:rPr>
          <w:rFonts w:ascii="Arial" w:eastAsia="Arial" w:hAnsi="Arial" w:cs="Arial"/>
          <w:color w:val="000000"/>
          <w:sz w:val="20"/>
        </w:rPr>
        <w:t>This is a consolidated appeal of 30 separate lawsuits. Most plaintiffsappellants are individuals with severe autism. Defendant-appellee is Walt Disney Parks and Resorts US, Inc. ("Disney"), a division of The Walt Disney Company.</w:t>
      </w:r>
    </w:p>
    <w:p w:rsidR="00E456CD" w:rsidRDefault="00000000">
      <w:pPr>
        <w:pStyle w:val="Normal16"/>
        <w:widowControl w:val="0"/>
        <w:spacing w:before="200" w:line="260" w:lineRule="atLeast"/>
        <w:jc w:val="both"/>
      </w:pPr>
      <w:bookmarkStart w:id="2973" w:name="Bookmark_para_4_15"/>
      <w:bookmarkEnd w:id="2973"/>
      <w:r>
        <w:rPr>
          <w:rFonts w:ascii="Arial" w:eastAsia="Arial" w:hAnsi="Arial" w:cs="Arial"/>
          <w:color w:val="000000"/>
          <w:sz w:val="20"/>
        </w:rPr>
        <w:t>In separate lawsuits, plaintiffs filed claims alleging that Disney, at six of its theme parks, fails to accommodate their disabilities, in violation of Title III of the Americans with Disabilities Act (the "ADA"), 42 U.S.C. § 12182. Plaintiffs allege that their severe disabilities include an inability to comprehend the concept of time, defer gratification, and wait for rides, as well as strict adherence to a pre-set routine of rides in a specific order. Plaintiffs  [*1274]  therefore contend that access to all of Disney's rides must be both nearly immediate and in each plaintiff's individual, pre-set order to accommodate fully their impairments.</w:t>
      </w:r>
    </w:p>
    <w:p w:rsidR="00E456CD" w:rsidRDefault="00000000">
      <w:pPr>
        <w:pStyle w:val="Normal16"/>
        <w:widowControl w:val="0"/>
        <w:spacing w:before="200" w:line="260" w:lineRule="atLeast"/>
        <w:jc w:val="both"/>
      </w:pPr>
      <w:bookmarkStart w:id="2974" w:name="Bookmark_para_5_15"/>
      <w:bookmarkEnd w:id="2974"/>
      <w:r>
        <w:rPr>
          <w:rFonts w:ascii="Arial" w:eastAsia="Arial" w:hAnsi="Arial" w:cs="Arial"/>
          <w:color w:val="000000"/>
          <w:sz w:val="20"/>
        </w:rPr>
        <w:t>Disney responds that it accommodates plaintiffs' disabilities because its current Disability Access Service ("DAS") program allows cognitively disabled guests like the plaintiffs (1) to enter immediately all rides [**22]  with waits of less than 15 minutes, which is most rides, (2) to schedule appointment times for rides with longer waits, and (3) to never have to stand in a physical line for any ride. In each case, the district court granted Disney summary judgment and concluded that the DAS program already accommodates plaintiffs' disabilities and that revising the DAS program is not necessary for plaintiffs to have equal access and enjoyment of Disney's parks. Our opinion is organized as follows.</w:t>
      </w:r>
    </w:p>
    <w:p w:rsidR="00E456CD" w:rsidRDefault="00000000">
      <w:pPr>
        <w:pStyle w:val="Normal16"/>
        <w:widowControl w:val="0"/>
        <w:spacing w:before="240" w:line="260" w:lineRule="atLeast"/>
      </w:pPr>
      <w:r>
        <w:br/>
      </w:r>
      <w:r>
        <w:rPr>
          <w:rFonts w:ascii="Arial" w:eastAsia="Arial" w:hAnsi="Arial" w:cs="Arial"/>
          <w:b/>
          <w:color w:val="000000"/>
          <w:sz w:val="20"/>
        </w:rPr>
        <w:t>CONTENTS</w:t>
      </w:r>
    </w:p>
    <w:p w:rsidR="00E456CD" w:rsidRDefault="00E22289">
      <w:pPr>
        <w:pStyle w:val="Normal16"/>
        <w:widowControl w:val="0"/>
        <w:spacing w:before="240" w:line="260" w:lineRule="atLeast"/>
      </w:pPr>
      <w:r>
        <w:rPr>
          <w:noProof/>
        </w:rPr>
        <w:drawing>
          <wp:inline distT="0" distB="0" distL="0" distR="0">
            <wp:extent cx="190500" cy="190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bookmarkStart w:id="2975" w:name="Table1_insert"/>
      <w:r w:rsidR="00000000">
        <w:fldChar w:fldCharType="begin"/>
      </w:r>
      <w:r w:rsidR="00000000">
        <w:instrText>HYPERLINK \l "Table1"</w:instrText>
      </w:r>
      <w:r w:rsidR="00000000">
        <w:fldChar w:fldCharType="separate"/>
      </w:r>
      <w:r w:rsidR="00000000">
        <w:rPr>
          <w:rFonts w:ascii="Arial" w:eastAsia="Arial" w:hAnsi="Arial" w:cs="Arial"/>
          <w:color w:val="0077CC"/>
          <w:sz w:val="20"/>
          <w:u w:val="single"/>
          <w:shd w:val="clear" w:color="auto" w:fill="FFFFFF"/>
        </w:rPr>
        <w:t>Go to table1</w:t>
      </w:r>
      <w:r w:rsidR="00000000">
        <w:rPr>
          <w:rFonts w:ascii="Arial" w:eastAsia="Arial" w:hAnsi="Arial" w:cs="Arial"/>
          <w:color w:val="0077CC"/>
          <w:sz w:val="20"/>
          <w:u w:val="single"/>
          <w:shd w:val="clear" w:color="auto" w:fill="FFFFFF"/>
        </w:rPr>
        <w:fldChar w:fldCharType="end"/>
      </w:r>
      <w:bookmarkEnd w:id="2975"/>
    </w:p>
    <w:p w:rsidR="00E456CD" w:rsidRDefault="00000000">
      <w:pPr>
        <w:pStyle w:val="Normal16"/>
        <w:widowControl w:val="0"/>
        <w:spacing w:before="240" w:line="260" w:lineRule="atLeast"/>
      </w:pPr>
      <w:r>
        <w:br/>
      </w:r>
      <w:r>
        <w:rPr>
          <w:rFonts w:ascii="Arial" w:eastAsia="Arial" w:hAnsi="Arial" w:cs="Arial"/>
          <w:b/>
          <w:color w:val="000000"/>
          <w:sz w:val="20"/>
        </w:rPr>
        <w:t>I. DISNEY THEME PARKS</w:t>
      </w:r>
    </w:p>
    <w:p w:rsidR="00E456CD" w:rsidRDefault="00000000">
      <w:pPr>
        <w:pStyle w:val="Normal16"/>
        <w:widowControl w:val="0"/>
        <w:spacing w:before="200" w:line="260" w:lineRule="atLeast"/>
        <w:jc w:val="both"/>
      </w:pPr>
      <w:bookmarkStart w:id="2976" w:name="Bookmark_para_6_15"/>
      <w:bookmarkEnd w:id="2976"/>
      <w:r>
        <w:rPr>
          <w:rFonts w:ascii="Arial" w:eastAsia="Arial" w:hAnsi="Arial" w:cs="Arial"/>
          <w:color w:val="000000"/>
          <w:sz w:val="20"/>
        </w:rPr>
        <w:t>To evaluate plaintiffs' claims that Disney's DAS program does not adequately accommodate their disabilities, we discuss Disney's parks, its pass system for accessing rides, and how the DAS program works in that context.</w:t>
      </w:r>
    </w:p>
    <w:p w:rsidR="00E456CD" w:rsidRDefault="00000000">
      <w:pPr>
        <w:pStyle w:val="Normal16"/>
        <w:widowControl w:val="0"/>
        <w:spacing w:before="240" w:line="260" w:lineRule="atLeast"/>
      </w:pPr>
      <w:r>
        <w:br/>
      </w:r>
      <w:r>
        <w:rPr>
          <w:rFonts w:ascii="Arial" w:eastAsia="Arial" w:hAnsi="Arial" w:cs="Arial"/>
          <w:b/>
          <w:color w:val="000000"/>
          <w:sz w:val="20"/>
        </w:rPr>
        <w:t>A. General Background</w:t>
      </w:r>
    </w:p>
    <w:p w:rsidR="00E456CD" w:rsidRDefault="00000000">
      <w:pPr>
        <w:pStyle w:val="Normal16"/>
        <w:widowControl w:val="0"/>
        <w:spacing w:before="200" w:line="260" w:lineRule="atLeast"/>
        <w:jc w:val="both"/>
      </w:pPr>
      <w:bookmarkStart w:id="2977" w:name="Bookmark_para_7_15"/>
      <w:bookmarkEnd w:id="2977"/>
      <w:r>
        <w:rPr>
          <w:rFonts w:ascii="Arial" w:eastAsia="Arial" w:hAnsi="Arial" w:cs="Arial"/>
          <w:color w:val="000000"/>
          <w:sz w:val="20"/>
        </w:rPr>
        <w:t>Disney's six theme parks at issue include Disneyland and Disney California Adventure, both located in California; and the Magic Kingdom, Epcot, Disney's Hollywood Studios, and Disney's Animal Kingdom, which are all part of the Walt Disney World Resort in Florida.</w:t>
      </w:r>
    </w:p>
    <w:p w:rsidR="00E456CD" w:rsidRDefault="00000000">
      <w:pPr>
        <w:pStyle w:val="Normal16"/>
        <w:widowControl w:val="0"/>
        <w:spacing w:before="200" w:line="260" w:lineRule="atLeast"/>
        <w:jc w:val="both"/>
      </w:pPr>
      <w:bookmarkStart w:id="2978" w:name="Bookmark_para_8_15"/>
      <w:bookmarkEnd w:id="2978"/>
      <w:r>
        <w:rPr>
          <w:rFonts w:ascii="Arial" w:eastAsia="Arial" w:hAnsi="Arial" w:cs="Arial"/>
          <w:color w:val="000000"/>
          <w:sz w:val="20"/>
        </w:rPr>
        <w:t>These parks are popular vacation destinations. In 2017, the Magic Kingdom in Florida received over 20 million guests. This works out to an average of almost 55,000 visitors per day, every day of the year. The same year, Disney California Adventure, the least visited of Disney's parks in the United States, received over 9.5 million visitors or around 26,000 per day.</w:t>
      </w:r>
      <w:r>
        <w:rPr>
          <w:rFonts w:ascii="Arial" w:eastAsia="Arial" w:hAnsi="Arial" w:cs="Arial"/>
          <w:vertAlign w:val="superscript"/>
        </w:rPr>
        <w:footnoteReference w:customMarkFollows="1" w:id="122"/>
        <w:t>1</w:t>
      </w:r>
    </w:p>
    <w:p w:rsidR="00E456CD" w:rsidRDefault="00000000">
      <w:pPr>
        <w:pStyle w:val="Normal16"/>
        <w:widowControl w:val="0"/>
        <w:spacing w:before="200" w:line="260" w:lineRule="atLeast"/>
        <w:jc w:val="both"/>
      </w:pPr>
      <w:bookmarkStart w:id="2980" w:name="Bookmark_para_9_15"/>
      <w:bookmarkEnd w:id="2980"/>
      <w:r>
        <w:rPr>
          <w:rFonts w:ascii="Arial" w:eastAsia="Arial" w:hAnsi="Arial" w:cs="Arial"/>
          <w:color w:val="000000"/>
          <w:sz w:val="20"/>
        </w:rPr>
        <w:t> [*1275]  Each theme park contains rides and other types of attractions. For simplicity, we use the term "ride" to refer collectively to the rides and attractions that may require waiting [**24]  in line before boarding. Disneyland has 46 rides; the Magic Kingdom has 40; Animal Kingdom has 39; Epcot has 29; California Adventure has 24; and Hollywood Studios has 11. The numbers of rides vary over time so these are approximate numbers. The density of the rides varies between theme parks because the parks vary greatly in geographic area.</w:t>
      </w:r>
      <w:r>
        <w:rPr>
          <w:rFonts w:ascii="Arial" w:eastAsia="Arial" w:hAnsi="Arial" w:cs="Arial"/>
          <w:vertAlign w:val="superscript"/>
        </w:rPr>
        <w:footnoteReference w:customMarkFollows="1" w:id="123"/>
        <w:t>2</w:t>
      </w:r>
    </w:p>
    <w:p w:rsidR="00E456CD" w:rsidRDefault="00000000">
      <w:pPr>
        <w:pStyle w:val="Normal16"/>
        <w:widowControl w:val="0"/>
        <w:spacing w:before="200" w:line="260" w:lineRule="atLeast"/>
        <w:jc w:val="both"/>
      </w:pPr>
      <w:bookmarkStart w:id="2982" w:name="Bookmark_para_10_15"/>
      <w:bookmarkEnd w:id="2982"/>
      <w:r>
        <w:rPr>
          <w:rFonts w:ascii="Arial" w:eastAsia="Arial" w:hAnsi="Arial" w:cs="Arial"/>
          <w:color w:val="000000"/>
          <w:sz w:val="20"/>
        </w:rPr>
        <w:t>The parks offer activities with no lines or short lines, including parades, shows, concerts, characters, stores, and restaurants. Many rides also have no wait times. A guest can walk up and get on many rides within 5 to 10 minutes. Some popular rides, however, have wait times from 10 to 30 minutes. The newest or most popular rides may involve wait times ranging from 30 to 90 minutes or more.</w:t>
      </w:r>
    </w:p>
    <w:p w:rsidR="00E456CD" w:rsidRDefault="00000000">
      <w:pPr>
        <w:pStyle w:val="Normal16"/>
        <w:widowControl w:val="0"/>
        <w:spacing w:before="200" w:line="260" w:lineRule="atLeast"/>
        <w:jc w:val="both"/>
      </w:pPr>
      <w:bookmarkStart w:id="2983" w:name="Bookmark_para_11_15"/>
      <w:bookmarkEnd w:id="2983"/>
      <w:r>
        <w:rPr>
          <w:rFonts w:ascii="Arial" w:eastAsia="Arial" w:hAnsi="Arial" w:cs="Arial"/>
          <w:color w:val="000000"/>
          <w:sz w:val="20"/>
        </w:rPr>
        <w:t>To reduce wait times, Disney introduced a mobile app, called "My Disney Experience." The app contains a map of the park and shows the location of each ride by name. Using the map, a guest can see what rides are available and the location of each ride in relation to the guest's current location. The map shows in "real time" the wait time, if any, for every ride.</w:t>
      </w:r>
    </w:p>
    <w:p w:rsidR="00E456CD" w:rsidRDefault="00000000">
      <w:pPr>
        <w:pStyle w:val="Normal16"/>
        <w:widowControl w:val="0"/>
        <w:spacing w:before="200" w:line="260" w:lineRule="atLeast"/>
        <w:jc w:val="both"/>
      </w:pPr>
      <w:bookmarkStart w:id="2984" w:name="Bookmark_para_12_14"/>
      <w:bookmarkEnd w:id="2984"/>
      <w:r>
        <w:rPr>
          <w:rFonts w:ascii="Arial" w:eastAsia="Arial" w:hAnsi="Arial" w:cs="Arial"/>
          <w:color w:val="000000"/>
          <w:sz w:val="20"/>
        </w:rPr>
        <w:t>Wait times for rides depend on a number of factors, including: the popularity of the ride; the day [**25]  of the week; the time of day; the time of year; the weather conditions; whether the ride is running at less than full capacity; whether a nearby ride experienced an unexpected shutdown; and whether a nearby parade ended recently. When guests wait for rides, they do so in one of two lines: (1) the Stand-By line; or (2) the FastPass line.</w:t>
      </w:r>
    </w:p>
    <w:p w:rsidR="00E456CD" w:rsidRDefault="00000000">
      <w:pPr>
        <w:pStyle w:val="Normal16"/>
        <w:widowControl w:val="0"/>
        <w:spacing w:before="200" w:line="260" w:lineRule="atLeast"/>
        <w:jc w:val="both"/>
      </w:pPr>
      <w:bookmarkStart w:id="2985" w:name="Bookmark_para_13_13"/>
      <w:bookmarkEnd w:id="2985"/>
      <w:r>
        <w:rPr>
          <w:rFonts w:ascii="Arial" w:eastAsia="Arial" w:hAnsi="Arial" w:cs="Arial"/>
          <w:color w:val="000000"/>
          <w:sz w:val="20"/>
        </w:rPr>
        <w:t>The Stand-By line operates this way. A guest joins the line at the end and moves up to the front as the people ahead board the ride. If a ride has a 60-minute wait, the guest waits physically in the Stand-By line for 60 minutes. Anyone wishing to board the ride with the guest must also wait physically in the Stand-By line. A guest cannot hold a place in line for his group.</w:t>
      </w:r>
    </w:p>
    <w:p w:rsidR="00E456CD" w:rsidRDefault="00000000">
      <w:pPr>
        <w:pStyle w:val="Normal16"/>
        <w:widowControl w:val="0"/>
        <w:spacing w:before="240" w:line="260" w:lineRule="atLeast"/>
      </w:pPr>
      <w:r>
        <w:br/>
      </w:r>
      <w:r>
        <w:rPr>
          <w:rFonts w:ascii="Arial" w:eastAsia="Arial" w:hAnsi="Arial" w:cs="Arial"/>
          <w:b/>
          <w:color w:val="000000"/>
          <w:sz w:val="20"/>
        </w:rPr>
        <w:t>B. FastPass System</w:t>
      </w:r>
    </w:p>
    <w:p w:rsidR="00E456CD" w:rsidRDefault="00000000">
      <w:pPr>
        <w:pStyle w:val="Normal16"/>
        <w:widowControl w:val="0"/>
        <w:spacing w:before="200" w:line="260" w:lineRule="atLeast"/>
        <w:jc w:val="both"/>
      </w:pPr>
      <w:bookmarkStart w:id="2986" w:name="Bookmark_para_14_13"/>
      <w:bookmarkEnd w:id="2986"/>
      <w:r>
        <w:rPr>
          <w:rFonts w:ascii="Arial" w:eastAsia="Arial" w:hAnsi="Arial" w:cs="Arial"/>
          <w:color w:val="000000"/>
          <w:sz w:val="20"/>
        </w:rPr>
        <w:t>To reduce wait times, Disney developed the FastPass system, which allows guests to enter immediately at least three rides and avoid Stand-By lines. All guests have access to the FastPass system, which has evolved over the years.</w:t>
      </w:r>
    </w:p>
    <w:p w:rsidR="00E456CD" w:rsidRDefault="00000000">
      <w:pPr>
        <w:pStyle w:val="Normal16"/>
        <w:widowControl w:val="0"/>
        <w:spacing w:before="200" w:line="260" w:lineRule="atLeast"/>
        <w:jc w:val="both"/>
      </w:pPr>
      <w:bookmarkStart w:id="2987" w:name="Bookmark_para_15_13"/>
      <w:bookmarkEnd w:id="2987"/>
      <w:r>
        <w:rPr>
          <w:rFonts w:ascii="Arial" w:eastAsia="Arial" w:hAnsi="Arial" w:cs="Arial"/>
          <w:color w:val="000000"/>
          <w:sz w:val="20"/>
        </w:rPr>
        <w:t>Disney's present version of FastPass is the FastPass+ system. With FastPass+, a guest can make advance reservations for up to three rides for each day of his visit. A guest might reserve one ride at 10:00 a.m., one at 1:30 p.m., and one at 4:00 [**26]  p.m. At each of those reserved times—or within an "arrival window" around the reserved time—the guest can go to the ride and board through the express FastPass line, which typically involves a wait of no more than 5 to 10 minutes. This eliminates the need to stand physically in a line for those three rides. FastPass+ reservations are available on a first-come, first-served basis.</w:t>
      </w:r>
    </w:p>
    <w:p w:rsidR="00E456CD" w:rsidRDefault="00000000">
      <w:pPr>
        <w:pStyle w:val="Normal16"/>
        <w:widowControl w:val="0"/>
        <w:spacing w:before="200" w:line="260" w:lineRule="atLeast"/>
        <w:jc w:val="both"/>
      </w:pPr>
      <w:bookmarkStart w:id="2988" w:name="Bookmark_para_16_12"/>
      <w:bookmarkEnd w:id="2988"/>
      <w:r>
        <w:rPr>
          <w:rFonts w:ascii="Arial" w:eastAsia="Arial" w:hAnsi="Arial" w:cs="Arial"/>
          <w:color w:val="000000"/>
          <w:sz w:val="20"/>
        </w:rPr>
        <w:t>FastPass+ reservation times are part of each ride's capacity inventory. Once capacity is reached for the ride, no more FastPass+  [*1276]  reservations for that ride are granted for that day. All guests who have purchased an admission ticket to a theme park can make their FastPass+ selections up to 30 days in advance. If a guest is staying at a Disney Resort hotel, the guest can make his FastPass+ selections up to 60 days prior to check-in.</w:t>
      </w:r>
    </w:p>
    <w:p w:rsidR="00E456CD" w:rsidRDefault="00000000">
      <w:pPr>
        <w:pStyle w:val="Normal16"/>
        <w:widowControl w:val="0"/>
        <w:spacing w:before="200" w:line="260" w:lineRule="atLeast"/>
        <w:jc w:val="both"/>
      </w:pPr>
      <w:bookmarkStart w:id="2989" w:name="Bookmark_para_17_11"/>
      <w:bookmarkEnd w:id="2989"/>
      <w:r>
        <w:rPr>
          <w:rFonts w:ascii="Arial" w:eastAsia="Arial" w:hAnsi="Arial" w:cs="Arial"/>
          <w:color w:val="000000"/>
          <w:sz w:val="20"/>
        </w:rPr>
        <w:t>The FastPass+ system has another valuable benefit. After the guest has used his three advance FastPass+ reservations each day, the guest while in the park can make another FastPass+ selection, depending on availability. The guest can make this fourth reservation at the rides, at in-park kiosks, or on Disney's mobile app. After using his three advance FastPass+ reservations, the guest [**27]  may hold only one subsequent reservation at a time. The guest must use that fourth reservation before the guest makes a fifth.</w:t>
      </w:r>
    </w:p>
    <w:p w:rsidR="00E456CD" w:rsidRDefault="00000000">
      <w:pPr>
        <w:pStyle w:val="Normal16"/>
        <w:widowControl w:val="0"/>
        <w:spacing w:before="200" w:line="260" w:lineRule="atLeast"/>
        <w:jc w:val="both"/>
      </w:pPr>
      <w:bookmarkStart w:id="2990" w:name="Bookmark_para_18_11"/>
      <w:bookmarkEnd w:id="2990"/>
      <w:r>
        <w:rPr>
          <w:rFonts w:ascii="Arial" w:eastAsia="Arial" w:hAnsi="Arial" w:cs="Arial"/>
          <w:color w:val="000000"/>
          <w:sz w:val="20"/>
        </w:rPr>
        <w:t>Guests in the park who did not make advance reservations can still use the FastPass+ system and make reservations at rides, kiosks, or on the mobile app. However, for the most popular rides, the FastPass reservations for a given day may already be taken by the time the day begins.</w:t>
      </w:r>
    </w:p>
    <w:p w:rsidR="00E456CD" w:rsidRDefault="00000000">
      <w:pPr>
        <w:pStyle w:val="Normal16"/>
        <w:widowControl w:val="0"/>
        <w:spacing w:before="240" w:line="260" w:lineRule="atLeast"/>
      </w:pPr>
      <w:r>
        <w:br/>
      </w:r>
      <w:r>
        <w:rPr>
          <w:rFonts w:ascii="Arial" w:eastAsia="Arial" w:hAnsi="Arial" w:cs="Arial"/>
          <w:b/>
          <w:color w:val="000000"/>
          <w:sz w:val="20"/>
        </w:rPr>
        <w:t>C. Re-admission Passes</w:t>
      </w:r>
    </w:p>
    <w:p w:rsidR="00E456CD" w:rsidRDefault="00000000">
      <w:pPr>
        <w:pStyle w:val="Normal16"/>
        <w:widowControl w:val="0"/>
        <w:spacing w:before="200" w:line="260" w:lineRule="atLeast"/>
        <w:jc w:val="both"/>
      </w:pPr>
      <w:bookmarkStart w:id="2991" w:name="Bookmark_para_19_11"/>
      <w:bookmarkEnd w:id="2991"/>
      <w:r>
        <w:rPr>
          <w:rFonts w:ascii="Arial" w:eastAsia="Arial" w:hAnsi="Arial" w:cs="Arial"/>
          <w:color w:val="000000"/>
          <w:sz w:val="20"/>
        </w:rPr>
        <w:t>Disney's staff also issues a limited number of instant access passes, known as re-admission passes or Re-ad Passes. A Re-ad Pass allows a guest to access immediately a ride by going to the short FastPass line. A Re-ad Pass is good for one person and one use only. Disney's park employees, known as "cast members," can issue Re-ad Passes at Guest Relations or out in the park.</w:t>
      </w:r>
    </w:p>
    <w:p w:rsidR="00E456CD" w:rsidRDefault="00000000">
      <w:pPr>
        <w:pStyle w:val="Normal16"/>
        <w:widowControl w:val="0"/>
        <w:spacing w:before="200" w:line="260" w:lineRule="atLeast"/>
        <w:jc w:val="both"/>
      </w:pPr>
      <w:bookmarkStart w:id="2992" w:name="Bookmark_para_20_11"/>
      <w:bookmarkEnd w:id="2992"/>
      <w:r>
        <w:rPr>
          <w:rFonts w:ascii="Arial" w:eastAsia="Arial" w:hAnsi="Arial" w:cs="Arial"/>
          <w:color w:val="000000"/>
          <w:sz w:val="20"/>
        </w:rPr>
        <w:t>A Re-ad Pass has benefits over a FastPass reservation. A guest can use a Re-ad Pass at any time and for any ride, whereas a FastPass reservation is for a specific ride at a set time and must be used within an hour of that time. To illustrate, if a guest has two Re-ad Passes, the guest can access the same ride twice, even if it is the most popular ride with a long Stand-By wait time.</w:t>
      </w:r>
    </w:p>
    <w:p w:rsidR="00E456CD" w:rsidRDefault="00000000">
      <w:pPr>
        <w:pStyle w:val="Normal16"/>
        <w:widowControl w:val="0"/>
        <w:spacing w:before="200" w:line="260" w:lineRule="atLeast"/>
        <w:jc w:val="both"/>
      </w:pPr>
      <w:bookmarkStart w:id="2993" w:name="Bookmark_para_21_11"/>
      <w:bookmarkEnd w:id="2993"/>
      <w:r>
        <w:rPr>
          <w:rFonts w:ascii="Arial" w:eastAsia="Arial" w:hAnsi="Arial" w:cs="Arial"/>
          <w:color w:val="000000"/>
          <w:sz w:val="20"/>
        </w:rPr>
        <w:t>A guest cannot [**28]  purchase or reserve a Re-ad Pass. Disabled guests can request Re-ad Passes at Guest Relations, but the staff has discretion whether to grant them.</w:t>
      </w:r>
      <w:r>
        <w:rPr>
          <w:rFonts w:ascii="Arial" w:eastAsia="Arial" w:hAnsi="Arial" w:cs="Arial"/>
          <w:vertAlign w:val="superscript"/>
        </w:rPr>
        <w:footnoteReference w:customMarkFollows="1" w:id="124"/>
        <w:t>3</w:t>
      </w:r>
      <w:r>
        <w:rPr>
          <w:rFonts w:ascii="Arial" w:eastAsia="Arial" w:hAnsi="Arial" w:cs="Arial"/>
          <w:color w:val="000000"/>
          <w:sz w:val="20"/>
        </w:rPr>
        <w:t xml:space="preserve"> Re-ad Passes are also an ameliorative tool that cast members may deploy when a guest, whether disabled or not, has a negative or disappointing experience.</w:t>
      </w:r>
    </w:p>
    <w:p w:rsidR="00E456CD" w:rsidRDefault="00000000">
      <w:pPr>
        <w:pStyle w:val="Normal16"/>
        <w:widowControl w:val="0"/>
        <w:spacing w:before="240" w:line="260" w:lineRule="atLeast"/>
      </w:pPr>
      <w:r>
        <w:br/>
      </w:r>
      <w:r>
        <w:rPr>
          <w:rFonts w:ascii="Arial" w:eastAsia="Arial" w:hAnsi="Arial" w:cs="Arial"/>
          <w:b/>
          <w:color w:val="000000"/>
          <w:sz w:val="20"/>
        </w:rPr>
        <w:t>D. Disability Access Service Program (DAS)</w:t>
      </w:r>
    </w:p>
    <w:p w:rsidR="00E456CD" w:rsidRDefault="00000000">
      <w:pPr>
        <w:pStyle w:val="Normal16"/>
        <w:widowControl w:val="0"/>
        <w:spacing w:before="200" w:line="260" w:lineRule="atLeast"/>
        <w:jc w:val="both"/>
      </w:pPr>
      <w:bookmarkStart w:id="2995" w:name="Bookmark_para_22_11"/>
      <w:bookmarkEnd w:id="2995"/>
      <w:r>
        <w:rPr>
          <w:rFonts w:ascii="Arial" w:eastAsia="Arial" w:hAnsi="Arial" w:cs="Arial"/>
          <w:color w:val="000000"/>
          <w:sz w:val="20"/>
        </w:rPr>
        <w:t>Disney's primary accommodations for guests with cognitive disabilities, including autism, involve the DAS program, where Disney issues a special access card to disabled guests (the "DAS Card"). Disney introduced the DAS program on October 9, 2013. Disney's website has a 23-page resource guide, entitled "Guests with Cognitive Disabilities including Autism Spectrum Disorder (ASD)" (the "Guide"). As to the DAS program, its website also includes a 2-page "Fact Sheet" and a Frequently Asked Questions ("FAQs") section. The DAS program is designed for guests who are unable to tolerate extended waits at rides due to their cognitive disabilities.</w:t>
      </w:r>
    </w:p>
    <w:p w:rsidR="00E456CD" w:rsidRDefault="00000000">
      <w:pPr>
        <w:pStyle w:val="Normal16"/>
        <w:widowControl w:val="0"/>
        <w:spacing w:before="200" w:line="260" w:lineRule="atLeast"/>
        <w:jc w:val="both"/>
      </w:pPr>
      <w:bookmarkStart w:id="2996" w:name="Bookmark_para_23_11"/>
      <w:bookmarkEnd w:id="2996"/>
      <w:r>
        <w:rPr>
          <w:rFonts w:ascii="Arial" w:eastAsia="Arial" w:hAnsi="Arial" w:cs="Arial"/>
          <w:color w:val="000000"/>
          <w:sz w:val="20"/>
        </w:rPr>
        <w:t>DAS Cards are obtained at Guest Relations, which is typically located near the main entrance of a park. Disney does not require disabled guests or their parents to present any medical information or proof  [*1277]  about their [**29]  autism or cognitive disabilities to obtain a DAS Card. Rather, the parent or other person with the guest goes to Guest Relations at the main entrance and advises Disney that the group includes a disabled guest. The registration process includes taking a photo of the guest or a guardian. Disney then issues the DAS Card.</w:t>
      </w:r>
    </w:p>
    <w:p w:rsidR="00E456CD" w:rsidRDefault="00000000">
      <w:pPr>
        <w:pStyle w:val="Normal16"/>
        <w:widowControl w:val="0"/>
        <w:spacing w:before="200" w:line="260" w:lineRule="atLeast"/>
        <w:jc w:val="both"/>
      </w:pPr>
      <w:bookmarkStart w:id="2997" w:name="Bookmark_para_24_10"/>
      <w:bookmarkEnd w:id="2997"/>
      <w:r>
        <w:rPr>
          <w:rFonts w:ascii="Arial" w:eastAsia="Arial" w:hAnsi="Arial" w:cs="Arial"/>
          <w:color w:val="000000"/>
          <w:sz w:val="20"/>
        </w:rPr>
        <w:t>The DAS Card provides significant benefits. The DAS Card allows a disabled guest to obtain scheduled times for all rides, so that he never has to stand physically in a line for any ride at any time. After the DAS program was introduced, all plaintiffs ultimately visited a Disney park and received a DAS Card.</w:t>
      </w:r>
    </w:p>
    <w:p w:rsidR="00E456CD" w:rsidRDefault="00000000">
      <w:pPr>
        <w:pStyle w:val="Normal16"/>
        <w:widowControl w:val="0"/>
        <w:spacing w:before="200" w:line="260" w:lineRule="atLeast"/>
        <w:jc w:val="both"/>
      </w:pPr>
      <w:bookmarkStart w:id="2998" w:name="Bookmark_para_25_10"/>
      <w:bookmarkEnd w:id="2998"/>
      <w:r>
        <w:rPr>
          <w:rFonts w:ascii="Arial" w:eastAsia="Arial" w:hAnsi="Arial" w:cs="Arial"/>
          <w:color w:val="000000"/>
          <w:sz w:val="20"/>
        </w:rPr>
        <w:t>The way the DAS program works is this. A guest holding a DAS Card can obtain a "return time," also known as an "appointment time," to visit the rides in the park. DAS "return times" are available either at the individual rides or at kiosks throughout the park. The disabled guest does not personally need to be present to obtain a "return time"; anyone in the guest's group can do so. However, the DAS Cardholder must be present to board the ride and "redeem" the return time. When the disabled guest and his group arrive at that "return time," they board the ride through [**30]  the short FastPass line, with very little to no wait.</w:t>
      </w:r>
    </w:p>
    <w:p w:rsidR="00E456CD" w:rsidRDefault="00000000">
      <w:pPr>
        <w:pStyle w:val="Normal16"/>
        <w:widowControl w:val="0"/>
        <w:spacing w:before="200" w:line="260" w:lineRule="atLeast"/>
        <w:jc w:val="both"/>
      </w:pPr>
      <w:bookmarkStart w:id="2999" w:name="Bookmark_para_26_10"/>
      <w:bookmarkEnd w:id="2999"/>
      <w:r>
        <w:rPr>
          <w:rFonts w:ascii="Arial" w:eastAsia="Arial" w:hAnsi="Arial" w:cs="Arial"/>
          <w:color w:val="000000"/>
          <w:sz w:val="20"/>
        </w:rPr>
        <w:t>Once the "return time" is obtained for a ride, the guest and his entire group are not required to wait in the physical Stand-By line for that ride. The disabled guest and his group can use that interval time, which is unavailable to nondisabled guests, to enjoy the many other activities of the park. Those activities include parades, concerts, characters, shows, restaurants, stores, attractions, and even rides with no wait at all.</w:t>
      </w:r>
    </w:p>
    <w:p w:rsidR="00E456CD" w:rsidRDefault="00000000">
      <w:pPr>
        <w:pStyle w:val="Normal16"/>
        <w:widowControl w:val="0"/>
        <w:spacing w:before="200" w:line="260" w:lineRule="atLeast"/>
        <w:jc w:val="both"/>
      </w:pPr>
      <w:bookmarkStart w:id="3000" w:name="Bookmark_para_27_10"/>
      <w:bookmarkEnd w:id="3000"/>
      <w:r>
        <w:rPr>
          <w:rFonts w:ascii="Arial" w:eastAsia="Arial" w:hAnsi="Arial" w:cs="Arial"/>
          <w:color w:val="000000"/>
          <w:sz w:val="20"/>
        </w:rPr>
        <w:t>For example, at 10:00 a.m. a disabled guest and his group could obtain a return time of 11:30 a.m. for the most popular ride that has long wait times, and then, between 10:00 a.m. and 11:30 a.m., they could visit rides or attractions that have no wait or could use one of their three FastPass+ reservations to access a ride with a wait. Kiosks in the park, as well as Disney's mobile app, tell guests what other rides currently have no wait at all or the amount of the wait time if there is one.</w:t>
      </w:r>
    </w:p>
    <w:p w:rsidR="00E456CD" w:rsidRDefault="00000000">
      <w:pPr>
        <w:pStyle w:val="Normal16"/>
        <w:widowControl w:val="0"/>
        <w:spacing w:before="200" w:line="260" w:lineRule="atLeast"/>
        <w:jc w:val="both"/>
      </w:pPr>
      <w:bookmarkStart w:id="3001" w:name="Bookmark_para_28_10"/>
      <w:bookmarkEnd w:id="3001"/>
      <w:r>
        <w:rPr>
          <w:rFonts w:ascii="Arial" w:eastAsia="Arial" w:hAnsi="Arial" w:cs="Arial"/>
          <w:color w:val="000000"/>
          <w:sz w:val="20"/>
        </w:rPr>
        <w:t>The disabled guest and his group may hold only one DAS Card "return time" at a time. Once they go on the ride, they can schedule another "return time" at the ride or a kiosk. While the guest can have only one return time [**31]  at a time, DAS Card entitlements never run out for the day and can always be requested.</w:t>
      </w:r>
    </w:p>
    <w:p w:rsidR="00E456CD" w:rsidRDefault="00000000">
      <w:pPr>
        <w:pStyle w:val="Normal16"/>
        <w:widowControl w:val="0"/>
        <w:spacing w:before="200" w:line="260" w:lineRule="atLeast"/>
        <w:jc w:val="both"/>
      </w:pPr>
      <w:bookmarkStart w:id="3002" w:name="Bookmark_para_29_10"/>
      <w:bookmarkEnd w:id="3002"/>
      <w:r>
        <w:rPr>
          <w:rFonts w:ascii="Arial" w:eastAsia="Arial" w:hAnsi="Arial" w:cs="Arial"/>
          <w:color w:val="000000"/>
          <w:sz w:val="20"/>
        </w:rPr>
        <w:t>The DAS Card works on the same principle as the FastPass system but has more benefits. First, although a disabled guest with a DAS Card (like any guest) can still make three FastPass+ reservations in advance, the DAS Cardholder does not need to wait until his three FastPass+ appointments are used before obtaining an additional "return time." Rather, the DAS Cardholder can begin making appointments with his DAS Card as soon as he arrives at the park in the morning, including when he initially obtains his DAS Card at Guest Relations. Thus, every DAS Cardholder enters a Disney park with four opportunities to enter the FastPass line for different rides: the three advance reservations through FastPass+ and the first DAS Card "return time."</w:t>
      </w:r>
    </w:p>
    <w:p w:rsidR="00E456CD" w:rsidRDefault="00000000">
      <w:pPr>
        <w:pStyle w:val="Normal16"/>
        <w:widowControl w:val="0"/>
        <w:spacing w:before="200" w:line="260" w:lineRule="atLeast"/>
        <w:jc w:val="both"/>
      </w:pPr>
      <w:bookmarkStart w:id="3003" w:name="Bookmark_para_30_10"/>
      <w:bookmarkEnd w:id="3003"/>
      <w:r>
        <w:rPr>
          <w:rFonts w:ascii="Arial" w:eastAsia="Arial" w:hAnsi="Arial" w:cs="Arial"/>
          <w:color w:val="000000"/>
          <w:sz w:val="20"/>
        </w:rPr>
        <w:t>Second, with a DAS Card, a disabled guest's appointment time is good until the end of the day. The guest is not obliged to board the ride at a particular time or even within an arrival window. Instead, the DAS guest may return to the ride at any point after the scheduled return time and still board immediately.</w:t>
      </w:r>
    </w:p>
    <w:p w:rsidR="00E456CD" w:rsidRDefault="00000000">
      <w:pPr>
        <w:pStyle w:val="Normal16"/>
        <w:widowControl w:val="0"/>
        <w:spacing w:before="200" w:line="260" w:lineRule="atLeast"/>
        <w:jc w:val="both"/>
      </w:pPr>
      <w:bookmarkStart w:id="3004" w:name="Bookmark_para_31_10"/>
      <w:bookmarkEnd w:id="3004"/>
      <w:r>
        <w:rPr>
          <w:rFonts w:ascii="Arial" w:eastAsia="Arial" w:hAnsi="Arial" w:cs="Arial"/>
          <w:color w:val="000000"/>
          <w:sz w:val="20"/>
        </w:rPr>
        <w:t> [*1278]  Third, when a ride has a posted wait time of 15 minutes or [**32]  less, a DAS Cardholder is allowed to board the ride immediately, with no wait at all. This feature is unique to the DAS Card and can be done all day long with no limitation. The majority of Disney's rides have wait times of 15 minutes or less. And if a popular ride has a posted wait time of an hour, a guest with a DAS Card can obtain a "return time" for that ride and then, in the intervening time, that guest can go on three rides with wait times of 15 minutes or less and be waved right in to those rides.</w:t>
      </w:r>
    </w:p>
    <w:p w:rsidR="00E456CD" w:rsidRDefault="00000000">
      <w:pPr>
        <w:pStyle w:val="Normal16"/>
        <w:widowControl w:val="0"/>
        <w:spacing w:before="200" w:line="260" w:lineRule="atLeast"/>
        <w:jc w:val="both"/>
      </w:pPr>
      <w:bookmarkStart w:id="3005" w:name="Bookmark_para_32_10"/>
      <w:bookmarkEnd w:id="3005"/>
      <w:r>
        <w:rPr>
          <w:rFonts w:ascii="Arial" w:eastAsia="Arial" w:hAnsi="Arial" w:cs="Arial"/>
          <w:color w:val="000000"/>
          <w:sz w:val="20"/>
        </w:rPr>
        <w:t>By contrast, nondisabled guests who wish to ride the same popular ride—except those who used one of their three FastPass+ reservations—must wait in the physical Stand-By line.</w:t>
      </w:r>
    </w:p>
    <w:p w:rsidR="00E456CD" w:rsidRDefault="00000000">
      <w:pPr>
        <w:pStyle w:val="Normal16"/>
        <w:widowControl w:val="0"/>
        <w:spacing w:before="200" w:line="260" w:lineRule="atLeast"/>
        <w:jc w:val="both"/>
      </w:pPr>
      <w:bookmarkStart w:id="3006" w:name="Bookmark_para_33_9"/>
      <w:bookmarkEnd w:id="3006"/>
      <w:r>
        <w:rPr>
          <w:rFonts w:ascii="Arial" w:eastAsia="Arial" w:hAnsi="Arial" w:cs="Arial"/>
          <w:color w:val="000000"/>
          <w:sz w:val="20"/>
        </w:rPr>
        <w:t>In sum, the DAS Card undisputedly does three things: (1) it eliminates the need for a disabled guest to wait in a physical line, even for popular rides with long waits; (2) it provides a disabled guest with immediate access to rides that have a wait of 15 minutes or less; and (3) if a DAS Cardholder wishes, it provides access to more rides in a day than are available to a guest without a DAS Card.</w:t>
      </w:r>
    </w:p>
    <w:p w:rsidR="00E456CD" w:rsidRDefault="00000000">
      <w:pPr>
        <w:pStyle w:val="Normal16"/>
        <w:widowControl w:val="0"/>
        <w:spacing w:before="200" w:line="260" w:lineRule="atLeast"/>
        <w:jc w:val="both"/>
      </w:pPr>
      <w:bookmarkStart w:id="3007" w:name="Bookmark_para_34_8"/>
      <w:bookmarkEnd w:id="3007"/>
      <w:r>
        <w:rPr>
          <w:rFonts w:ascii="Arial" w:eastAsia="Arial" w:hAnsi="Arial" w:cs="Arial"/>
          <w:color w:val="000000"/>
          <w:sz w:val="20"/>
        </w:rPr>
        <w:t>When first introduced, a DAS Card was a physical card, but now it is loaded onto the guest's electronic ticket. Every [**33]  member of the group is electronically associated with the DAS Cardholder.</w:t>
      </w:r>
    </w:p>
    <w:p w:rsidR="00E456CD" w:rsidRDefault="00000000">
      <w:pPr>
        <w:pStyle w:val="Normal16"/>
        <w:widowControl w:val="0"/>
        <w:spacing w:before="240" w:line="260" w:lineRule="atLeast"/>
      </w:pPr>
      <w:r>
        <w:br/>
      </w:r>
      <w:r>
        <w:rPr>
          <w:rFonts w:ascii="Arial" w:eastAsia="Arial" w:hAnsi="Arial" w:cs="Arial"/>
          <w:b/>
          <w:color w:val="000000"/>
          <w:sz w:val="20"/>
        </w:rPr>
        <w:t>E. Individualized Accommodations</w:t>
      </w:r>
    </w:p>
    <w:p w:rsidR="00E456CD" w:rsidRDefault="00000000">
      <w:pPr>
        <w:pStyle w:val="Normal16"/>
        <w:widowControl w:val="0"/>
        <w:spacing w:before="200" w:line="260" w:lineRule="atLeast"/>
        <w:jc w:val="both"/>
      </w:pPr>
      <w:bookmarkStart w:id="3008" w:name="Bookmark_para_35_7"/>
      <w:bookmarkEnd w:id="3008"/>
      <w:r>
        <w:rPr>
          <w:rFonts w:ascii="Arial" w:eastAsia="Arial" w:hAnsi="Arial" w:cs="Arial"/>
          <w:color w:val="000000"/>
          <w:sz w:val="20"/>
        </w:rPr>
        <w:t>Disney also offers more individualized accommodations to guests who obtain a DAS Card. In its Guide, Disney acknowledges that some cognitively disabled guests may need more individualized accommodation, stating:</w:t>
      </w:r>
    </w:p>
    <w:p w:rsidR="00E456CD" w:rsidRDefault="00000000">
      <w:pPr>
        <w:pStyle w:val="Normal16"/>
        <w:widowControl w:val="0"/>
        <w:spacing w:before="200" w:line="260" w:lineRule="atLeast"/>
        <w:ind w:left="400"/>
        <w:jc w:val="both"/>
      </w:pPr>
      <w:bookmarkStart w:id="3009" w:name="Bookmark_para_36_7"/>
      <w:bookmarkEnd w:id="3009"/>
      <w:r>
        <w:rPr>
          <w:rFonts w:ascii="Arial" w:eastAsia="Arial" w:hAnsi="Arial" w:cs="Arial"/>
          <w:color w:val="000000"/>
          <w:sz w:val="20"/>
        </w:rPr>
        <w:t xml:space="preserve">To access our attractions, Guests with cognitive disabilities have several options including use of the standard queue, Disney FASTPASS service, Disney FastPass+, the Disability Access Service Card, </w:t>
      </w:r>
      <w:r>
        <w:rPr>
          <w:rFonts w:ascii="Arial" w:eastAsia="Arial" w:hAnsi="Arial" w:cs="Arial"/>
          <w:color w:val="000000"/>
          <w:sz w:val="20"/>
          <w:u w:val="single"/>
        </w:rPr>
        <w:t>and/or additional accommodations based on individual service need</w:t>
      </w:r>
      <w:r>
        <w:rPr>
          <w:rFonts w:ascii="Arial" w:eastAsia="Arial" w:hAnsi="Arial" w:cs="Arial"/>
          <w:color w:val="000000"/>
          <w:sz w:val="20"/>
        </w:rPr>
        <w:t>. To determine which option or options are best for your party, visit the Guest Relations lobby location near the entrance at any of the four Theme Parks.</w:t>
      </w:r>
    </w:p>
    <w:p w:rsidR="00E456CD" w:rsidRDefault="00000000">
      <w:pPr>
        <w:pStyle w:val="Normal16"/>
        <w:widowControl w:val="0"/>
        <w:spacing w:line="260" w:lineRule="atLeast"/>
        <w:jc w:val="both"/>
      </w:pPr>
      <w:r>
        <w:rPr>
          <w:rFonts w:ascii="Arial" w:eastAsia="Arial" w:hAnsi="Arial" w:cs="Arial"/>
          <w:color w:val="000000"/>
          <w:sz w:val="20"/>
        </w:rPr>
        <w:t>(emphasis added). The Guide directs guests to inquire about additional accommodations at Guest Relations, explaining: "To learn more about the Disability Access Service Card as well as additional accommodations available based on individual service needs, visit the Guest Relations lobby location near the entrance at any of the four Theme Parks."</w:t>
      </w:r>
    </w:p>
    <w:p w:rsidR="00E456CD" w:rsidRDefault="00000000">
      <w:pPr>
        <w:pStyle w:val="Normal16"/>
        <w:widowControl w:val="0"/>
        <w:spacing w:before="200" w:line="260" w:lineRule="atLeast"/>
        <w:jc w:val="both"/>
      </w:pPr>
      <w:bookmarkStart w:id="3010" w:name="Bookmark_para_37_6"/>
      <w:bookmarkEnd w:id="3010"/>
      <w:r>
        <w:rPr>
          <w:rFonts w:ascii="Arial" w:eastAsia="Arial" w:hAnsi="Arial" w:cs="Arial"/>
          <w:color w:val="000000"/>
          <w:sz w:val="20"/>
        </w:rPr>
        <w:t>Disney's public FAQs include: "What will Disney Parks do if a Guest is concerned the DAS Card doesn't meet their needs?" [**34]  The FAQ's respond that guests should go to Guest Relations to discuss special accommodations if they are concerned the DAS Card does not meet their needs.</w:t>
      </w:r>
    </w:p>
    <w:p w:rsidR="00E456CD" w:rsidRDefault="00000000">
      <w:pPr>
        <w:pStyle w:val="Normal16"/>
        <w:widowControl w:val="0"/>
        <w:spacing w:before="200" w:line="260" w:lineRule="atLeast"/>
        <w:jc w:val="both"/>
      </w:pPr>
      <w:bookmarkStart w:id="3011" w:name="Bookmark_para_38_6"/>
      <w:bookmarkEnd w:id="3011"/>
      <w:r>
        <w:rPr>
          <w:rFonts w:ascii="Arial" w:eastAsia="Arial" w:hAnsi="Arial" w:cs="Arial"/>
          <w:color w:val="000000"/>
          <w:sz w:val="20"/>
        </w:rPr>
        <w:t>A Disney operations manager described other accommodations based on needs as: (1) planning an itinerary through an in-person meeting at Guest Relations; (2) writing in the first attraction to be visited on the DAS card, (3) issuing attraction Re-ad Passes, and (4) thoroughly explaining the FastPass+ system. When helping plan an itinerary, a Guest Relations cast member takes into account the guest's plans, the weather, and "the environment of the day," given that certain days and times are busier than others.</w:t>
      </w:r>
    </w:p>
    <w:p w:rsidR="00E456CD" w:rsidRDefault="00000000">
      <w:pPr>
        <w:pStyle w:val="Normal16"/>
        <w:widowControl w:val="0"/>
        <w:spacing w:before="200" w:line="260" w:lineRule="atLeast"/>
        <w:jc w:val="both"/>
      </w:pPr>
      <w:bookmarkStart w:id="3012" w:name="Bookmark_para_39_6"/>
      <w:bookmarkEnd w:id="3012"/>
      <w:r>
        <w:rPr>
          <w:rFonts w:ascii="Arial" w:eastAsia="Arial" w:hAnsi="Arial" w:cs="Arial"/>
          <w:color w:val="000000"/>
          <w:sz w:val="20"/>
        </w:rPr>
        <w:t>In addition to the DAS Card, some plaintiffs requested and received Re-ad Passes, which provide immediate access to a ride. Some requested Re-ad Passes but did not receive as many as they wanted. Some plaintiffs received Re-ad Passes during some visits but not during other visits.  [*1279]  Some plaintiffs do not mention Read Passes at all in their affidavits or depositions.</w:t>
      </w:r>
    </w:p>
    <w:p w:rsidR="00E456CD" w:rsidRDefault="00000000">
      <w:pPr>
        <w:pStyle w:val="Normal16"/>
        <w:widowControl w:val="0"/>
        <w:spacing w:before="240" w:line="260" w:lineRule="atLeast"/>
      </w:pPr>
      <w:r>
        <w:br/>
      </w:r>
      <w:r>
        <w:rPr>
          <w:rFonts w:ascii="Arial" w:eastAsia="Arial" w:hAnsi="Arial" w:cs="Arial"/>
          <w:b/>
          <w:color w:val="000000"/>
          <w:sz w:val="20"/>
        </w:rPr>
        <w:t>F. Advance Planning</w:t>
      </w:r>
    </w:p>
    <w:p w:rsidR="00E456CD" w:rsidRDefault="00000000">
      <w:pPr>
        <w:pStyle w:val="Normal16"/>
        <w:widowControl w:val="0"/>
        <w:spacing w:before="200" w:line="260" w:lineRule="atLeast"/>
        <w:jc w:val="both"/>
      </w:pPr>
      <w:bookmarkStart w:id="3013" w:name="Bookmark_para_40_5"/>
      <w:bookmarkEnd w:id="3013"/>
      <w:r>
        <w:rPr>
          <w:rFonts w:ascii="Arial" w:eastAsia="Arial" w:hAnsi="Arial" w:cs="Arial"/>
          <w:color w:val="000000"/>
          <w:sz w:val="20"/>
        </w:rPr>
        <w:t>While Disney offers assistance, its Guide also recommends that families with a cognitively disabled guest plan their visits in advance. The Guide suggests [**35]  that families (1) purchase their tickets in advance to avoid the possibility of waiting in line at ticket locations, (2) create or review a visual schedule or timeline of the day, (3) go over the timeline to help the disabled guest learn the routine, (4) study maps of the theme parks, (5) watch videos describing different rides, so they know what to expect, and (6) practice waiting in line. The Guide also provides guests with a list of every ride in each theme park and indicates which rides include scents or smells, flashing lights, loud noises, periods of darkness, bumps, a fast pace, elevation off the ground, wetness, or an element of surprise.</w:t>
      </w:r>
    </w:p>
    <w:p w:rsidR="00E456CD" w:rsidRDefault="00000000">
      <w:pPr>
        <w:pStyle w:val="Normal16"/>
        <w:widowControl w:val="0"/>
        <w:spacing w:before="200" w:line="260" w:lineRule="atLeast"/>
        <w:jc w:val="both"/>
      </w:pPr>
      <w:bookmarkStart w:id="3014" w:name="Bookmark_para_41_5"/>
      <w:bookmarkEnd w:id="3014"/>
      <w:r>
        <w:rPr>
          <w:rFonts w:ascii="Arial" w:eastAsia="Arial" w:hAnsi="Arial" w:cs="Arial"/>
          <w:color w:val="000000"/>
          <w:sz w:val="20"/>
        </w:rPr>
        <w:t>The Guide suggests that a family with a disabled guest may wish to bring these items on their visit: ear plugs or headphones to protect against loud noises; a favorite device or activity that might distract and keep a disabled guest occupied during any periods of waiting; reinforcers for good behavior; a calming sensory toy to protect against over stimulation; and a bracelet or nametag with contact information.</w:t>
      </w:r>
    </w:p>
    <w:p w:rsidR="00E456CD" w:rsidRDefault="00000000">
      <w:pPr>
        <w:pStyle w:val="Normal16"/>
        <w:widowControl w:val="0"/>
        <w:spacing w:before="200" w:line="260" w:lineRule="atLeast"/>
        <w:jc w:val="both"/>
      </w:pPr>
      <w:bookmarkStart w:id="3015" w:name="Bookmark_para_42_4"/>
      <w:bookmarkEnd w:id="3015"/>
      <w:r>
        <w:rPr>
          <w:rFonts w:ascii="Arial" w:eastAsia="Arial" w:hAnsi="Arial" w:cs="Arial"/>
          <w:color w:val="000000"/>
          <w:sz w:val="20"/>
        </w:rPr>
        <w:t>Having outlined Disney's current pass system and cognitive disability program, we examine the evidence about plaintiffs' severe disabilities [**36]  and why plaintiffs claim Disney's DAS program does not adequately accommodate them.</w:t>
      </w:r>
    </w:p>
    <w:p w:rsidR="00E456CD" w:rsidRDefault="00000000">
      <w:pPr>
        <w:pStyle w:val="Normal16"/>
        <w:widowControl w:val="0"/>
        <w:spacing w:before="240" w:line="260" w:lineRule="atLeast"/>
      </w:pPr>
      <w:r>
        <w:br/>
      </w:r>
      <w:r>
        <w:rPr>
          <w:rFonts w:ascii="Arial" w:eastAsia="Arial" w:hAnsi="Arial" w:cs="Arial"/>
          <w:b/>
          <w:color w:val="000000"/>
          <w:sz w:val="20"/>
        </w:rPr>
        <w:t>II. AUTISM AS A DISABILITY</w:t>
      </w:r>
    </w:p>
    <w:p w:rsidR="00E456CD" w:rsidRDefault="00000000">
      <w:pPr>
        <w:pStyle w:val="Normal16"/>
        <w:widowControl w:val="0"/>
        <w:spacing w:before="200" w:line="260" w:lineRule="atLeast"/>
        <w:jc w:val="both"/>
      </w:pPr>
      <w:bookmarkStart w:id="3016" w:name="Bookmark_para_43_3"/>
      <w:bookmarkEnd w:id="3016"/>
      <w:r>
        <w:rPr>
          <w:rFonts w:ascii="Arial" w:eastAsia="Arial" w:hAnsi="Arial" w:cs="Arial"/>
          <w:color w:val="000000"/>
          <w:sz w:val="20"/>
        </w:rPr>
        <w:t>All but 4 of the 36 plaintiffs-appellants are on the autism spectrum. Some plaintiffs identify autism as their only disability, whereas many plaintiffs experience other disabilities in addition to autism. These other conditions include Down syndrome, attention deficit hyperactivity disorder, verbal apraxia, oppositional defiant disorder, obsessive compulsive disorder, Hirschsprung's disease, atresia, megacephaly, hydrocephalus, cranial cysts, cerebral palsy, sensory disorder, and/or bipolar disorder, among others. Because plaintiffs' evidence and briefs focus on their autism-related impairments, we do too.</w:t>
      </w:r>
      <w:r>
        <w:rPr>
          <w:rFonts w:ascii="Arial" w:eastAsia="Arial" w:hAnsi="Arial" w:cs="Arial"/>
          <w:vertAlign w:val="superscript"/>
        </w:rPr>
        <w:footnoteReference w:customMarkFollows="1" w:id="125"/>
        <w:t>4</w:t>
      </w:r>
    </w:p>
    <w:p w:rsidR="00E456CD" w:rsidRDefault="00000000">
      <w:pPr>
        <w:pStyle w:val="Normal16"/>
        <w:widowControl w:val="0"/>
        <w:spacing w:before="200" w:line="260" w:lineRule="atLeast"/>
        <w:jc w:val="both"/>
      </w:pPr>
      <w:bookmarkStart w:id="3018" w:name="Bookmark_para_44_3"/>
      <w:bookmarkEnd w:id="3018"/>
      <w:r>
        <w:rPr>
          <w:rFonts w:ascii="Arial" w:eastAsia="Arial" w:hAnsi="Arial" w:cs="Arial"/>
          <w:color w:val="000000"/>
          <w:sz w:val="20"/>
        </w:rPr>
        <w:t xml:space="preserve">Plaintiffs divide the varying degrees of autism into three main groups: high functioning, mild or moderate, and severe. Disney has not tried to claim that some plaintiffs' autism or other cognitive disabilities are more severe than others. Rather, for purposes of summary judgment, Disney accepts that all plaintiffs have </w:t>
      </w:r>
      <w:r>
        <w:rPr>
          <w:rFonts w:ascii="Arial" w:eastAsia="Arial" w:hAnsi="Arial" w:cs="Arial"/>
          <w:color w:val="000000"/>
          <w:sz w:val="20"/>
          <w:u w:val="single"/>
        </w:rPr>
        <w:t>severe</w:t>
      </w:r>
      <w:r>
        <w:rPr>
          <w:rFonts w:ascii="Arial" w:eastAsia="Arial" w:hAnsi="Arial" w:cs="Arial"/>
          <w:color w:val="000000"/>
          <w:sz w:val="20"/>
        </w:rPr>
        <w:t xml:space="preserve"> autism.</w:t>
      </w:r>
    </w:p>
    <w:p w:rsidR="00E456CD" w:rsidRDefault="00000000">
      <w:pPr>
        <w:pStyle w:val="Normal16"/>
        <w:widowControl w:val="0"/>
        <w:spacing w:before="200" w:line="260" w:lineRule="atLeast"/>
        <w:jc w:val="both"/>
      </w:pPr>
      <w:bookmarkStart w:id="3019" w:name="Bookmark_para_45_3"/>
      <w:bookmarkEnd w:id="3019"/>
      <w:r>
        <w:rPr>
          <w:rFonts w:ascii="Arial" w:eastAsia="Arial" w:hAnsi="Arial" w:cs="Arial"/>
          <w:color w:val="000000"/>
          <w:sz w:val="20"/>
        </w:rPr>
        <w:t>Given their severe disabilities, plaintiffs contend that: (1) although the DAS Card eliminates waiting in a physical line, plaintiffs still must [**37]  endure a "virtual" wait to go on their rides of choice; (2) plaintiffs cannot comprehend time, defer gratification, and wait virtually for rides; (3) plaintiffs must visit rides in a pre-set order, including repeat turns on the same ride; and (4) Disney must provide them a pass to all rides that guarantees a maximum 10 to 15 minute wait, including repeat turns on the same ride. In response, Disney claims  [*1280]  plaintiffs' requests for near immediate entry to all rides in a pre-set order without a virtual wait do not flow from their neurological impairments (as plaintiffs claim) but from their or their parents' personal preferences (as the district court found).</w:t>
      </w:r>
    </w:p>
    <w:p w:rsidR="00E456CD" w:rsidRDefault="00000000">
      <w:pPr>
        <w:pStyle w:val="Normal16"/>
        <w:widowControl w:val="0"/>
        <w:spacing w:before="200" w:line="260" w:lineRule="atLeast"/>
        <w:jc w:val="both"/>
      </w:pPr>
      <w:bookmarkStart w:id="3020" w:name="Bookmark_para_46_2"/>
      <w:bookmarkEnd w:id="3020"/>
      <w:r>
        <w:rPr>
          <w:rFonts w:ascii="Arial" w:eastAsia="Arial" w:hAnsi="Arial" w:cs="Arial"/>
          <w:color w:val="000000"/>
          <w:sz w:val="20"/>
        </w:rPr>
        <w:t>The critical evidentiary debate in this case is over two behavioral challenges that plaintiffs claim arise from their severe autism: (1) the inability to wait; and (2) adherence to the same routine. We first discuss some general medical and behavioral facts about autism that are not in dispute. We then examine the conflicting evidence about these two behavioral challenges at issue.</w:t>
      </w:r>
    </w:p>
    <w:p w:rsidR="00E456CD" w:rsidRDefault="00000000">
      <w:pPr>
        <w:pStyle w:val="Normal16"/>
        <w:widowControl w:val="0"/>
        <w:spacing w:before="200" w:line="260" w:lineRule="atLeast"/>
        <w:jc w:val="both"/>
      </w:pPr>
      <w:bookmarkStart w:id="3021" w:name="Bookmark_para_47_2"/>
      <w:bookmarkEnd w:id="3021"/>
      <w:r>
        <w:rPr>
          <w:rFonts w:ascii="Arial" w:eastAsia="Arial" w:hAnsi="Arial" w:cs="Arial"/>
          <w:color w:val="000000"/>
          <w:sz w:val="20"/>
        </w:rPr>
        <w:t xml:space="preserve">Generally, autism spectrum disorder ("ASD") and autism are terms for a group of complex disorders of brain development. The spectrum of disorders encompassed [**38]  by these terms is very broad; individuals with autism may be mildly affected or may be profoundly disabled. </w:t>
      </w:r>
      <w:bookmarkStart w:id="3022" w:name="Bookmark_I5T7HWT82SF8N30020000400"/>
      <w:bookmarkEnd w:id="3022"/>
      <w:r>
        <w:rPr>
          <w:rFonts w:ascii="Arial" w:eastAsia="Arial" w:hAnsi="Arial" w:cs="Arial"/>
          <w:color w:val="000000"/>
          <w:sz w:val="20"/>
        </w:rPr>
        <w:t xml:space="preserve">Autism is characterized by difficulties in social interaction, verbal and nonverbal communication, learning, and repetitive behaviors. The disorder can be associated with intellectual disability, difficulties in motor coordination and attention, and physical health issues. </w:t>
      </w:r>
      <w:r>
        <w:rPr>
          <w:rFonts w:ascii="Arial" w:eastAsia="Arial" w:hAnsi="Arial" w:cs="Arial"/>
          <w:color w:val="000000"/>
          <w:sz w:val="20"/>
          <w:u w:val="single"/>
        </w:rPr>
        <w:t xml:space="preserve">See </w:t>
      </w:r>
      <w:bookmarkStart w:id="3023" w:name="Bookmark_I5T7HWT82SF8N30010000400"/>
      <w:bookmarkEnd w:id="3023"/>
      <w:r>
        <w:rPr>
          <w:rFonts w:ascii="Arial" w:eastAsia="Arial" w:hAnsi="Arial" w:cs="Arial"/>
          <w:color w:val="000000"/>
          <w:sz w:val="20"/>
          <w:u w:val="single"/>
        </w:rPr>
        <w:t>Garrido v. Dudek</w:t>
      </w:r>
      <w:r>
        <w:rPr>
          <w:rFonts w:ascii="Arial" w:eastAsia="Arial" w:hAnsi="Arial" w:cs="Arial"/>
          <w:color w:val="000000"/>
          <w:sz w:val="20"/>
        </w:rPr>
        <w:t>, 731 F.3d 1152, 1155 n.1 (11th Cir. 2013).</w:t>
      </w:r>
    </w:p>
    <w:p w:rsidR="00E456CD" w:rsidRDefault="00000000">
      <w:pPr>
        <w:pStyle w:val="Normal16"/>
        <w:widowControl w:val="0"/>
        <w:spacing w:before="200" w:line="260" w:lineRule="atLeast"/>
        <w:jc w:val="both"/>
      </w:pPr>
      <w:bookmarkStart w:id="3024" w:name="Bookmark_para_48_2"/>
      <w:bookmarkEnd w:id="3024"/>
      <w:r>
        <w:rPr>
          <w:rFonts w:ascii="Arial" w:eastAsia="Arial" w:hAnsi="Arial" w:cs="Arial"/>
          <w:color w:val="000000"/>
          <w:sz w:val="20"/>
        </w:rPr>
        <w:t>Both parties cite the Diagnostic and Statistical Manual of Mental Disorders, Fifth Edition ("DSM-5"), which sets forth the diagnostic criteria of autism, including these deficits:</w:t>
      </w:r>
    </w:p>
    <w:p w:rsidR="00E456CD" w:rsidRDefault="00000000">
      <w:pPr>
        <w:pStyle w:val="Normal16"/>
        <w:widowControl w:val="0"/>
        <w:spacing w:line="260" w:lineRule="atLeast"/>
        <w:ind w:left="400"/>
        <w:jc w:val="both"/>
      </w:pPr>
      <w:bookmarkStart w:id="3025" w:name="Bookmark_para_49_2"/>
      <w:bookmarkEnd w:id="3025"/>
      <w:r>
        <w:rPr>
          <w:rFonts w:ascii="Arial" w:eastAsia="Arial" w:hAnsi="Arial" w:cs="Arial"/>
          <w:color w:val="000000"/>
          <w:sz w:val="20"/>
        </w:rPr>
        <w:t>A. Persistent deficits in social communication and social interaction across multiple contexts, as manifested by the following, currently or by history (examples are illustrative, not exhaustive, see text):</w:t>
      </w:r>
    </w:p>
    <w:p w:rsidR="00E456CD" w:rsidRDefault="00000000">
      <w:pPr>
        <w:pStyle w:val="Normal16"/>
        <w:widowControl w:val="0"/>
        <w:spacing w:line="260" w:lineRule="atLeast"/>
        <w:ind w:left="800"/>
        <w:jc w:val="both"/>
      </w:pPr>
      <w:bookmarkStart w:id="3026" w:name="Bookmark_para_50_2"/>
      <w:bookmarkEnd w:id="3026"/>
      <w:r>
        <w:rPr>
          <w:rFonts w:ascii="Arial" w:eastAsia="Arial" w:hAnsi="Arial" w:cs="Arial"/>
          <w:color w:val="000000"/>
          <w:sz w:val="20"/>
        </w:rPr>
        <w:t>1. Deficits in social-emotional reciprocity . . . .</w:t>
      </w:r>
    </w:p>
    <w:p w:rsidR="00E456CD" w:rsidRDefault="00000000">
      <w:pPr>
        <w:pStyle w:val="Normal16"/>
        <w:widowControl w:val="0"/>
        <w:spacing w:line="260" w:lineRule="atLeast"/>
        <w:ind w:left="800"/>
        <w:jc w:val="both"/>
      </w:pPr>
      <w:bookmarkStart w:id="3027" w:name="Bookmark_para_51_2"/>
      <w:bookmarkEnd w:id="3027"/>
      <w:r>
        <w:rPr>
          <w:rFonts w:ascii="Arial" w:eastAsia="Arial" w:hAnsi="Arial" w:cs="Arial"/>
          <w:color w:val="000000"/>
          <w:sz w:val="20"/>
        </w:rPr>
        <w:t>2. Deficits in nonverbal communicative behaviors used for social interaction . . . .</w:t>
      </w:r>
    </w:p>
    <w:p w:rsidR="00E456CD" w:rsidRDefault="00000000">
      <w:pPr>
        <w:pStyle w:val="Normal16"/>
        <w:widowControl w:val="0"/>
        <w:spacing w:line="260" w:lineRule="atLeast"/>
        <w:ind w:left="800"/>
        <w:jc w:val="both"/>
      </w:pPr>
      <w:bookmarkStart w:id="3028" w:name="Bookmark_para_52_2"/>
      <w:bookmarkEnd w:id="3028"/>
      <w:r>
        <w:rPr>
          <w:rFonts w:ascii="Arial" w:eastAsia="Arial" w:hAnsi="Arial" w:cs="Arial"/>
          <w:color w:val="000000"/>
          <w:sz w:val="20"/>
        </w:rPr>
        <w:t>3. Deficits in developing, maintaining, and understanding relationships . . . .</w:t>
      </w:r>
    </w:p>
    <w:p w:rsidR="00E456CD" w:rsidRDefault="00000000">
      <w:pPr>
        <w:pStyle w:val="Normal16"/>
        <w:widowControl w:val="0"/>
        <w:spacing w:before="200" w:line="260" w:lineRule="atLeast"/>
        <w:jc w:val="both"/>
      </w:pPr>
      <w:r>
        <w:rPr>
          <w:rFonts w:ascii="Arial" w:eastAsia="Arial" w:hAnsi="Arial" w:cs="Arial"/>
          <w:color w:val="000000"/>
          <w:sz w:val="20"/>
        </w:rPr>
        <w:t xml:space="preserve">Am. Psychiatric Ass'n, </w:t>
      </w:r>
      <w:r>
        <w:rPr>
          <w:rFonts w:ascii="Arial" w:eastAsia="Arial" w:hAnsi="Arial" w:cs="Arial"/>
          <w:color w:val="000000"/>
          <w:sz w:val="20"/>
          <w:u w:val="single"/>
        </w:rPr>
        <w:t>Diagnostic and Statistical Manual of Mental Disorders</w:t>
      </w:r>
      <w:r>
        <w:rPr>
          <w:rFonts w:ascii="Arial" w:eastAsia="Arial" w:hAnsi="Arial" w:cs="Arial"/>
          <w:color w:val="000000"/>
          <w:sz w:val="20"/>
        </w:rPr>
        <w:t xml:space="preserve"> ("DSM-5") 50-51 (5th ed. 2013). The DSM-5 also includes these behaviors and interests as diagnostic criteria:</w:t>
      </w:r>
    </w:p>
    <w:p w:rsidR="00E456CD" w:rsidRDefault="00000000">
      <w:pPr>
        <w:pStyle w:val="Normal16"/>
        <w:widowControl w:val="0"/>
        <w:spacing w:before="200" w:line="260" w:lineRule="atLeast"/>
        <w:ind w:left="400"/>
        <w:jc w:val="both"/>
      </w:pPr>
      <w:bookmarkStart w:id="3029" w:name="Bookmark_para_53_2"/>
      <w:bookmarkEnd w:id="3029"/>
      <w:r>
        <w:rPr>
          <w:rFonts w:ascii="Arial" w:eastAsia="Arial" w:hAnsi="Arial" w:cs="Arial"/>
          <w:color w:val="000000"/>
          <w:sz w:val="20"/>
        </w:rPr>
        <w:t>B. Restricted, repetitive patterns [**39]  of behavior, interests, or activities, as manifested by at least two of the following, currently or by history (examples are illustrative, not exhaustive, see text):</w:t>
      </w:r>
    </w:p>
    <w:p w:rsidR="00E456CD" w:rsidRDefault="00000000">
      <w:pPr>
        <w:pStyle w:val="Normal16"/>
        <w:widowControl w:val="0"/>
        <w:spacing w:line="260" w:lineRule="atLeast"/>
        <w:ind w:left="800"/>
        <w:jc w:val="both"/>
      </w:pPr>
      <w:bookmarkStart w:id="3030" w:name="Bookmark_para_54_2"/>
      <w:bookmarkEnd w:id="3030"/>
      <w:r>
        <w:rPr>
          <w:rFonts w:ascii="Arial" w:eastAsia="Arial" w:hAnsi="Arial" w:cs="Arial"/>
          <w:color w:val="000000"/>
          <w:sz w:val="20"/>
        </w:rPr>
        <w:t>1. Stereotyped or repetitive motor movements, use of objects, or speech . . . .</w:t>
      </w:r>
    </w:p>
    <w:p w:rsidR="00E456CD" w:rsidRDefault="00000000">
      <w:pPr>
        <w:pStyle w:val="Normal16"/>
        <w:widowControl w:val="0"/>
        <w:spacing w:line="260" w:lineRule="atLeast"/>
        <w:ind w:left="800"/>
        <w:jc w:val="both"/>
      </w:pPr>
      <w:bookmarkStart w:id="3031" w:name="Bookmark_para_55_2"/>
      <w:bookmarkEnd w:id="3031"/>
      <w:r>
        <w:rPr>
          <w:rFonts w:ascii="Arial" w:eastAsia="Arial" w:hAnsi="Arial" w:cs="Arial"/>
          <w:color w:val="000000"/>
          <w:sz w:val="20"/>
        </w:rPr>
        <w:t>2. Insistence on sameness, inflexible adherence to routines, or ritualized patterns of verbal or nonverbal behavior . . . .</w:t>
      </w:r>
    </w:p>
    <w:p w:rsidR="00E456CD" w:rsidRDefault="00000000">
      <w:pPr>
        <w:pStyle w:val="Normal16"/>
        <w:widowControl w:val="0"/>
        <w:spacing w:line="260" w:lineRule="atLeast"/>
        <w:ind w:left="800"/>
        <w:jc w:val="both"/>
      </w:pPr>
      <w:bookmarkStart w:id="3032" w:name="Bookmark_para_56_2"/>
      <w:bookmarkEnd w:id="3032"/>
      <w:r>
        <w:rPr>
          <w:rFonts w:ascii="Arial" w:eastAsia="Arial" w:hAnsi="Arial" w:cs="Arial"/>
          <w:color w:val="000000"/>
          <w:sz w:val="20"/>
        </w:rPr>
        <w:t>3. Highly restricted, fixated interest that are abnormal in intensity or focus . . . .</w:t>
      </w:r>
    </w:p>
    <w:p w:rsidR="00E456CD" w:rsidRDefault="00000000">
      <w:pPr>
        <w:pStyle w:val="Normal16"/>
        <w:widowControl w:val="0"/>
        <w:spacing w:line="260" w:lineRule="atLeast"/>
        <w:ind w:left="800"/>
        <w:jc w:val="both"/>
      </w:pPr>
      <w:bookmarkStart w:id="3033" w:name="Bookmark_para_57_2"/>
      <w:bookmarkEnd w:id="3033"/>
      <w:r>
        <w:rPr>
          <w:rFonts w:ascii="Arial" w:eastAsia="Arial" w:hAnsi="Arial" w:cs="Arial"/>
          <w:color w:val="000000"/>
          <w:sz w:val="20"/>
        </w:rPr>
        <w:t>4. Hyper- or hyporeactivity to sensory input or unusual interest in sensory aspects of the environment . . . .</w:t>
      </w:r>
    </w:p>
    <w:p w:rsidR="00E456CD" w:rsidRDefault="00000000">
      <w:pPr>
        <w:pStyle w:val="Normal16"/>
        <w:widowControl w:val="0"/>
        <w:spacing w:line="260" w:lineRule="atLeast"/>
        <w:ind w:left="800"/>
        <w:jc w:val="both"/>
      </w:pPr>
      <w:bookmarkStart w:id="3034" w:name="Bookmark_para_58_2"/>
      <w:bookmarkEnd w:id="3034"/>
      <w:r>
        <w:rPr>
          <w:rFonts w:ascii="Arial" w:eastAsia="Arial" w:hAnsi="Arial" w:cs="Arial"/>
          <w:color w:val="000000"/>
          <w:sz w:val="20"/>
        </w:rPr>
        <w:t>[ . . . . ]</w:t>
      </w:r>
    </w:p>
    <w:p w:rsidR="00E456CD" w:rsidRDefault="00000000">
      <w:pPr>
        <w:pStyle w:val="Normal16"/>
        <w:widowControl w:val="0"/>
        <w:spacing w:before="200" w:line="260" w:lineRule="atLeast"/>
        <w:jc w:val="both"/>
      </w:pPr>
      <w:r>
        <w:rPr>
          <w:rFonts w:ascii="Arial" w:eastAsia="Arial" w:hAnsi="Arial" w:cs="Arial"/>
          <w:color w:val="000000"/>
          <w:sz w:val="20"/>
          <w:u w:val="single"/>
        </w:rPr>
        <w:t>Id.</w:t>
      </w:r>
    </w:p>
    <w:p w:rsidR="00E456CD" w:rsidRDefault="00000000">
      <w:pPr>
        <w:pStyle w:val="Normal16"/>
        <w:widowControl w:val="0"/>
        <w:spacing w:before="200" w:line="260" w:lineRule="atLeast"/>
        <w:jc w:val="both"/>
      </w:pPr>
      <w:bookmarkStart w:id="3035" w:name="Bookmark_para_59_2"/>
      <w:bookmarkEnd w:id="3035"/>
      <w:r>
        <w:rPr>
          <w:rFonts w:ascii="Arial" w:eastAsia="Arial" w:hAnsi="Arial" w:cs="Arial"/>
          <w:color w:val="000000"/>
          <w:sz w:val="20"/>
        </w:rPr>
        <w:t>Autism is also understood as a brain-based disorder. Research suggests that functional areas within the brains of people with autism are not as well-coordinated as those within normally developing brains. Research has identified other biological or structural differences between the brains of people with autism and normally developing brains, "especially related to volumes of gray matter versus white matter, and regional variations in structures such as the corpus callosum, limbic system, cerebellum, basal ganglia, thalamus, and frontal lobes." One study found that "there is  [*1281]  often unusually accelerated head and brain [**40]  growth during the first two years of life in many individuals with [autism]."</w:t>
      </w:r>
    </w:p>
    <w:p w:rsidR="00E456CD" w:rsidRDefault="00000000">
      <w:pPr>
        <w:pStyle w:val="Normal16"/>
        <w:widowControl w:val="0"/>
        <w:spacing w:before="200" w:line="260" w:lineRule="atLeast"/>
        <w:jc w:val="both"/>
      </w:pPr>
      <w:bookmarkStart w:id="3036" w:name="Bookmark_para_60_2"/>
      <w:bookmarkStart w:id="3037" w:name="Bookmark_I5T7HWT82SF8N30040000400"/>
      <w:bookmarkEnd w:id="3036"/>
      <w:bookmarkEnd w:id="3037"/>
      <w:r>
        <w:rPr>
          <w:rFonts w:ascii="Arial" w:eastAsia="Arial" w:hAnsi="Arial" w:cs="Arial"/>
          <w:color w:val="000000"/>
          <w:sz w:val="20"/>
        </w:rPr>
        <w:t xml:space="preserve">Under the above section discussing "insistence on sameness" and "adherence to routines," the DSM-5 provides examples of behaviors including "extreme distress at small changes, difficulties with transitions, rigid thinking patterns, greeting rituals, need to take same route or eat same food every day." </w:t>
      </w:r>
      <w:r>
        <w:rPr>
          <w:rFonts w:ascii="Arial" w:eastAsia="Arial" w:hAnsi="Arial" w:cs="Arial"/>
          <w:color w:val="000000"/>
          <w:sz w:val="20"/>
          <w:u w:val="single"/>
        </w:rPr>
        <w:t>See</w:t>
      </w:r>
      <w:r>
        <w:rPr>
          <w:rFonts w:ascii="Arial" w:eastAsia="Arial" w:hAnsi="Arial" w:cs="Arial"/>
          <w:color w:val="000000"/>
          <w:sz w:val="20"/>
        </w:rPr>
        <w:t xml:space="preserve"> DSM-5 at 50. Courts recognize this aspect of autism. </w:t>
      </w:r>
      <w:r>
        <w:rPr>
          <w:rFonts w:ascii="Arial" w:eastAsia="Arial" w:hAnsi="Arial" w:cs="Arial"/>
          <w:color w:val="000000"/>
          <w:sz w:val="20"/>
          <w:u w:val="single"/>
        </w:rPr>
        <w:t xml:space="preserve">See </w:t>
      </w:r>
      <w:bookmarkStart w:id="3038" w:name="Bookmark_I5T7HWT82SF8N30030000400"/>
      <w:bookmarkEnd w:id="3038"/>
      <w:r>
        <w:rPr>
          <w:rFonts w:ascii="Arial" w:eastAsia="Arial" w:hAnsi="Arial" w:cs="Arial"/>
          <w:color w:val="000000"/>
          <w:sz w:val="20"/>
          <w:u w:val="single"/>
        </w:rPr>
        <w:t>Endrew F. ex rel. Joseph F. v. Douglas Cty. Sch. Dist. RE-1</w:t>
      </w:r>
      <w:r>
        <w:rPr>
          <w:rFonts w:ascii="Arial" w:eastAsia="Arial" w:hAnsi="Arial" w:cs="Arial"/>
          <w:color w:val="000000"/>
          <w:sz w:val="20"/>
        </w:rPr>
        <w:t xml:space="preserve">, 580 U.S. </w:t>
      </w:r>
      <w:r>
        <w:rPr>
          <w:rFonts w:ascii="Arial" w:eastAsia="Arial" w:hAnsi="Arial" w:cs="Arial"/>
          <w:color w:val="000000"/>
          <w:sz w:val="20"/>
          <w:u w:val="single"/>
        </w:rPr>
        <w:t>   </w:t>
      </w:r>
      <w:r>
        <w:rPr>
          <w:rFonts w:ascii="Arial" w:eastAsia="Arial" w:hAnsi="Arial" w:cs="Arial"/>
          <w:color w:val="000000"/>
          <w:sz w:val="20"/>
        </w:rPr>
        <w:t xml:space="preserve">, </w:t>
      </w:r>
      <w:r>
        <w:rPr>
          <w:rFonts w:ascii="Arial" w:eastAsia="Arial" w:hAnsi="Arial" w:cs="Arial"/>
          <w:color w:val="000000"/>
          <w:sz w:val="20"/>
          <w:u w:val="single"/>
        </w:rPr>
        <w:t>   </w:t>
      </w:r>
      <w:r>
        <w:rPr>
          <w:rFonts w:ascii="Arial" w:eastAsia="Arial" w:hAnsi="Arial" w:cs="Arial"/>
          <w:color w:val="000000"/>
          <w:sz w:val="20"/>
        </w:rPr>
        <w:t xml:space="preserve">, 137 S. Ct. 988, 996, 197 L. Ed. 2d 335 (2017) ("Autism is a neurodevelopmental disorder generally marked by impaired social and communicative skills, engagement in repetitive activities and stereotyped movements, resistance to environmental change or change in daily routines, and unusual responses to sensory experiences." (quotation marks and citations omitted)); </w:t>
      </w:r>
      <w:bookmarkStart w:id="3039" w:name="Bookmark_I5T7HWT82SF8N30050000400"/>
      <w:bookmarkEnd w:id="3039"/>
      <w:r>
        <w:rPr>
          <w:rFonts w:ascii="Arial" w:eastAsia="Arial" w:hAnsi="Arial" w:cs="Arial"/>
          <w:color w:val="000000"/>
          <w:sz w:val="20"/>
          <w:u w:val="single"/>
        </w:rPr>
        <w:t>United States v. Spero</w:t>
      </w:r>
      <w:r>
        <w:rPr>
          <w:rFonts w:ascii="Arial" w:eastAsia="Arial" w:hAnsi="Arial" w:cs="Arial"/>
          <w:color w:val="000000"/>
          <w:sz w:val="20"/>
        </w:rPr>
        <w:t xml:space="preserve">, 382 F.3d 803, 804 n.3 (8th Cir. 2004) ("Affected individuals may adhere to inflexible, nonfunctional rituals or routine." (quoting </w:t>
      </w:r>
      <w:r>
        <w:rPr>
          <w:rFonts w:ascii="Arial" w:eastAsia="Arial" w:hAnsi="Arial" w:cs="Arial"/>
          <w:color w:val="000000"/>
          <w:sz w:val="20"/>
          <w:u w:val="single"/>
        </w:rPr>
        <w:t>Physician's Desk Reference Medical Dictionary</w:t>
      </w:r>
      <w:r>
        <w:rPr>
          <w:rFonts w:ascii="Arial" w:eastAsia="Arial" w:hAnsi="Arial" w:cs="Arial"/>
          <w:color w:val="000000"/>
          <w:sz w:val="20"/>
        </w:rPr>
        <w:t xml:space="preserve"> 171 (2d ed. 2000))).</w:t>
      </w:r>
    </w:p>
    <w:p w:rsidR="00E456CD" w:rsidRDefault="00000000">
      <w:pPr>
        <w:pStyle w:val="Normal16"/>
        <w:widowControl w:val="0"/>
        <w:spacing w:before="200" w:line="260" w:lineRule="atLeast"/>
        <w:jc w:val="both"/>
      </w:pPr>
      <w:bookmarkStart w:id="3040" w:name="Bookmark_para_61_2"/>
      <w:bookmarkEnd w:id="3040"/>
      <w:r>
        <w:rPr>
          <w:rFonts w:ascii="Arial" w:eastAsia="Arial" w:hAnsi="Arial" w:cs="Arial"/>
          <w:color w:val="000000"/>
          <w:sz w:val="20"/>
        </w:rPr>
        <w:t>This much the parties agree on. Against this background, we review plaintiffs' evidence about the two claimed behavioral challenges of autism at issue.</w:t>
      </w:r>
    </w:p>
    <w:p w:rsidR="00E456CD" w:rsidRDefault="00000000">
      <w:pPr>
        <w:pStyle w:val="Normal16"/>
        <w:widowControl w:val="0"/>
        <w:spacing w:before="240" w:line="260" w:lineRule="atLeast"/>
      </w:pPr>
      <w:r>
        <w:br/>
      </w:r>
      <w:r>
        <w:rPr>
          <w:rFonts w:ascii="Arial" w:eastAsia="Arial" w:hAnsi="Arial" w:cs="Arial"/>
          <w:b/>
          <w:color w:val="000000"/>
          <w:sz w:val="20"/>
        </w:rPr>
        <w:t>III. PLAINTIFFS' EVIDENCE</w:t>
      </w:r>
    </w:p>
    <w:p w:rsidR="00E456CD" w:rsidRDefault="00000000">
      <w:pPr>
        <w:pStyle w:val="Normal16"/>
        <w:widowControl w:val="0"/>
        <w:spacing w:before="240" w:line="260" w:lineRule="atLeast"/>
      </w:pPr>
      <w:r>
        <w:br/>
      </w:r>
      <w:r>
        <w:rPr>
          <w:rFonts w:ascii="Arial" w:eastAsia="Arial" w:hAnsi="Arial" w:cs="Arial"/>
          <w:b/>
          <w:color w:val="000000"/>
          <w:sz w:val="20"/>
        </w:rPr>
        <w:t>A. Testimony of Plaintiffs' Parents</w:t>
      </w:r>
    </w:p>
    <w:p w:rsidR="00E456CD" w:rsidRDefault="00000000">
      <w:pPr>
        <w:pStyle w:val="Normal16"/>
        <w:widowControl w:val="0"/>
        <w:spacing w:before="200" w:line="260" w:lineRule="atLeast"/>
        <w:jc w:val="both"/>
      </w:pPr>
      <w:bookmarkStart w:id="3041" w:name="Bookmark_para_62_2"/>
      <w:bookmarkEnd w:id="3041"/>
      <w:r>
        <w:rPr>
          <w:rFonts w:ascii="Arial" w:eastAsia="Arial" w:hAnsi="Arial" w:cs="Arial"/>
          <w:color w:val="000000"/>
          <w:sz w:val="20"/>
        </w:rPr>
        <w:t>Plaintiffs submitted this lay evidence through their parents' depositions [**41]  and affidavits about the specifics of their disabilities.</w:t>
      </w:r>
      <w:r>
        <w:rPr>
          <w:rFonts w:ascii="Arial" w:eastAsia="Arial" w:hAnsi="Arial" w:cs="Arial"/>
          <w:vertAlign w:val="superscript"/>
        </w:rPr>
        <w:footnoteReference w:customMarkFollows="1" w:id="126"/>
        <w:t>5</w:t>
      </w:r>
      <w:r>
        <w:rPr>
          <w:rFonts w:ascii="Arial" w:eastAsia="Arial" w:hAnsi="Arial" w:cs="Arial"/>
          <w:color w:val="000000"/>
          <w:sz w:val="20"/>
        </w:rPr>
        <w:t xml:space="preserve"> As a result of their severe autism disorders, plaintiffs are largely nonverbal, will never intellectually develop beyond an early childhood level, and will never develop social skills to even that level. They exhibit a wide array of conditions, disabilities, non-social behaviors, and compulsions.</w:t>
      </w:r>
    </w:p>
    <w:p w:rsidR="00E456CD" w:rsidRDefault="00000000">
      <w:pPr>
        <w:pStyle w:val="Normal16"/>
        <w:widowControl w:val="0"/>
        <w:spacing w:before="200" w:line="260" w:lineRule="atLeast"/>
        <w:jc w:val="both"/>
      </w:pPr>
      <w:bookmarkStart w:id="3043" w:name="Bookmark_para_63_2"/>
      <w:bookmarkEnd w:id="3043"/>
      <w:r>
        <w:rPr>
          <w:rFonts w:ascii="Arial" w:eastAsia="Arial" w:hAnsi="Arial" w:cs="Arial"/>
          <w:color w:val="000000"/>
          <w:sz w:val="20"/>
        </w:rPr>
        <w:t>Plaintiffs' parents similarly aver that their child has (1) an inability to wait and delay gratification, and (2) a required adherence to routine.</w:t>
      </w:r>
      <w:r>
        <w:rPr>
          <w:rFonts w:ascii="Arial" w:eastAsia="Arial" w:hAnsi="Arial" w:cs="Arial"/>
          <w:vertAlign w:val="superscript"/>
        </w:rPr>
        <w:footnoteReference w:customMarkFollows="1" w:id="127"/>
        <w:t>6</w:t>
      </w:r>
      <w:r>
        <w:rPr>
          <w:rFonts w:ascii="Arial" w:eastAsia="Arial" w:hAnsi="Arial" w:cs="Arial"/>
          <w:color w:val="000000"/>
          <w:sz w:val="20"/>
        </w:rPr>
        <w:t xml:space="preserve"> The issue for plaintiffs is not merely waiting in a physical line but waiting at all for a ride in a high-stimulus environment.</w:t>
      </w:r>
    </w:p>
    <w:p w:rsidR="00E456CD" w:rsidRDefault="00000000">
      <w:pPr>
        <w:pStyle w:val="Normal16"/>
        <w:widowControl w:val="0"/>
        <w:spacing w:before="200" w:line="260" w:lineRule="atLeast"/>
        <w:jc w:val="both"/>
      </w:pPr>
      <w:bookmarkStart w:id="3045" w:name="Bookmark_para_64_2"/>
      <w:bookmarkEnd w:id="3045"/>
      <w:r>
        <w:rPr>
          <w:rFonts w:ascii="Arial" w:eastAsia="Arial" w:hAnsi="Arial" w:cs="Arial"/>
          <w:color w:val="000000"/>
          <w:sz w:val="20"/>
        </w:rPr>
        <w:t>According to their evidence, plaintiffs cannot comprehend the concept of time and are unable to wait and delay gratification for more than 10 to 15 minutes. For plaintiffs, waiting at all to go on a ride is simply doing nothing in the present, not anticipating something which will occur in the future. It is not a matter of learning; it is the nature of the neurological disability that makes waiting an impossibility.</w:t>
      </w:r>
    </w:p>
    <w:p w:rsidR="00E456CD" w:rsidRDefault="00000000">
      <w:pPr>
        <w:pStyle w:val="Normal16"/>
        <w:widowControl w:val="0"/>
        <w:spacing w:before="200" w:line="260" w:lineRule="atLeast"/>
        <w:jc w:val="both"/>
      </w:pPr>
      <w:bookmarkStart w:id="3046" w:name="Bookmark_para_65_2"/>
      <w:bookmarkEnd w:id="3046"/>
      <w:r>
        <w:rPr>
          <w:rFonts w:ascii="Arial" w:eastAsia="Arial" w:hAnsi="Arial" w:cs="Arial"/>
          <w:color w:val="000000"/>
          <w:sz w:val="20"/>
        </w:rPr>
        <w:t>Nearly all parents attested that their child has great difficulty waiting. Most parents used phrases such as "inability to wait," "no ability to understand [**42]  a concept such as waiting," "unable to wait for long periods of time," or "impossible . . . to wait for long periods of time, even if the wait is not standing in a line." Several parents further attested that their children are "unable to understand the concept of time to any extent comparable to non-disabled persons," and/or that their children "[do]  [*1282]  not understand that a positive or fun event or activity will unfold in the future if [they] wait[] calmly or idly in the present."</w:t>
      </w:r>
    </w:p>
    <w:p w:rsidR="00E456CD" w:rsidRDefault="00000000">
      <w:pPr>
        <w:pStyle w:val="Normal16"/>
        <w:widowControl w:val="0"/>
        <w:spacing w:before="200" w:line="260" w:lineRule="atLeast"/>
        <w:jc w:val="both"/>
      </w:pPr>
      <w:bookmarkStart w:id="3047" w:name="Bookmark_para_66_2"/>
      <w:bookmarkEnd w:id="3047"/>
      <w:r>
        <w:rPr>
          <w:rFonts w:ascii="Arial" w:eastAsia="Arial" w:hAnsi="Arial" w:cs="Arial"/>
          <w:color w:val="000000"/>
          <w:sz w:val="20"/>
        </w:rPr>
        <w:t>Nearly all parents also testified that riding in a car, for any period of time, is not comparable to waiting for an attraction at an amusement park. Some parents explained that "riding in a car is itself an activity; it is not idly waiting for a different activity." In a few cases, a plaintiff's parent testified that the plaintiff enjoys riding in a car as an activity in and of itself. Most often, the parents attested that for their autistic child, a car is a more tolerable environment than an amusement park. A car is a "calm and controllable" environment, in which a person with autism can take a nap, use an "iPad," watch movies, listen to music, read books, and enjoy other distractions. In a car, "[t]he temperature, [**43]  smell, noise level, amount of light, number of people and exposure to textures can be manipulated to meet the needs of the person with autism by the parent." Riding in a car "involves motion and movement," which can be soothing for a person with autism. This stands in contrast to an amusement park, which involves "stimuli of all kinds" and noise levels that "can't be controlled."</w:t>
      </w:r>
    </w:p>
    <w:p w:rsidR="00E456CD" w:rsidRDefault="00000000">
      <w:pPr>
        <w:pStyle w:val="Normal16"/>
        <w:widowControl w:val="0"/>
        <w:spacing w:before="200" w:line="260" w:lineRule="atLeast"/>
        <w:jc w:val="both"/>
      </w:pPr>
      <w:bookmarkStart w:id="3048" w:name="Bookmark_para_67_2"/>
      <w:bookmarkEnd w:id="3048"/>
      <w:r>
        <w:rPr>
          <w:rFonts w:ascii="Arial" w:eastAsia="Arial" w:hAnsi="Arial" w:cs="Arial"/>
          <w:color w:val="000000"/>
          <w:sz w:val="20"/>
        </w:rPr>
        <w:t>As to adherence to routine, most parents testified that their children rely on an expected, pre-set order of events and have difficulty when that order is disrupted. Some plaintiffs live near and have visited a Disney park 10, 15, or 20 times or more. One parent described her son as being "incapable of deviating from consistency, order and routine" when visiting a Disney park. Another parent testified that her son has "an innate sense of the order or sequence in which we will travel and experience the attractions," and that "[i]f that order is disrupted, he becomes immediately emotionally unstable." Other parents testified similarly, stating that a plaintiff "has a specific list and an order of the rides he must go on," or that a plaintiff has a "need to do things in a certain sequence" that would be "completely [**44]  disrupt[ed]" by the DAS program.</w:t>
      </w:r>
    </w:p>
    <w:p w:rsidR="00E456CD" w:rsidRDefault="00000000">
      <w:pPr>
        <w:pStyle w:val="Normal16"/>
        <w:widowControl w:val="0"/>
        <w:spacing w:before="200" w:line="260" w:lineRule="atLeast"/>
        <w:jc w:val="both"/>
      </w:pPr>
      <w:bookmarkStart w:id="3049" w:name="Bookmark_para_68_2"/>
      <w:bookmarkEnd w:id="3049"/>
      <w:r>
        <w:rPr>
          <w:rFonts w:ascii="Arial" w:eastAsia="Arial" w:hAnsi="Arial" w:cs="Arial"/>
          <w:color w:val="000000"/>
          <w:sz w:val="20"/>
        </w:rPr>
        <w:t>Some parents attested to their children's reliance on predictability and routine without explicitly tying it to a theme park experience. Examples of such statements include: a plaintiff "follows routines and very structured schedules in nearly every activity and aspect of his life, and becomes very unstable when unexpected events or stimuli occur"; a plaintiff "does not handle transition or changes to his routine"; a plaintiff "is very focused on routine" and any change "can trigger his behaviors"; or a plaintiff "is very rigid in his schedule and routines."</w:t>
      </w:r>
    </w:p>
    <w:p w:rsidR="00E456CD" w:rsidRDefault="00000000">
      <w:pPr>
        <w:pStyle w:val="Normal16"/>
        <w:widowControl w:val="0"/>
        <w:spacing w:before="200" w:line="260" w:lineRule="atLeast"/>
        <w:jc w:val="both"/>
      </w:pPr>
      <w:bookmarkStart w:id="3050" w:name="Bookmark_para_69_2"/>
      <w:bookmarkEnd w:id="3050"/>
      <w:r>
        <w:rPr>
          <w:rFonts w:ascii="Arial" w:eastAsia="Arial" w:hAnsi="Arial" w:cs="Arial"/>
          <w:color w:val="000000"/>
          <w:sz w:val="20"/>
        </w:rPr>
        <w:t>Parents also testified about what happens when their autistic child has to wait to get on a ride or is not able to get on the rides in the same routine order developed from prior visits. When this happens, each plaintiff is vulnerable to a "meltdown." What constitutes a meltdown is somewhat different for each plaintiff.</w:t>
      </w:r>
    </w:p>
    <w:p w:rsidR="00E456CD" w:rsidRDefault="00000000">
      <w:pPr>
        <w:pStyle w:val="Normal16"/>
        <w:widowControl w:val="0"/>
        <w:spacing w:before="200" w:line="260" w:lineRule="atLeast"/>
        <w:jc w:val="both"/>
      </w:pPr>
      <w:bookmarkStart w:id="3051" w:name="Bookmark_para_70_1"/>
      <w:bookmarkEnd w:id="3051"/>
      <w:r>
        <w:rPr>
          <w:rFonts w:ascii="Arial" w:eastAsia="Arial" w:hAnsi="Arial" w:cs="Arial"/>
          <w:color w:val="000000"/>
          <w:sz w:val="20"/>
        </w:rPr>
        <w:t>For many plaintiffs, meltdowns include self-harming behavior. According to their parents' testimony, one plaintiff "hits herself, drops to the floor and screams in terror," another plaintiff "might smack/slug his face, and or go to the ground and bang his head on the ground," and a [**45]  third plaintiff "can be self abusive, including scratching her own face, hitting her head on the ground, jumping in the air and landing on her knees, biting herself . . . pulling off her own finger and toe nails, and scratching and picking at open sores to make them bleed." Along with self-harm, some plaintiffs exhibit aggressive behavior that risks harming others: one plaintiff "can hit and kick any object around him"; another "starts to scream and physically grab those around him."</w:t>
      </w:r>
    </w:p>
    <w:p w:rsidR="00E456CD" w:rsidRDefault="00000000">
      <w:pPr>
        <w:pStyle w:val="Normal16"/>
        <w:widowControl w:val="0"/>
        <w:spacing w:before="200" w:line="260" w:lineRule="atLeast"/>
        <w:jc w:val="both"/>
      </w:pPr>
      <w:bookmarkStart w:id="3052" w:name="Bookmark_para_71_1"/>
      <w:bookmarkEnd w:id="3052"/>
      <w:r>
        <w:rPr>
          <w:rFonts w:ascii="Arial" w:eastAsia="Arial" w:hAnsi="Arial" w:cs="Arial"/>
          <w:color w:val="000000"/>
          <w:sz w:val="20"/>
        </w:rPr>
        <w:t> [*1283]  Some plaintiffs' meltdowns are not violent, but still include behaviors that can be disturbing to other people. Meltdowns can manifest as a child "[s]oiling her pants," "repeatedly lick[ing] her glasses," "running with his hand in the air laughing, screaming, and throwing things," or "jumping up and down, flapping hands wildly, screaming loudly (out of boredom and anxiety), falling to the ground, touching anyone and everyone, eating items from the ground out of boredom, pulling stuff off of purses, bags, strollers, and anything within reach." In some cases, a plaintiff experiencing a meltdown "might 'go to the ground' and completely withdraw" while covering his ears and/or his face.</w:t>
      </w:r>
    </w:p>
    <w:p w:rsidR="00E456CD" w:rsidRDefault="00000000">
      <w:pPr>
        <w:pStyle w:val="Normal16"/>
        <w:widowControl w:val="0"/>
        <w:spacing w:before="200" w:line="260" w:lineRule="atLeast"/>
        <w:jc w:val="both"/>
      </w:pPr>
      <w:bookmarkStart w:id="3053" w:name="Bookmark_para_72_1"/>
      <w:bookmarkEnd w:id="3053"/>
      <w:r>
        <w:rPr>
          <w:rFonts w:ascii="Arial" w:eastAsia="Arial" w:hAnsi="Arial" w:cs="Arial"/>
          <w:color w:val="000000"/>
          <w:sz w:val="20"/>
        </w:rPr>
        <w:t>The effect and severity [**46]  of a meltdown also can vary because plaintiffs are individuals of different ages and sizes. Some plaintiffs are young children. By contrast, plaintiff M.A.C., age 20, is 5'10" tall and 250 pounds, and plaintiff A.L., age 22, is 6'6" tall and weighs "over 300 pounds." Plaintiffs who are younger and smaller may be more safely contained and controlled during a meltdown. Although the nature and severity of the meltdown may vary, plaintiffs' evidence, as a whole and in the light most favorable to plaintiffs, is that their child needs a maximum wait time of 10 to 15 minutes at all rides to avoid a meltdown and having to leave the theme park.</w:t>
      </w:r>
    </w:p>
    <w:p w:rsidR="00E456CD" w:rsidRDefault="00000000">
      <w:pPr>
        <w:pStyle w:val="Normal16"/>
        <w:widowControl w:val="0"/>
        <w:spacing w:before="200" w:line="260" w:lineRule="atLeast"/>
        <w:jc w:val="both"/>
      </w:pPr>
      <w:bookmarkStart w:id="3054" w:name="Bookmark_para_73_1"/>
      <w:bookmarkEnd w:id="3054"/>
      <w:r>
        <w:rPr>
          <w:rFonts w:ascii="Arial" w:eastAsia="Arial" w:hAnsi="Arial" w:cs="Arial"/>
          <w:color w:val="000000"/>
          <w:sz w:val="20"/>
        </w:rPr>
        <w:t>In this regard, the testimony and affidavits of each plaintiff's parents discuss in great detail what happened when they visited a Disney park. We give a few examples of an individual plaintiff's experience with the DAS Card.</w:t>
      </w:r>
    </w:p>
    <w:p w:rsidR="00E456CD" w:rsidRDefault="00000000">
      <w:pPr>
        <w:pStyle w:val="Normal16"/>
        <w:widowControl w:val="0"/>
        <w:spacing w:before="240" w:line="260" w:lineRule="atLeast"/>
      </w:pPr>
      <w:r>
        <w:br/>
      </w:r>
      <w:r>
        <w:rPr>
          <w:rFonts w:ascii="Arial" w:eastAsia="Arial" w:hAnsi="Arial" w:cs="Arial"/>
          <w:b/>
          <w:color w:val="000000"/>
          <w:sz w:val="20"/>
        </w:rPr>
        <w:t>B. Day-in-the-Park Narratives for Plaintiffs A.L., A.B., S.M., and J.M.</w:t>
      </w:r>
    </w:p>
    <w:p w:rsidR="00E456CD" w:rsidRDefault="00000000">
      <w:pPr>
        <w:pStyle w:val="Normal16"/>
        <w:widowControl w:val="0"/>
        <w:spacing w:before="200" w:line="260" w:lineRule="atLeast"/>
        <w:jc w:val="both"/>
      </w:pPr>
      <w:bookmarkStart w:id="3055" w:name="Bookmark_para_74_1"/>
      <w:bookmarkEnd w:id="3055"/>
      <w:r>
        <w:rPr>
          <w:rFonts w:ascii="Arial" w:eastAsia="Arial" w:hAnsi="Arial" w:cs="Arial"/>
          <w:color w:val="000000"/>
          <w:sz w:val="20"/>
        </w:rPr>
        <w:t>Plaintiff A.L. is a 22-year-old man with autism.</w:t>
      </w:r>
      <w:r>
        <w:rPr>
          <w:rFonts w:ascii="Arial" w:eastAsia="Arial" w:hAnsi="Arial" w:cs="Arial"/>
          <w:vertAlign w:val="superscript"/>
        </w:rPr>
        <w:footnoteReference w:customMarkFollows="1" w:id="128"/>
        <w:t>7</w:t>
      </w:r>
      <w:r>
        <w:rPr>
          <w:rFonts w:ascii="Arial" w:eastAsia="Arial" w:hAnsi="Arial" w:cs="Arial"/>
          <w:color w:val="000000"/>
          <w:sz w:val="20"/>
        </w:rPr>
        <w:t xml:space="preserve"> He grew up in Florida not far from Disney World. A.L. visited the parks often and developed a routine of the same rides, in the same order. A.L.'s mother testified that when A.L. visits the parks, he creates a list [**47]  of his favorite rides in order, and crosses the rides off the list as he visits each one. A.L. would have a meltdown if he did not complete the list once he started it.</w:t>
      </w:r>
    </w:p>
    <w:p w:rsidR="00E456CD" w:rsidRDefault="00000000">
      <w:pPr>
        <w:pStyle w:val="Normal16"/>
        <w:widowControl w:val="0"/>
        <w:spacing w:before="200" w:line="260" w:lineRule="atLeast"/>
        <w:jc w:val="both"/>
      </w:pPr>
      <w:bookmarkStart w:id="3057" w:name="Bookmark_para_75_1"/>
      <w:bookmarkEnd w:id="3057"/>
      <w:r>
        <w:rPr>
          <w:rFonts w:ascii="Arial" w:eastAsia="Arial" w:hAnsi="Arial" w:cs="Arial"/>
          <w:color w:val="000000"/>
          <w:sz w:val="20"/>
        </w:rPr>
        <w:t>A.L. typically visited Epcot or the Magic Kingdom. At Epcot, A.L. would ride Test Track, Mission Space, Spaceship Earth, the Seas with Nemo and Friends, Soarin', and Journey Into Imagination. At the Magic Kingdom, A.L.'s "normal pattern" was to go on 19 rides in order, but sometimes he would skip a ride. His mother explained, "It's always the same route. It doesn't mean that he hits every single ride, but it is always the same route."</w:t>
      </w:r>
    </w:p>
    <w:p w:rsidR="00E456CD" w:rsidRDefault="00000000">
      <w:pPr>
        <w:pStyle w:val="Normal16"/>
        <w:widowControl w:val="0"/>
        <w:spacing w:before="200" w:line="260" w:lineRule="atLeast"/>
        <w:jc w:val="both"/>
      </w:pPr>
      <w:bookmarkStart w:id="3058" w:name="Bookmark_para_76_1"/>
      <w:bookmarkEnd w:id="3058"/>
      <w:r>
        <w:rPr>
          <w:rFonts w:ascii="Arial" w:eastAsia="Arial" w:hAnsi="Arial" w:cs="Arial"/>
          <w:color w:val="000000"/>
          <w:sz w:val="20"/>
        </w:rPr>
        <w:t>On December 19, 2013, A.L.'s family made their first visit to the Magic Kingdom since the introduction of the DAS Card. They arrived at 4:38 p.m. The family, a group of six, went to Guest Relations, where they received a DAS Card and 24 Re-ad Passes, or 4 per person in the group. A cast member went over a map of the park and offered to help plan a route.</w:t>
      </w:r>
    </w:p>
    <w:p w:rsidR="00E456CD" w:rsidRDefault="00000000">
      <w:pPr>
        <w:pStyle w:val="Normal16"/>
        <w:widowControl w:val="0"/>
        <w:spacing w:before="200" w:line="260" w:lineRule="atLeast"/>
        <w:jc w:val="both"/>
      </w:pPr>
      <w:bookmarkStart w:id="3059" w:name="Bookmark_para_77_1"/>
      <w:bookmarkEnd w:id="3059"/>
      <w:r>
        <w:rPr>
          <w:rFonts w:ascii="Arial" w:eastAsia="Arial" w:hAnsi="Arial" w:cs="Arial"/>
          <w:color w:val="000000"/>
          <w:sz w:val="20"/>
        </w:rPr>
        <w:t>The family then entered the park. The first ride A.L. wanted to ride that day was Jungle Cruise. A.L.'s mother used the group's DAS Card at Jungle Cruise, and received a "return time" of 45 minutes later at Jungle Cruise. A.L.'s mother "knew [**48]  that [A.L.] immediately needed, wanted to go on the Jungle Cruise," so instead the family members each used one of their Re-ad Passes to board the ride immediately. The family determined that with only three Re-ad Passes remaining per person, it would not be possible to visit all of A.L.'s regular rides in order without some waiting, and that they would need to  [*1284]  leave the park. A.L.'s mother was able to "redirect [A.L.] off of his route" by getting him to "look at the parade, look at the show," which allowed the family to keep A.L. calm as they left the park.</w:t>
      </w:r>
    </w:p>
    <w:p w:rsidR="00E456CD" w:rsidRDefault="00000000">
      <w:pPr>
        <w:pStyle w:val="Normal16"/>
        <w:widowControl w:val="0"/>
        <w:spacing w:before="200" w:line="260" w:lineRule="atLeast"/>
        <w:jc w:val="both"/>
      </w:pPr>
      <w:bookmarkStart w:id="3060" w:name="Bookmark_para_78_1"/>
      <w:bookmarkEnd w:id="3060"/>
      <w:r>
        <w:rPr>
          <w:rFonts w:ascii="Arial" w:eastAsia="Arial" w:hAnsi="Arial" w:cs="Arial"/>
          <w:color w:val="000000"/>
          <w:sz w:val="20"/>
        </w:rPr>
        <w:t>Plaintiff A.B. is a six-year-old boy with autism. He lives not far from Disney World in Florida. After the DAS Card was introduced, A.B. visited Disney in October 2013 and received a DAS Card but no Re-ad Passes.</w:t>
      </w:r>
    </w:p>
    <w:p w:rsidR="00E456CD" w:rsidRDefault="00000000">
      <w:pPr>
        <w:pStyle w:val="Normal16"/>
        <w:widowControl w:val="0"/>
        <w:spacing w:before="200" w:line="260" w:lineRule="atLeast"/>
        <w:jc w:val="both"/>
      </w:pPr>
      <w:bookmarkStart w:id="3061" w:name="Bookmark_para_79_0"/>
      <w:bookmarkEnd w:id="3061"/>
      <w:r>
        <w:rPr>
          <w:rFonts w:ascii="Arial" w:eastAsia="Arial" w:hAnsi="Arial" w:cs="Arial"/>
          <w:color w:val="000000"/>
          <w:sz w:val="20"/>
        </w:rPr>
        <w:t>The family used their DAS Card to obtain a return time at A.B.'s favorite ride, where the wait time was 1 hour and 15 minutes. The family got lunch during the wait, then returned and went on the ride. A.B. wanted to ride it again, so the family obtained a second return time and, when the time came, went on the ride again. Faced with waiting a third time before going on the same ride again, A.B. had a meltdown. A.B. had two [**49]  subsequent meltdowns during his October 2013 visit, causing the family to cut the visit short.</w:t>
      </w:r>
    </w:p>
    <w:p w:rsidR="00E456CD" w:rsidRDefault="00000000">
      <w:pPr>
        <w:pStyle w:val="Normal16"/>
        <w:widowControl w:val="0"/>
        <w:spacing w:before="200" w:line="260" w:lineRule="atLeast"/>
        <w:jc w:val="both"/>
      </w:pPr>
      <w:bookmarkStart w:id="3062" w:name="Bookmark_para_80_0"/>
      <w:bookmarkEnd w:id="3062"/>
      <w:r>
        <w:rPr>
          <w:rFonts w:ascii="Arial" w:eastAsia="Arial" w:hAnsi="Arial" w:cs="Arial"/>
          <w:color w:val="000000"/>
          <w:sz w:val="20"/>
        </w:rPr>
        <w:t>The family returned to Disney World in December 2013, and again in 2015 and 2016. On their recent visits, the family used their DAS Card to obtain return times and used the FastPass+ system to make advance reservations for rides. On at least one subsequent trip, the family received Re-ad Passes. Nevertheless, the family had dissatisfying experiences at the parks due to A.B.'s meltdowns.</w:t>
      </w:r>
    </w:p>
    <w:p w:rsidR="00E456CD" w:rsidRDefault="00000000">
      <w:pPr>
        <w:pStyle w:val="Normal16"/>
        <w:widowControl w:val="0"/>
        <w:spacing w:before="200" w:line="260" w:lineRule="atLeast"/>
        <w:jc w:val="both"/>
      </w:pPr>
      <w:bookmarkStart w:id="3063" w:name="Bookmark_para_81_0"/>
      <w:bookmarkEnd w:id="3063"/>
      <w:r>
        <w:rPr>
          <w:rFonts w:ascii="Arial" w:eastAsia="Arial" w:hAnsi="Arial" w:cs="Arial"/>
          <w:color w:val="000000"/>
          <w:sz w:val="20"/>
        </w:rPr>
        <w:t>Plaintiff S.M. is a six-year-old boy with autism, sensory processing disorders, sensory integration, apraxia, and attention deficit hyperactivity disorder. His sister, plaintiff J.M., is a seven-year-old with verbal apraxia, oppositional defiant disorder, and severe attention deficit hyperactivity disorder. The family lives in Ohio.</w:t>
      </w:r>
    </w:p>
    <w:p w:rsidR="00E456CD" w:rsidRDefault="00000000">
      <w:pPr>
        <w:pStyle w:val="Normal16"/>
        <w:widowControl w:val="0"/>
        <w:spacing w:before="200" w:line="260" w:lineRule="atLeast"/>
        <w:jc w:val="both"/>
      </w:pPr>
      <w:bookmarkStart w:id="3064" w:name="Bookmark_para_82_0"/>
      <w:bookmarkEnd w:id="3064"/>
      <w:r>
        <w:rPr>
          <w:rFonts w:ascii="Arial" w:eastAsia="Arial" w:hAnsi="Arial" w:cs="Arial"/>
          <w:color w:val="000000"/>
          <w:sz w:val="20"/>
        </w:rPr>
        <w:t>S.M.'s mother testified that "[a]s a result of his autism, S.M. does not handle transition or changes to his routine." S.M. can manage short waits of 10 to 15 minutes, but longer waits can require some kind of external distraction, such as an "iPad." S.M.'s sister J.M. is able to wait, but she has anxiety and social issues waiting in lines with many other people.</w:t>
      </w:r>
    </w:p>
    <w:p w:rsidR="00E456CD" w:rsidRDefault="00000000">
      <w:pPr>
        <w:pStyle w:val="Normal16"/>
        <w:widowControl w:val="0"/>
        <w:spacing w:before="200" w:line="260" w:lineRule="atLeast"/>
        <w:jc w:val="both"/>
      </w:pPr>
      <w:bookmarkStart w:id="3065" w:name="Bookmark_para_83_0"/>
      <w:bookmarkEnd w:id="3065"/>
      <w:r>
        <w:rPr>
          <w:rFonts w:ascii="Arial" w:eastAsia="Arial" w:hAnsi="Arial" w:cs="Arial"/>
          <w:color w:val="000000"/>
          <w:sz w:val="20"/>
        </w:rPr>
        <w:t>In December 2013, [**50]  the family visited the Magic Kingdom, where they obtained a DAS Card and received Re-ad Passes. The family used the DAS Card in conjunction with FastPass+ and Re-ad Passes. One of J.M. and S.M.'s older siblings had to run from ride to ride to get return times. The mother testified:</w:t>
      </w:r>
    </w:p>
    <w:p w:rsidR="00E456CD" w:rsidRDefault="00000000">
      <w:pPr>
        <w:pStyle w:val="Normal16"/>
        <w:widowControl w:val="0"/>
        <w:spacing w:line="260" w:lineRule="atLeast"/>
        <w:ind w:left="400"/>
        <w:jc w:val="both"/>
      </w:pPr>
      <w:bookmarkStart w:id="3066" w:name="Bookmark_para_84_0"/>
      <w:bookmarkEnd w:id="3066"/>
      <w:r>
        <w:rPr>
          <w:rFonts w:ascii="Arial" w:eastAsia="Arial" w:hAnsi="Arial" w:cs="Arial"/>
          <w:color w:val="000000"/>
          <w:sz w:val="20"/>
        </w:rPr>
        <w:t>[E]very time [S.M.] saw a ride, he started freaking out and wanting to go immediately. So we got smart and [had the elder sister] running to get return times, and we were trying to coordinate those with the [Re-ad Passes] that we had in conjunction—or in the case of one other park, the Fast Pass Plus.</w:t>
      </w:r>
    </w:p>
    <w:p w:rsidR="00E456CD" w:rsidRDefault="00000000">
      <w:pPr>
        <w:pStyle w:val="Normal16"/>
        <w:widowControl w:val="0"/>
        <w:spacing w:line="260" w:lineRule="atLeast"/>
        <w:jc w:val="both"/>
      </w:pPr>
      <w:r>
        <w:rPr>
          <w:rFonts w:ascii="Arial" w:eastAsia="Arial" w:hAnsi="Arial" w:cs="Arial"/>
          <w:color w:val="000000"/>
          <w:sz w:val="20"/>
        </w:rPr>
        <w:t>Even with the DAS Card and Re-ad Passes, J.M. and S.M. were not able to experience the park in a sequence that was tolerable for them.</w:t>
      </w:r>
    </w:p>
    <w:p w:rsidR="00E456CD" w:rsidRDefault="00000000">
      <w:pPr>
        <w:pStyle w:val="Normal16"/>
        <w:widowControl w:val="0"/>
        <w:spacing w:before="200" w:line="260" w:lineRule="atLeast"/>
        <w:jc w:val="both"/>
      </w:pPr>
      <w:bookmarkStart w:id="3067" w:name="Bookmark_para_85_0"/>
      <w:bookmarkEnd w:id="3067"/>
      <w:r>
        <w:rPr>
          <w:rFonts w:ascii="Arial" w:eastAsia="Arial" w:hAnsi="Arial" w:cs="Arial"/>
          <w:color w:val="000000"/>
          <w:sz w:val="20"/>
        </w:rPr>
        <w:t>The record contains similar day-in-the-park narratives from all 36 plaintiffs.</w:t>
      </w:r>
    </w:p>
    <w:p w:rsidR="00E456CD" w:rsidRDefault="00000000">
      <w:pPr>
        <w:pStyle w:val="Normal16"/>
        <w:widowControl w:val="0"/>
        <w:spacing w:before="240" w:line="260" w:lineRule="atLeast"/>
      </w:pPr>
      <w:r>
        <w:br/>
      </w:r>
      <w:r>
        <w:rPr>
          <w:rFonts w:ascii="Arial" w:eastAsia="Arial" w:hAnsi="Arial" w:cs="Arial"/>
          <w:b/>
          <w:color w:val="000000"/>
          <w:sz w:val="20"/>
        </w:rPr>
        <w:t>C. Expert Dr. Joette James</w:t>
      </w:r>
    </w:p>
    <w:p w:rsidR="00E456CD" w:rsidRDefault="00000000">
      <w:pPr>
        <w:pStyle w:val="Normal16"/>
        <w:widowControl w:val="0"/>
        <w:spacing w:before="200" w:line="260" w:lineRule="atLeast"/>
        <w:jc w:val="both"/>
      </w:pPr>
      <w:bookmarkStart w:id="3068" w:name="Bookmark_para_86_0"/>
      <w:bookmarkEnd w:id="3068"/>
      <w:r>
        <w:rPr>
          <w:rFonts w:ascii="Arial" w:eastAsia="Arial" w:hAnsi="Arial" w:cs="Arial"/>
          <w:color w:val="000000"/>
          <w:sz w:val="20"/>
        </w:rPr>
        <w:t>Plaintiffs also submitted an expert's report and medical studies about the characteristics of autism.</w:t>
      </w:r>
      <w:r>
        <w:rPr>
          <w:rFonts w:ascii="Arial" w:eastAsia="Arial" w:hAnsi="Arial" w:cs="Arial"/>
          <w:vertAlign w:val="superscript"/>
        </w:rPr>
        <w:footnoteReference w:customMarkFollows="1" w:id="129"/>
        <w:t>8</w:t>
      </w:r>
      <w:r>
        <w:rPr>
          <w:rFonts w:ascii="Arial" w:eastAsia="Arial" w:hAnsi="Arial" w:cs="Arial"/>
          <w:color w:val="000000"/>
          <w:sz w:val="20"/>
        </w:rPr>
        <w:t xml:space="preserve"> Plaintiffs' autism expert, Dr. Joette James, Ph.D., is a clinical neuropsychologist with a specialization in developmental disabilities. In her report, Dr. James emphasized the "brain-behavior relationships" that inform scientific understanding  [*1285]  of autism. According to Dr. James, [**51]  individuals with autism present deficits in "executive functions." Dr. James reported: "Good executive functioning requires sustained attention and effort, inhibition of impulses, sound working memory (mental manipulation abilities), as well as clerical and conceptual organizational abilities."</w:t>
      </w:r>
    </w:p>
    <w:p w:rsidR="00E456CD" w:rsidRDefault="00000000">
      <w:pPr>
        <w:pStyle w:val="Normal16"/>
        <w:widowControl w:val="0"/>
        <w:spacing w:before="200" w:line="260" w:lineRule="atLeast"/>
        <w:jc w:val="both"/>
      </w:pPr>
      <w:bookmarkStart w:id="3072" w:name="Bookmark_para_87_0"/>
      <w:bookmarkEnd w:id="3072"/>
      <w:r>
        <w:rPr>
          <w:rFonts w:ascii="Arial" w:eastAsia="Arial" w:hAnsi="Arial" w:cs="Arial"/>
          <w:color w:val="000000"/>
          <w:sz w:val="20"/>
        </w:rPr>
        <w:t>By contrast, Dr. James indicated that individuals with autism, like plaintiffs, demonstrate "global deficits in executive functioning, both in terms of behavioral regulation (i.e. impulse control, emotional control, flexibility), and in terms of metacognitive skills (i.e. initiation, independent planning/organization, working memory, and self-monitoring)." Dr. James explained that "[i]ndividuals with poor executive control typically have difficulty regulating their emotions, controlling impulses, using good judgment, sustaining attention, making sound decisions, initiating appropriate courses of action, and flexibly changing course when receiving feedback that current plans of action and behavior are not working."</w:t>
      </w:r>
    </w:p>
    <w:p w:rsidR="00E456CD" w:rsidRDefault="00000000">
      <w:pPr>
        <w:pStyle w:val="Normal16"/>
        <w:widowControl w:val="0"/>
        <w:spacing w:before="200" w:line="260" w:lineRule="atLeast"/>
        <w:jc w:val="both"/>
      </w:pPr>
      <w:bookmarkStart w:id="3073" w:name="Bookmark_para_88_0"/>
      <w:bookmarkEnd w:id="3073"/>
      <w:r>
        <w:rPr>
          <w:rFonts w:ascii="Arial" w:eastAsia="Arial" w:hAnsi="Arial" w:cs="Arial"/>
          <w:color w:val="000000"/>
          <w:sz w:val="20"/>
        </w:rPr>
        <w:t>In persons with autism, the need for "sameness and consistency . . . often leads to high levels of anxiety when there are even minor changes in their routines." Dr. James [**52]  cited a study of school-age children, which found that individuals with autism "struggled particularly with shifting- that is, the capacity to move freely from one situation, activity, or aspect of a problem to another as the situation demands, to transition, and solve problems flexibly."</w:t>
      </w:r>
    </w:p>
    <w:p w:rsidR="00E456CD" w:rsidRDefault="00000000">
      <w:pPr>
        <w:pStyle w:val="Normal16"/>
        <w:widowControl w:val="0"/>
        <w:spacing w:before="200" w:line="260" w:lineRule="atLeast"/>
        <w:jc w:val="both"/>
      </w:pPr>
      <w:bookmarkStart w:id="3074" w:name="Bookmark_para_89_0"/>
      <w:bookmarkEnd w:id="3074"/>
      <w:r>
        <w:rPr>
          <w:rFonts w:ascii="Arial" w:eastAsia="Arial" w:hAnsi="Arial" w:cs="Arial"/>
          <w:color w:val="000000"/>
          <w:sz w:val="20"/>
        </w:rPr>
        <w:t>Dr. James considered the example of the lead plaintiff in this case, A.L., whom she characterized as both severely disabled and having symptoms and behaviors like many individuals with severe autism. Dr. James opined that, "[l]ike many individuals with ASD, A.L. demonstrates significant executive dysfunction, and problems with emotional/behavioral regulation, flexibility, working memory, and language." In particular, Dr. James opined that: (1) "characteristic of individuals with ASD, A.L. also experiences significant difficulty with flexibility and anxiety"; and (2) "while [A.L.] can tell time, he does not comprehend the concept of time, nor is he able to 'hold onto' the idea of time in such a way as to accurately judge its passage," which "significantly affects A.L.'s ability to wait." Dr. James noted that A.L. has a "high level of rigidity" and a "biologically driven need for consistency and sameness," [**53]  which results in his having a "nearly inflexible order in which he approaches the rides and attractions at Disney."</w:t>
      </w:r>
    </w:p>
    <w:p w:rsidR="00E456CD" w:rsidRDefault="00000000">
      <w:pPr>
        <w:pStyle w:val="Normal16"/>
        <w:widowControl w:val="0"/>
        <w:spacing w:before="200" w:line="260" w:lineRule="atLeast"/>
        <w:jc w:val="both"/>
      </w:pPr>
      <w:bookmarkStart w:id="3075" w:name="Bookmark_para_90_0"/>
      <w:bookmarkEnd w:id="3075"/>
      <w:r>
        <w:rPr>
          <w:rFonts w:ascii="Arial" w:eastAsia="Arial" w:hAnsi="Arial" w:cs="Arial"/>
          <w:color w:val="000000"/>
          <w:sz w:val="20"/>
        </w:rPr>
        <w:t>Dr. James also testified that for a person with autism, a routine or prescribed order is "more than [a] preference," and is "a biologically driven mechanism." Any deviation from the expected order can lead to a "behavioral meltdown" or "some kind of outburst," even if plaintiffs never need to wait in a physical line for a ride, and even if plaintiffs always have some alternate activity or ride in the park available.</w:t>
      </w:r>
    </w:p>
    <w:p w:rsidR="00E456CD" w:rsidRDefault="00000000">
      <w:pPr>
        <w:pStyle w:val="Normal16"/>
        <w:widowControl w:val="0"/>
        <w:spacing w:before="240" w:line="260" w:lineRule="atLeast"/>
      </w:pPr>
      <w:r>
        <w:br/>
      </w:r>
      <w:r>
        <w:rPr>
          <w:rFonts w:ascii="Arial" w:eastAsia="Arial" w:hAnsi="Arial" w:cs="Arial"/>
          <w:b/>
          <w:color w:val="000000"/>
          <w:sz w:val="20"/>
        </w:rPr>
        <w:t>D. Scientific Studies</w:t>
      </w:r>
    </w:p>
    <w:p w:rsidR="00E456CD" w:rsidRDefault="00000000">
      <w:pPr>
        <w:pStyle w:val="Normal16"/>
        <w:widowControl w:val="0"/>
        <w:spacing w:before="200" w:line="260" w:lineRule="atLeast"/>
        <w:jc w:val="both"/>
      </w:pPr>
      <w:bookmarkStart w:id="3076" w:name="Bookmark_para_91_0"/>
      <w:bookmarkEnd w:id="3076"/>
      <w:r>
        <w:rPr>
          <w:rFonts w:ascii="Arial" w:eastAsia="Arial" w:hAnsi="Arial" w:cs="Arial"/>
          <w:color w:val="000000"/>
          <w:sz w:val="20"/>
        </w:rPr>
        <w:t xml:space="preserve">As to routine and sameness, one study, cited by plaintiffs, notes that "[c]hildren with ASDs may protest vigorously when forced to transition from an activity or topic of interest or when a usual routine is changed." Chris Plauché Johnson &amp; Scott M. Myers, </w:t>
      </w:r>
      <w:r>
        <w:rPr>
          <w:rFonts w:ascii="Arial" w:eastAsia="Arial" w:hAnsi="Arial" w:cs="Arial"/>
          <w:color w:val="000000"/>
          <w:sz w:val="20"/>
          <w:u w:val="single"/>
        </w:rPr>
        <w:t>Identification and Evaluation of Children with Autism Spectrum Disorders</w:t>
      </w:r>
      <w:r>
        <w:rPr>
          <w:rFonts w:ascii="Arial" w:eastAsia="Arial" w:hAnsi="Arial" w:cs="Arial"/>
          <w:color w:val="000000"/>
          <w:sz w:val="20"/>
        </w:rPr>
        <w:t xml:space="preserve">, 120 Pediatrics 1183, 1194 (2007). Plaintiffs cite another authority that describes "the need to preserve sameness" as one of the "behavioral symptoms seen in children with autism." Comm. on Educ. Interventions for Children with Autism, Nat'l Research Council, </w:t>
      </w:r>
      <w:r>
        <w:rPr>
          <w:rFonts w:ascii="Arial" w:eastAsia="Arial" w:hAnsi="Arial" w:cs="Arial"/>
          <w:color w:val="000000"/>
          <w:sz w:val="20"/>
          <w:u w:val="single"/>
        </w:rPr>
        <w:t>Educating Children with Autism</w:t>
      </w:r>
      <w:r>
        <w:rPr>
          <w:rFonts w:ascii="Arial" w:eastAsia="Arial" w:hAnsi="Arial" w:cs="Arial"/>
          <w:color w:val="000000"/>
          <w:sz w:val="20"/>
        </w:rPr>
        <w:t xml:space="preserve"> 97 (Catherine Lord &amp; James [**54]  P. McGee eds., 2001). The same book suggests that these "behavioral symptoms"  [*1286]  are related to "physiological abnormalities" including "physiological overarousal to novel events and underarousal and slower rates of habituation." </w:t>
      </w:r>
      <w:r>
        <w:rPr>
          <w:rFonts w:ascii="Arial" w:eastAsia="Arial" w:hAnsi="Arial" w:cs="Arial"/>
          <w:color w:val="000000"/>
          <w:sz w:val="20"/>
          <w:u w:val="single"/>
        </w:rPr>
        <w:t>Id.</w:t>
      </w:r>
    </w:p>
    <w:p w:rsidR="00E456CD" w:rsidRDefault="00000000">
      <w:pPr>
        <w:pStyle w:val="Normal16"/>
        <w:widowControl w:val="0"/>
        <w:spacing w:before="200" w:line="260" w:lineRule="atLeast"/>
        <w:jc w:val="both"/>
      </w:pPr>
      <w:bookmarkStart w:id="3077" w:name="Bookmark_para_92_0"/>
      <w:bookmarkEnd w:id="3077"/>
      <w:r>
        <w:rPr>
          <w:rFonts w:ascii="Arial" w:eastAsia="Arial" w:hAnsi="Arial" w:cs="Arial"/>
          <w:color w:val="000000"/>
          <w:sz w:val="20"/>
        </w:rPr>
        <w:t xml:space="preserve">As to the inability to defer gratification, plaintiffs cite a study which found that children at the high functioning end of the autism spectrum demonstrated a reduced ability to exercise "effortful control" and delay gratification. Susan Faja &amp; Geraldine Dawson, </w:t>
      </w:r>
      <w:r>
        <w:rPr>
          <w:rFonts w:ascii="Arial" w:eastAsia="Arial" w:hAnsi="Arial" w:cs="Arial"/>
          <w:color w:val="000000"/>
          <w:sz w:val="20"/>
          <w:u w:val="single"/>
        </w:rPr>
        <w:t>Reduced Delay of Gratification and Effortful Control Among Young Children with Autism Spectrum Disorders</w:t>
      </w:r>
      <w:r>
        <w:rPr>
          <w:rFonts w:ascii="Arial" w:eastAsia="Arial" w:hAnsi="Arial" w:cs="Arial"/>
          <w:color w:val="000000"/>
          <w:sz w:val="20"/>
        </w:rPr>
        <w:t xml:space="preserve">, 19 Autism 91, 99-101 (2015). That study examined 42 children, half of whom had autism and half of whom did not. </w:t>
      </w:r>
      <w:r>
        <w:rPr>
          <w:rFonts w:ascii="Arial" w:eastAsia="Arial" w:hAnsi="Arial" w:cs="Arial"/>
          <w:color w:val="000000"/>
          <w:sz w:val="20"/>
          <w:u w:val="single"/>
        </w:rPr>
        <w:t>Id.</w:t>
      </w:r>
      <w:r>
        <w:rPr>
          <w:rFonts w:ascii="Arial" w:eastAsia="Arial" w:hAnsi="Arial" w:cs="Arial"/>
          <w:color w:val="000000"/>
          <w:sz w:val="20"/>
        </w:rPr>
        <w:t xml:space="preserve"> at 93. One at a time, the children were left for 15 minutes alone in a room, where they were seated at a table with a small candy treat and a larger candy treat. </w:t>
      </w:r>
      <w:r>
        <w:rPr>
          <w:rFonts w:ascii="Arial" w:eastAsia="Arial" w:hAnsi="Arial" w:cs="Arial"/>
          <w:color w:val="000000"/>
          <w:sz w:val="20"/>
          <w:u w:val="single"/>
        </w:rPr>
        <w:t>Id.</w:t>
      </w:r>
      <w:r>
        <w:rPr>
          <w:rFonts w:ascii="Arial" w:eastAsia="Arial" w:hAnsi="Arial" w:cs="Arial"/>
          <w:color w:val="000000"/>
          <w:sz w:val="20"/>
        </w:rPr>
        <w:t xml:space="preserve"> at 95. The children were not told the wait time, but were told that if they waited at the table until the investigator returned, they could have the larger treat, but if they did not wait, they could have only the smaller treat. </w:t>
      </w:r>
      <w:r>
        <w:rPr>
          <w:rFonts w:ascii="Arial" w:eastAsia="Arial" w:hAnsi="Arial" w:cs="Arial"/>
          <w:color w:val="000000"/>
          <w:sz w:val="20"/>
          <w:u w:val="single"/>
        </w:rPr>
        <w:t>Id.</w:t>
      </w:r>
    </w:p>
    <w:p w:rsidR="00E456CD" w:rsidRDefault="00000000">
      <w:pPr>
        <w:pStyle w:val="Normal16"/>
        <w:widowControl w:val="0"/>
        <w:spacing w:before="200" w:line="260" w:lineRule="atLeast"/>
        <w:jc w:val="both"/>
      </w:pPr>
      <w:bookmarkStart w:id="3078" w:name="Bookmark_para_93_0"/>
      <w:bookmarkEnd w:id="3078"/>
      <w:r>
        <w:rPr>
          <w:rFonts w:ascii="Arial" w:eastAsia="Arial" w:hAnsi="Arial" w:cs="Arial"/>
          <w:color w:val="000000"/>
          <w:sz w:val="20"/>
        </w:rPr>
        <w:t xml:space="preserve">The investigators found that, compared with typically developing children, the rate of children with autism [**55]  who passed the test by delaying gratification for the entire 15 minutes was lower. </w:t>
      </w:r>
      <w:r>
        <w:rPr>
          <w:rFonts w:ascii="Arial" w:eastAsia="Arial" w:hAnsi="Arial" w:cs="Arial"/>
          <w:color w:val="000000"/>
          <w:sz w:val="20"/>
          <w:u w:val="single"/>
        </w:rPr>
        <w:t>Id.</w:t>
      </w:r>
      <w:r>
        <w:rPr>
          <w:rFonts w:ascii="Arial" w:eastAsia="Arial" w:hAnsi="Arial" w:cs="Arial"/>
          <w:color w:val="000000"/>
          <w:sz w:val="20"/>
        </w:rPr>
        <w:t xml:space="preserve"> at 97. The investigators observed that this result was "consistent with the theoretical prediction that executive control may be disrupted for a subset of children with ASD." </w:t>
      </w:r>
      <w:r>
        <w:rPr>
          <w:rFonts w:ascii="Arial" w:eastAsia="Arial" w:hAnsi="Arial" w:cs="Arial"/>
          <w:color w:val="000000"/>
          <w:sz w:val="20"/>
          <w:u w:val="single"/>
        </w:rPr>
        <w:t>Id.</w:t>
      </w:r>
      <w:r>
        <w:rPr>
          <w:rFonts w:ascii="Arial" w:eastAsia="Arial" w:hAnsi="Arial" w:cs="Arial"/>
          <w:color w:val="000000"/>
          <w:sz w:val="20"/>
        </w:rPr>
        <w:t xml:space="preserve"> The investigators also noted that the result was consistent with information gathered from the parents of the children with autism, who reported that their children were less likely than typically developing children to exhibit characteristics "such as the ability to show strong concentration, persist with tasks, wait before engaging with a task, easily stop an activity when told 'no,' and enjoy just sitting quietly." </w:t>
      </w:r>
      <w:r>
        <w:rPr>
          <w:rFonts w:ascii="Arial" w:eastAsia="Arial" w:hAnsi="Arial" w:cs="Arial"/>
          <w:color w:val="000000"/>
          <w:sz w:val="20"/>
          <w:u w:val="single"/>
        </w:rPr>
        <w:t>Id.</w:t>
      </w:r>
      <w:r>
        <w:rPr>
          <w:rFonts w:ascii="Arial" w:eastAsia="Arial" w:hAnsi="Arial" w:cs="Arial"/>
          <w:color w:val="000000"/>
          <w:sz w:val="20"/>
        </w:rPr>
        <w:t xml:space="preserve"> Plaintiffs claim their impairments are far more severe than those in the Faja-Dawson study.</w:t>
      </w:r>
      <w:r>
        <w:rPr>
          <w:rFonts w:ascii="Arial" w:eastAsia="Arial" w:hAnsi="Arial" w:cs="Arial"/>
          <w:vertAlign w:val="superscript"/>
        </w:rPr>
        <w:footnoteReference w:customMarkFollows="1" w:id="130"/>
        <w:t>9</w:t>
      </w:r>
    </w:p>
    <w:p w:rsidR="00E456CD" w:rsidRDefault="00000000">
      <w:pPr>
        <w:pStyle w:val="Normal16"/>
        <w:widowControl w:val="0"/>
        <w:spacing w:before="240" w:line="260" w:lineRule="atLeast"/>
      </w:pPr>
      <w:r>
        <w:br/>
      </w:r>
      <w:r>
        <w:rPr>
          <w:rFonts w:ascii="Arial" w:eastAsia="Arial" w:hAnsi="Arial" w:cs="Arial"/>
          <w:b/>
          <w:color w:val="000000"/>
          <w:sz w:val="20"/>
        </w:rPr>
        <w:t>IV. DISNEY'S EVIDENCE</w:t>
      </w:r>
    </w:p>
    <w:p w:rsidR="00E456CD" w:rsidRDefault="00000000">
      <w:pPr>
        <w:pStyle w:val="Normal16"/>
        <w:widowControl w:val="0"/>
        <w:spacing w:before="200" w:line="260" w:lineRule="atLeast"/>
        <w:jc w:val="both"/>
      </w:pPr>
      <w:bookmarkStart w:id="3080" w:name="Bookmark_para_94_0"/>
      <w:bookmarkEnd w:id="3080"/>
      <w:r>
        <w:rPr>
          <w:rFonts w:ascii="Arial" w:eastAsia="Arial" w:hAnsi="Arial" w:cs="Arial"/>
          <w:color w:val="000000"/>
          <w:sz w:val="20"/>
        </w:rPr>
        <w:t>Disney's evidence directly contradicts plaintiffs' evidence about these two behavioral challenges. Disney submitted expert reports from Dr. Jill Kelderman, Ph.D., a pediatric neuropsychologist, and Dr. Jack Spector, Ph.D., a clinical neuropsychologist.</w:t>
      </w:r>
    </w:p>
    <w:p w:rsidR="00E456CD" w:rsidRDefault="00000000">
      <w:pPr>
        <w:pStyle w:val="Normal16"/>
        <w:widowControl w:val="0"/>
        <w:spacing w:before="240" w:line="260" w:lineRule="atLeast"/>
      </w:pPr>
      <w:r>
        <w:br/>
      </w:r>
      <w:r>
        <w:rPr>
          <w:rFonts w:ascii="Arial" w:eastAsia="Arial" w:hAnsi="Arial" w:cs="Arial"/>
          <w:b/>
          <w:color w:val="000000"/>
          <w:sz w:val="20"/>
        </w:rPr>
        <w:t>A. Expert Dr. Jill Kelderman</w:t>
      </w:r>
    </w:p>
    <w:p w:rsidR="00E456CD" w:rsidRDefault="00000000">
      <w:pPr>
        <w:pStyle w:val="Normal16"/>
        <w:widowControl w:val="0"/>
        <w:spacing w:before="200" w:line="260" w:lineRule="atLeast"/>
        <w:jc w:val="both"/>
      </w:pPr>
      <w:bookmarkStart w:id="3081" w:name="Bookmark_para_95_0"/>
      <w:bookmarkEnd w:id="3081"/>
      <w:r>
        <w:rPr>
          <w:rFonts w:ascii="Arial" w:eastAsia="Arial" w:hAnsi="Arial" w:cs="Arial"/>
          <w:color w:val="000000"/>
          <w:sz w:val="20"/>
        </w:rPr>
        <w:t>As to autism generally, Dr. Kelderman acknowledged that individuals with autism spectrum disorder can evince "[r]igidity, which [**56]  can include insistence on sameness or nonfunctional routines . . . to varying degrees." Dr. Kelderman opined, however, that these and other behaviors can be managed, stating: "Behavior modification strategies are helpful in reducing and accommodating symptoms of ASD"; and "[s]elf-control in young children with ASD can be increased by gradually exposing the child to progressive delays, when given the choice to engage in an intervening activity during that delay" (internal citations omitted).</w:t>
      </w:r>
    </w:p>
    <w:p w:rsidR="00E456CD" w:rsidRDefault="00000000">
      <w:pPr>
        <w:pStyle w:val="Normal16"/>
        <w:widowControl w:val="0"/>
        <w:spacing w:before="200" w:line="260" w:lineRule="atLeast"/>
        <w:jc w:val="both"/>
      </w:pPr>
      <w:bookmarkStart w:id="3082" w:name="Bookmark_para_96_0"/>
      <w:bookmarkEnd w:id="3082"/>
      <w:r>
        <w:rPr>
          <w:rFonts w:ascii="Arial" w:eastAsia="Arial" w:hAnsi="Arial" w:cs="Arial"/>
          <w:color w:val="000000"/>
          <w:sz w:val="20"/>
        </w:rPr>
        <w:t>Dr. Kelderman explained that "[i]ntroducing alternative behaviors (a technical term for distraction technique) is helpful not only for individuals with disabilities, but their typically developing peers." For example, "providing a card game, movie,  [*1287]  or video game to watch on a smart phone or iPad helps distract individuals and helps keep people occupied."</w:t>
      </w:r>
    </w:p>
    <w:p w:rsidR="00E456CD" w:rsidRDefault="00000000">
      <w:pPr>
        <w:pStyle w:val="Normal16"/>
        <w:widowControl w:val="0"/>
        <w:spacing w:before="200" w:line="260" w:lineRule="atLeast"/>
        <w:jc w:val="both"/>
      </w:pPr>
      <w:bookmarkStart w:id="3083" w:name="Bookmark_para_97_0"/>
      <w:bookmarkEnd w:id="3083"/>
      <w:r>
        <w:rPr>
          <w:rFonts w:ascii="Arial" w:eastAsia="Arial" w:hAnsi="Arial" w:cs="Arial"/>
          <w:color w:val="000000"/>
          <w:sz w:val="20"/>
        </w:rPr>
        <w:t>Dr. Kelderman testified that an inability to wait for long periods of time or understand the concept of the passage of time is "not part of the diagnostic criteria" for ASD, is not a central component of ASD, is not a frequently occurring symptom of ASD, and is not a common problem of ASD. Dr. Kelderman stated that there is no body of research outlining [**57]  the inability of people with autism to (1) "browse" or to (2) "impulsively enjoy substitute experiences."</w:t>
      </w:r>
    </w:p>
    <w:p w:rsidR="00E456CD" w:rsidRDefault="00000000">
      <w:pPr>
        <w:pStyle w:val="Normal16"/>
        <w:widowControl w:val="0"/>
        <w:spacing w:before="200" w:line="260" w:lineRule="atLeast"/>
        <w:jc w:val="both"/>
      </w:pPr>
      <w:bookmarkStart w:id="3084" w:name="Bookmark_para_98_0"/>
      <w:bookmarkEnd w:id="3084"/>
      <w:r>
        <w:rPr>
          <w:rFonts w:ascii="Arial" w:eastAsia="Arial" w:hAnsi="Arial" w:cs="Arial"/>
          <w:color w:val="000000"/>
          <w:sz w:val="20"/>
        </w:rPr>
        <w:t>However, Dr. Kelderman acknowledged that individuals with autism can have more difficulty with waiting than do people without autism, "because it is anxiety-provoking." Dr. Kelderman explained that this anxiety "manifests particularly in social situations, lots of commotion, loud environments, novel environments where they're not sure what's going to happen next. These types of things—many individuals with ASD are more prone to experience anxiety in these events."</w:t>
      </w:r>
    </w:p>
    <w:p w:rsidR="00E456CD" w:rsidRDefault="00000000">
      <w:pPr>
        <w:pStyle w:val="Normal16"/>
        <w:widowControl w:val="0"/>
        <w:spacing w:before="200" w:line="260" w:lineRule="atLeast"/>
        <w:jc w:val="both"/>
      </w:pPr>
      <w:bookmarkStart w:id="3085" w:name="Bookmark_para_99_0"/>
      <w:bookmarkEnd w:id="3085"/>
      <w:r>
        <w:rPr>
          <w:rFonts w:ascii="Arial" w:eastAsia="Arial" w:hAnsi="Arial" w:cs="Arial"/>
          <w:color w:val="000000"/>
          <w:sz w:val="20"/>
        </w:rPr>
        <w:t>As to the Disney experience, Dr. Kelderman's report pointed to Disney's Guide, which advised that "[p]arents are strongly encouraged to prepare ahead of time" for their visits. Dr. Kelderman opined that the families' "expectation that any child with ASD should have immediate, unfettered access to the rides and attractions of their choice at Walt Disney World is not a requirement of the disability; rather, it is a preference or expectation that children with ASD and their families have when visiting the parks."</w:t>
      </w:r>
    </w:p>
    <w:p w:rsidR="00E456CD" w:rsidRDefault="00000000">
      <w:pPr>
        <w:pStyle w:val="Normal16"/>
        <w:widowControl w:val="0"/>
        <w:spacing w:before="200" w:line="260" w:lineRule="atLeast"/>
        <w:jc w:val="both"/>
      </w:pPr>
      <w:bookmarkStart w:id="3086" w:name="Bookmark_para_100_0"/>
      <w:bookmarkEnd w:id="3086"/>
      <w:r>
        <w:rPr>
          <w:rFonts w:ascii="Arial" w:eastAsia="Arial" w:hAnsi="Arial" w:cs="Arial"/>
          <w:color w:val="000000"/>
          <w:sz w:val="20"/>
        </w:rPr>
        <w:t>Dr. Kelderman observed that "[w]aiting is an inherent, unavoidable aspect of our culture and it is part of the daily [**58]  life of children with and without ASD." Dr. Kelderman opined that "children with ASD are not incapable of waiting or unable to delay gratification," and that a preference to visit attractions in a particular order "is neither a requirement nor an inherent characteristic of ASD."</w:t>
      </w:r>
    </w:p>
    <w:p w:rsidR="00E456CD" w:rsidRDefault="00000000">
      <w:pPr>
        <w:pStyle w:val="Normal16"/>
        <w:widowControl w:val="0"/>
        <w:spacing w:before="200" w:line="260" w:lineRule="atLeast"/>
        <w:jc w:val="both"/>
      </w:pPr>
      <w:bookmarkStart w:id="3087" w:name="Bookmark_para_101_0"/>
      <w:bookmarkEnd w:id="3087"/>
      <w:r>
        <w:rPr>
          <w:rFonts w:ascii="Arial" w:eastAsia="Arial" w:hAnsi="Arial" w:cs="Arial"/>
          <w:color w:val="000000"/>
          <w:sz w:val="20"/>
        </w:rPr>
        <w:t>Dr. Kelderman explained her opinion as follows: (1) that "[b]y eliminating the wait time in some instances and decreasing it in others, individuals with ASD spend minimal amounts of time standing in a line under DAS"; and (2) that "[a]s a result, providing a virtual wait allows individuals with disabilities more access to park experiences, as it frees up hours of time that would otherwise be spent standing in line." Dr. Kelderman concluded that, given the accommodations under the DAS Card, which are available to individuals with autism, "providing repeated, near-immediate entry to rides and attractions . . . is not necessary to afford access to Disney's theme parks."</w:t>
      </w:r>
    </w:p>
    <w:p w:rsidR="00E456CD" w:rsidRDefault="00000000">
      <w:pPr>
        <w:pStyle w:val="Normal16"/>
        <w:widowControl w:val="0"/>
        <w:spacing w:before="240" w:line="260" w:lineRule="atLeast"/>
      </w:pPr>
      <w:r>
        <w:br/>
      </w:r>
      <w:r>
        <w:rPr>
          <w:rFonts w:ascii="Arial" w:eastAsia="Arial" w:hAnsi="Arial" w:cs="Arial"/>
          <w:b/>
          <w:color w:val="000000"/>
          <w:sz w:val="20"/>
        </w:rPr>
        <w:t>B. Expert Dr. Jack Spector</w:t>
      </w:r>
    </w:p>
    <w:p w:rsidR="00E456CD" w:rsidRDefault="00000000">
      <w:pPr>
        <w:pStyle w:val="Normal16"/>
        <w:widowControl w:val="0"/>
        <w:spacing w:before="200" w:line="260" w:lineRule="atLeast"/>
        <w:jc w:val="both"/>
      </w:pPr>
      <w:bookmarkStart w:id="3088" w:name="Bookmark_para_102_0"/>
      <w:bookmarkEnd w:id="3088"/>
      <w:r>
        <w:rPr>
          <w:rFonts w:ascii="Arial" w:eastAsia="Arial" w:hAnsi="Arial" w:cs="Arial"/>
          <w:color w:val="000000"/>
          <w:sz w:val="20"/>
        </w:rPr>
        <w:t>Disney's second expert, Dr. Spector, was retained to review and opine on the expert report of plaintiffs' expert, Dr. James. Dr. Spector disagreed with Dr. James's opinion. Dr. Spector noted that "[c]hildren, developmentally [**59]  disabled or not, typically do not handle delays and waits" as well as adults do, and "may have little experience with having to wait in line as much as is required on a typical day at a Disney theme park."</w:t>
      </w:r>
    </w:p>
    <w:p w:rsidR="00E456CD" w:rsidRDefault="00000000">
      <w:pPr>
        <w:pStyle w:val="Normal16"/>
        <w:widowControl w:val="0"/>
        <w:spacing w:before="200" w:line="260" w:lineRule="atLeast"/>
        <w:jc w:val="both"/>
      </w:pPr>
      <w:bookmarkStart w:id="3089" w:name="Bookmark_para_103_0"/>
      <w:bookmarkEnd w:id="3089"/>
      <w:r>
        <w:rPr>
          <w:rFonts w:ascii="Arial" w:eastAsia="Arial" w:hAnsi="Arial" w:cs="Arial"/>
          <w:color w:val="000000"/>
          <w:sz w:val="20"/>
        </w:rPr>
        <w:t>Dr. Spector opined that the inherent challenges of taking any child to a Disney theme park make it difficult to attribute any particular negative experience to autism. Dr. Spector explained: "While there may be times when a particular child's  [*1288]  particular problem behaviors and idiosyncrasies may impact their theme park experience," there is no evidence presented that children with ASD as a group: (1) manifest "a complete inability to delay or defer gratification"; (2) "are incapable of waiting in lines"; and (3) "require repeated turns on the same ride or group of rides in particular sequence." Dr. Spector opined that parents of children with autism are capable of "utilizing the same behavioral tactics, plans, and preparations as do every other parent anticipating a visit to a Disney theme park."</w:t>
      </w:r>
    </w:p>
    <w:p w:rsidR="00E456CD" w:rsidRDefault="00000000">
      <w:pPr>
        <w:pStyle w:val="Normal16"/>
        <w:widowControl w:val="0"/>
        <w:spacing w:before="200" w:line="260" w:lineRule="atLeast"/>
        <w:jc w:val="both"/>
      </w:pPr>
      <w:bookmarkStart w:id="3090" w:name="Bookmark_para_104_0"/>
      <w:bookmarkEnd w:id="3090"/>
      <w:r>
        <w:rPr>
          <w:rFonts w:ascii="Arial" w:eastAsia="Arial" w:hAnsi="Arial" w:cs="Arial"/>
          <w:color w:val="000000"/>
          <w:sz w:val="20"/>
        </w:rPr>
        <w:t>In Dr. Spector's opinion, Dr. James's "flawed causation analysis fail[ed] to address any of a number of different causes"—including the particular child's expectations, skills, adaptability, [**60]  health, fatigue, and resilience on a given day—that could contribute to a behavioral "meltdown" at a Disney theme park.</w:t>
      </w:r>
    </w:p>
    <w:p w:rsidR="00E456CD" w:rsidRDefault="00000000">
      <w:pPr>
        <w:pStyle w:val="Normal16"/>
        <w:widowControl w:val="0"/>
        <w:spacing w:before="200" w:line="260" w:lineRule="atLeast"/>
        <w:jc w:val="both"/>
      </w:pPr>
      <w:bookmarkStart w:id="3091" w:name="Bookmark_para_105_0"/>
      <w:bookmarkEnd w:id="3091"/>
      <w:r>
        <w:rPr>
          <w:rFonts w:ascii="Arial" w:eastAsia="Arial" w:hAnsi="Arial" w:cs="Arial"/>
          <w:color w:val="000000"/>
          <w:sz w:val="20"/>
        </w:rPr>
        <w:t>Having reviewed the evidence, we outline the procedural history that led to the summary judgment motions.</w:t>
      </w:r>
    </w:p>
    <w:p w:rsidR="00E456CD" w:rsidRDefault="00000000">
      <w:pPr>
        <w:pStyle w:val="Normal16"/>
        <w:widowControl w:val="0"/>
        <w:spacing w:before="240" w:line="260" w:lineRule="atLeast"/>
      </w:pPr>
      <w:r>
        <w:br/>
      </w:r>
      <w:r>
        <w:rPr>
          <w:rFonts w:ascii="Arial" w:eastAsia="Arial" w:hAnsi="Arial" w:cs="Arial"/>
          <w:b/>
          <w:color w:val="000000"/>
          <w:sz w:val="20"/>
        </w:rPr>
        <w:t>V. PROCEDURAL HISTORY</w:t>
      </w:r>
    </w:p>
    <w:p w:rsidR="00E456CD" w:rsidRDefault="00000000">
      <w:pPr>
        <w:pStyle w:val="Normal16"/>
        <w:widowControl w:val="0"/>
        <w:spacing w:before="200" w:line="260" w:lineRule="atLeast"/>
        <w:jc w:val="both"/>
      </w:pPr>
      <w:bookmarkStart w:id="3092" w:name="Bookmark_para_106_0"/>
      <w:bookmarkEnd w:id="3092"/>
      <w:r>
        <w:rPr>
          <w:rFonts w:ascii="Arial" w:eastAsia="Arial" w:hAnsi="Arial" w:cs="Arial"/>
          <w:color w:val="000000"/>
          <w:sz w:val="20"/>
        </w:rPr>
        <w:t>These 30 lawsuits on appeal began as 44 separate lawsuits in the district court. Some of the 44 lawsuits were filed originally in the U.S. District Court for the Central District of California, and were transferred to the district court in Florida. Other lawsuits were filed originally in the district court in Florida. Plaintiff A.L.'s action was commenced in April 2014, approximately 6 months before the other 43 actions.</w:t>
      </w:r>
    </w:p>
    <w:p w:rsidR="00E456CD" w:rsidRDefault="00000000">
      <w:pPr>
        <w:pStyle w:val="Normal16"/>
        <w:widowControl w:val="0"/>
        <w:spacing w:before="200" w:line="260" w:lineRule="atLeast"/>
        <w:jc w:val="both"/>
      </w:pPr>
      <w:bookmarkStart w:id="3093" w:name="Bookmark_para_107_0"/>
      <w:bookmarkEnd w:id="3093"/>
      <w:r>
        <w:rPr>
          <w:rFonts w:ascii="Arial" w:eastAsia="Arial" w:hAnsi="Arial" w:cs="Arial"/>
          <w:color w:val="000000"/>
          <w:sz w:val="20"/>
        </w:rPr>
        <w:t>In all 44 lawsuits, the complaint contained one count under the ADA for each plaintiff, asserting that (1) they suffered from autism and/or cognitive disabilities, and (2) Disney's DAS Card violated the ADA because it did not allow plaintiffs to go on rides without waiting and in the order they wanted. Plaintiffs sought injunctions requiring Disney to modify the DAS Card to provide additional accommodations.</w:t>
      </w:r>
    </w:p>
    <w:p w:rsidR="00E456CD" w:rsidRDefault="00000000">
      <w:pPr>
        <w:pStyle w:val="Normal16"/>
        <w:widowControl w:val="0"/>
        <w:spacing w:before="200" w:line="260" w:lineRule="atLeast"/>
        <w:jc w:val="both"/>
      </w:pPr>
      <w:bookmarkStart w:id="3094" w:name="Bookmark_para_108_0"/>
      <w:bookmarkEnd w:id="3094"/>
      <w:r>
        <w:rPr>
          <w:rFonts w:ascii="Arial" w:eastAsia="Arial" w:hAnsi="Arial" w:cs="Arial"/>
          <w:color w:val="000000"/>
          <w:sz w:val="20"/>
        </w:rPr>
        <w:t>Discovery concluded in the A.L. action first, and Disney moved for summary judgment. In April 2016, the district court granted [**61]  summary judgment for Disney in the A.L. case. A.L. appealed.</w:t>
      </w:r>
    </w:p>
    <w:p w:rsidR="00E456CD" w:rsidRDefault="00000000">
      <w:pPr>
        <w:pStyle w:val="Normal16"/>
        <w:widowControl w:val="0"/>
        <w:spacing w:before="200" w:line="260" w:lineRule="atLeast"/>
        <w:jc w:val="both"/>
      </w:pPr>
      <w:bookmarkStart w:id="3095" w:name="Bookmark_para_109_0"/>
      <w:bookmarkEnd w:id="3095"/>
      <w:r>
        <w:rPr>
          <w:rFonts w:ascii="Arial" w:eastAsia="Arial" w:hAnsi="Arial" w:cs="Arial"/>
          <w:color w:val="000000"/>
          <w:sz w:val="20"/>
        </w:rPr>
        <w:t>The other 43 cases proceeded several months behind the A.L. case. During the litigation, 6 of the plaintiff families voluntarily dismissed their claims, leaving 37 separate lawsuits. After Disney won summary judgment in the A.L. case, Disney moved for summary judgment in each of the other cases. In September 2016, the district court granted summary judgment for Disney in the 37 remaining cases.</w:t>
      </w:r>
    </w:p>
    <w:p w:rsidR="00E456CD" w:rsidRDefault="00000000">
      <w:pPr>
        <w:pStyle w:val="Normal16"/>
        <w:widowControl w:val="0"/>
        <w:spacing w:before="200" w:line="260" w:lineRule="atLeast"/>
        <w:jc w:val="both"/>
      </w:pPr>
      <w:bookmarkStart w:id="3096" w:name="Bookmark_para_110_0"/>
      <w:bookmarkEnd w:id="3096"/>
      <w:r>
        <w:rPr>
          <w:rFonts w:ascii="Arial" w:eastAsia="Arial" w:hAnsi="Arial" w:cs="Arial"/>
          <w:color w:val="000000"/>
          <w:sz w:val="20"/>
        </w:rPr>
        <w:t>The district court entered substantially the same summary judgment order in each case. The district court found that plaintiffs' sole ADA claim arose under § 12182(b)(2)(A)(ii) of Title III, and involved Disney's alleged failure to make necessary and reasonable modifications to its procedures to accommodate plaintiffs' disabilities. The district court determined that there were no issues of material fact and that plaintiffs had not made the required showing that their requested modifications were "necessary" to afford them "equal access" to the benefits of a Disney theme park.</w:t>
      </w:r>
    </w:p>
    <w:p w:rsidR="00E456CD" w:rsidRDefault="00000000">
      <w:pPr>
        <w:pStyle w:val="Normal16"/>
        <w:widowControl w:val="0"/>
        <w:spacing w:before="200" w:line="260" w:lineRule="atLeast"/>
        <w:jc w:val="both"/>
      </w:pPr>
      <w:bookmarkStart w:id="3097" w:name="Bookmark_para_111_0"/>
      <w:bookmarkStart w:id="3098" w:name="Bookmark_I5T7HWT828T4BJ0050000400"/>
      <w:bookmarkEnd w:id="3097"/>
      <w:bookmarkEnd w:id="3098"/>
      <w:r>
        <w:rPr>
          <w:rFonts w:ascii="Arial" w:eastAsia="Arial" w:hAnsi="Arial" w:cs="Arial"/>
          <w:color w:val="000000"/>
          <w:sz w:val="20"/>
        </w:rPr>
        <w:t>The district court concluded that plaintiffs' requested additional modifications were unnecessary for three main reasons: (1) Disney provided plaintiffs an opportunity to gain a like benefit from its [**62]  parks that is enjoyed by nondisabled individuals; (2) plaintiffs can all wait in a car or a plane to  [*1289]  get to Disney's parks, and therefore plaintiffs can wait virtually with a DAS Card to access rides at scheduled times; and (3) DAS is an existing means to equal access. In those cases where the issue was contested, the district court also concluded that plaintiffs "can deviate from [their] preordained route[s]."</w:t>
      </w:r>
      <w:r>
        <w:rPr>
          <w:rFonts w:ascii="Arial" w:eastAsia="Arial" w:hAnsi="Arial" w:cs="Arial"/>
          <w:vertAlign w:val="superscript"/>
        </w:rPr>
        <w:footnoteReference w:customMarkFollows="1" w:id="131"/>
        <w:t>10</w:t>
      </w:r>
    </w:p>
    <w:p w:rsidR="00E456CD" w:rsidRDefault="00000000">
      <w:pPr>
        <w:pStyle w:val="Normal16"/>
        <w:widowControl w:val="0"/>
        <w:spacing w:before="200" w:line="260" w:lineRule="atLeast"/>
        <w:jc w:val="both"/>
      </w:pPr>
      <w:bookmarkStart w:id="3101" w:name="Bookmark_para_112_0"/>
      <w:bookmarkEnd w:id="3101"/>
      <w:r>
        <w:rPr>
          <w:rFonts w:ascii="Arial" w:eastAsia="Arial" w:hAnsi="Arial" w:cs="Arial"/>
          <w:color w:val="000000"/>
          <w:sz w:val="20"/>
        </w:rPr>
        <w:t>Because plaintiff A.L. appealed first, his appeal was briefed separately. Twenty-nine of the other 37 families appealed. Those 29 appeals were consolidated for briefing in this Court.</w:t>
      </w:r>
    </w:p>
    <w:p w:rsidR="00E456CD" w:rsidRDefault="00000000">
      <w:pPr>
        <w:pStyle w:val="Normal16"/>
        <w:widowControl w:val="0"/>
        <w:spacing w:before="240" w:line="260" w:lineRule="atLeast"/>
      </w:pPr>
      <w:r>
        <w:br/>
      </w:r>
      <w:r>
        <w:rPr>
          <w:rFonts w:ascii="Arial" w:eastAsia="Arial" w:hAnsi="Arial" w:cs="Arial"/>
          <w:b/>
          <w:color w:val="000000"/>
          <w:sz w:val="20"/>
        </w:rPr>
        <w:t>VI. STANDARD OF REVIEW</w:t>
      </w:r>
    </w:p>
    <w:p w:rsidR="00E456CD" w:rsidRDefault="00000000">
      <w:pPr>
        <w:pStyle w:val="Normal16"/>
        <w:widowControl w:val="0"/>
        <w:spacing w:before="200" w:line="260" w:lineRule="atLeast"/>
        <w:jc w:val="both"/>
      </w:pPr>
      <w:bookmarkStart w:id="3102" w:name="Bookmark_para_113_0"/>
      <w:bookmarkStart w:id="3103" w:name="Bookmark_I5T7HWT92D6NHX0020000400"/>
      <w:bookmarkStart w:id="3104" w:name="Bookmark_LNHNREFclscc1_13"/>
      <w:bookmarkEnd w:id="3102"/>
      <w:bookmarkEnd w:id="3103"/>
      <w:bookmarkEnd w:id="3104"/>
      <w:r>
        <w:rPr>
          <w:rFonts w:ascii="Arial" w:eastAsia="Arial" w:hAnsi="Arial" w:cs="Arial"/>
          <w:color w:val="000000"/>
          <w:sz w:val="20"/>
        </w:rPr>
        <w:t xml:space="preserve">We review a district court's grant of summary judgment </w:t>
      </w:r>
      <w:r>
        <w:rPr>
          <w:rFonts w:ascii="Arial" w:eastAsia="Arial" w:hAnsi="Arial" w:cs="Arial"/>
          <w:color w:val="000000"/>
          <w:sz w:val="20"/>
          <w:u w:val="single"/>
        </w:rPr>
        <w:t xml:space="preserve">de novo. </w:t>
      </w:r>
      <w:bookmarkStart w:id="3105" w:name="Bookmark_I5T7HWT92D6NHX0010000400"/>
      <w:bookmarkEnd w:id="3105"/>
      <w:r>
        <w:rPr>
          <w:rFonts w:ascii="Arial" w:eastAsia="Arial" w:hAnsi="Arial" w:cs="Arial"/>
          <w:color w:val="000000"/>
          <w:sz w:val="20"/>
          <w:u w:val="single"/>
        </w:rPr>
        <w:t>Hegel v. First Liberty Ins. Corp.</w:t>
      </w:r>
      <w:r>
        <w:rPr>
          <w:rFonts w:ascii="Arial" w:eastAsia="Arial" w:hAnsi="Arial" w:cs="Arial"/>
          <w:color w:val="000000"/>
          <w:sz w:val="20"/>
        </w:rPr>
        <w:t xml:space="preserve">, 778 F.3d 1214, 1219 (11th Cir. 2015). </w:t>
      </w:r>
      <w:bookmarkStart w:id="3106" w:name="Bookmark_I5T7HWT92D6NHX0040000400"/>
      <w:bookmarkEnd w:id="3106"/>
      <w:r>
        <w:rPr>
          <w:rFonts w:ascii="Arial" w:eastAsia="Arial" w:hAnsi="Arial" w:cs="Arial"/>
          <w:color w:val="000000"/>
          <w:sz w:val="20"/>
        </w:rPr>
        <w:t xml:space="preserve">A district court properly grants summary judgment when there is no genuine dispute as to any material fact and the moving party is entitled to judgment as a matter of law. </w:t>
      </w:r>
      <w:r>
        <w:rPr>
          <w:rFonts w:ascii="Arial" w:eastAsia="Arial" w:hAnsi="Arial" w:cs="Arial"/>
          <w:color w:val="000000"/>
          <w:sz w:val="20"/>
          <w:u w:val="single"/>
        </w:rPr>
        <w:t>Id.</w:t>
      </w:r>
      <w:r>
        <w:rPr>
          <w:rFonts w:ascii="Arial" w:eastAsia="Arial" w:hAnsi="Arial" w:cs="Arial"/>
          <w:color w:val="000000"/>
          <w:sz w:val="20"/>
        </w:rPr>
        <w:t xml:space="preserve">; Fed. R. Civ. P. 56(a). The court draws all inferences and reviews all evidence in the light most favorable to the nonmoving party. </w:t>
      </w:r>
      <w:bookmarkStart w:id="3107" w:name="Bookmark_I5T7HWT92D6NHX0040000400_2"/>
      <w:bookmarkStart w:id="3108" w:name="Bookmark_I5T7HWT92HM6N20010000400"/>
      <w:bookmarkStart w:id="3109" w:name="Bookmark_I5T7HWT92D6NHX0030000400"/>
      <w:bookmarkEnd w:id="3107"/>
      <w:bookmarkEnd w:id="3108"/>
      <w:bookmarkEnd w:id="3109"/>
      <w:r>
        <w:rPr>
          <w:rFonts w:ascii="Arial" w:eastAsia="Arial" w:hAnsi="Arial" w:cs="Arial"/>
          <w:color w:val="000000"/>
          <w:sz w:val="20"/>
          <w:u w:val="single"/>
        </w:rPr>
        <w:t>Hamilton v. Southland Christian Sch., Inc.</w:t>
      </w:r>
      <w:r>
        <w:rPr>
          <w:rFonts w:ascii="Arial" w:eastAsia="Arial" w:hAnsi="Arial" w:cs="Arial"/>
          <w:color w:val="000000"/>
          <w:sz w:val="20"/>
        </w:rPr>
        <w:t xml:space="preserve">, 680 F.3d 1316, 1318 (11th Cir. 2012). </w:t>
      </w:r>
      <w:bookmarkStart w:id="3110" w:name="Bookmark_I5T7HWT92HM6N20010000400_2"/>
      <w:bookmarkEnd w:id="3110"/>
      <w:r>
        <w:rPr>
          <w:rFonts w:ascii="Arial" w:eastAsia="Arial" w:hAnsi="Arial" w:cs="Arial"/>
          <w:color w:val="000000"/>
          <w:sz w:val="20"/>
        </w:rPr>
        <w:t xml:space="preserve">The court does not weigh conflicting evidence or determine the credibility of witnesses. </w:t>
      </w:r>
      <w:bookmarkStart w:id="3111" w:name="Bookmark_I5T7HWT92D6NHX0050000400"/>
      <w:bookmarkEnd w:id="3111"/>
      <w:r>
        <w:rPr>
          <w:rFonts w:ascii="Arial" w:eastAsia="Arial" w:hAnsi="Arial" w:cs="Arial"/>
          <w:color w:val="000000"/>
          <w:sz w:val="20"/>
          <w:u w:val="single"/>
        </w:rPr>
        <w:t>Jones v. UPS Ground Freight</w:t>
      </w:r>
      <w:r>
        <w:rPr>
          <w:rFonts w:ascii="Arial" w:eastAsia="Arial" w:hAnsi="Arial" w:cs="Arial"/>
          <w:color w:val="000000"/>
          <w:sz w:val="20"/>
        </w:rPr>
        <w:t xml:space="preserve">, 683 F.3d 1283, 1292 (11th Cir. 2012); </w:t>
      </w:r>
      <w:bookmarkStart w:id="3112" w:name="Bookmark_I5T7HWT92HM6N20020000400"/>
      <w:bookmarkEnd w:id="3112"/>
      <w:r>
        <w:rPr>
          <w:rFonts w:ascii="Arial" w:eastAsia="Arial" w:hAnsi="Arial" w:cs="Arial"/>
          <w:color w:val="000000"/>
          <w:sz w:val="20"/>
          <w:u w:val="single"/>
        </w:rPr>
        <w:t>Skop v. City of Atlanta</w:t>
      </w:r>
      <w:r>
        <w:rPr>
          <w:rFonts w:ascii="Arial" w:eastAsia="Arial" w:hAnsi="Arial" w:cs="Arial"/>
          <w:color w:val="000000"/>
          <w:sz w:val="20"/>
        </w:rPr>
        <w:t>, 485 F.3d 1130, 1140 (11th Cir. 2007).</w:t>
      </w:r>
    </w:p>
    <w:p w:rsidR="00E456CD" w:rsidRDefault="00000000">
      <w:pPr>
        <w:pStyle w:val="Normal16"/>
        <w:widowControl w:val="0"/>
        <w:spacing w:before="200" w:line="260" w:lineRule="atLeast"/>
        <w:jc w:val="both"/>
      </w:pPr>
      <w:bookmarkStart w:id="3113" w:name="Bookmark_para_114_0"/>
      <w:bookmarkStart w:id="3114" w:name="Bookmark_I5T7HWT92HM6N20050000400"/>
      <w:bookmarkStart w:id="3115" w:name="Bookmark_LNHNREFclscc2_13"/>
      <w:bookmarkEnd w:id="3113"/>
      <w:bookmarkEnd w:id="3114"/>
      <w:bookmarkEnd w:id="3115"/>
      <w:r>
        <w:rPr>
          <w:rFonts w:ascii="Arial" w:eastAsia="Arial" w:hAnsi="Arial" w:cs="Arial"/>
          <w:color w:val="000000"/>
          <w:sz w:val="20"/>
        </w:rPr>
        <w:t xml:space="preserve">A nonmoving party seeking to establish that there is a dispute of fact must set forth specific facts showing that there is a genuine [**63]  issue for trial. </w:t>
      </w:r>
      <w:bookmarkStart w:id="3116" w:name="Bookmark_I5T7HWT92HM6N20040000400"/>
      <w:bookmarkEnd w:id="3116"/>
      <w:r>
        <w:rPr>
          <w:rFonts w:ascii="Arial" w:eastAsia="Arial" w:hAnsi="Arial" w:cs="Arial"/>
          <w:color w:val="000000"/>
          <w:sz w:val="20"/>
          <w:u w:val="single"/>
        </w:rPr>
        <w:t>Anderson v. Liberty Lobby, Inc.</w:t>
      </w:r>
      <w:r>
        <w:rPr>
          <w:rFonts w:ascii="Arial" w:eastAsia="Arial" w:hAnsi="Arial" w:cs="Arial"/>
          <w:color w:val="000000"/>
          <w:sz w:val="20"/>
        </w:rPr>
        <w:t xml:space="preserve">, 477 U.S. 242, 248, 106 S. Ct. 2505, 2510, 91 L. Ed. 2d 202 (1986) (citing Fed. R. Civ. P. 56(e)). </w:t>
      </w:r>
      <w:bookmarkStart w:id="3117" w:name="Bookmark_I5T7HWT92N1RP10020000400"/>
      <w:bookmarkEnd w:id="3117"/>
      <w:r>
        <w:rPr>
          <w:rFonts w:ascii="Arial" w:eastAsia="Arial" w:hAnsi="Arial" w:cs="Arial"/>
          <w:color w:val="000000"/>
          <w:sz w:val="20"/>
        </w:rPr>
        <w:t xml:space="preserve">The nonmoving party may not rest upon the mere allegations or denials of his pleading. </w:t>
      </w:r>
      <w:bookmarkStart w:id="3118" w:name="Bookmark_I5T7HWT92N1RP10020000400_2"/>
      <w:bookmarkEnd w:id="3118"/>
      <w:r>
        <w:rPr>
          <w:rFonts w:ascii="Arial" w:eastAsia="Arial" w:hAnsi="Arial" w:cs="Arial"/>
          <w:color w:val="000000"/>
          <w:sz w:val="20"/>
          <w:u w:val="single"/>
        </w:rPr>
        <w:t>Id.</w:t>
      </w:r>
      <w:r>
        <w:rPr>
          <w:rFonts w:ascii="Arial" w:eastAsia="Arial" w:hAnsi="Arial" w:cs="Arial"/>
          <w:color w:val="000000"/>
          <w:sz w:val="20"/>
        </w:rPr>
        <w:t xml:space="preserve"> Upon discovering a genuine material dispute, the court must deny summary judgment and proceed to trial on that issue. </w:t>
      </w:r>
      <w:bookmarkStart w:id="3119" w:name="Bookmark_I5T7HWT92N1RP10010000400"/>
      <w:bookmarkEnd w:id="3119"/>
      <w:r>
        <w:rPr>
          <w:rFonts w:ascii="Arial" w:eastAsia="Arial" w:hAnsi="Arial" w:cs="Arial"/>
          <w:color w:val="000000"/>
          <w:sz w:val="20"/>
          <w:u w:val="single"/>
        </w:rPr>
        <w:t>Jones</w:t>
      </w:r>
      <w:r>
        <w:rPr>
          <w:rFonts w:ascii="Arial" w:eastAsia="Arial" w:hAnsi="Arial" w:cs="Arial"/>
          <w:color w:val="000000"/>
          <w:sz w:val="20"/>
        </w:rPr>
        <w:t>, 683 F.3d at 1292.</w:t>
      </w:r>
    </w:p>
    <w:p w:rsidR="00E456CD" w:rsidRDefault="00000000">
      <w:pPr>
        <w:pStyle w:val="Normal16"/>
        <w:widowControl w:val="0"/>
        <w:spacing w:before="240" w:line="260" w:lineRule="atLeast"/>
      </w:pPr>
      <w:r>
        <w:br/>
      </w:r>
      <w:r>
        <w:rPr>
          <w:rFonts w:ascii="Arial" w:eastAsia="Arial" w:hAnsi="Arial" w:cs="Arial"/>
          <w:b/>
          <w:color w:val="000000"/>
          <w:sz w:val="20"/>
        </w:rPr>
        <w:t>VII. DISCUSSION</w:t>
      </w:r>
    </w:p>
    <w:p w:rsidR="00E456CD" w:rsidRDefault="00000000">
      <w:pPr>
        <w:pStyle w:val="Normal16"/>
        <w:widowControl w:val="0"/>
        <w:spacing w:before="240" w:line="260" w:lineRule="atLeast"/>
      </w:pPr>
      <w:r>
        <w:br/>
      </w:r>
      <w:r>
        <w:rPr>
          <w:rFonts w:ascii="Arial" w:eastAsia="Arial" w:hAnsi="Arial" w:cs="Arial"/>
          <w:b/>
          <w:color w:val="000000"/>
          <w:sz w:val="20"/>
        </w:rPr>
        <w:t>A. Title III of the ADA</w:t>
      </w:r>
    </w:p>
    <w:p w:rsidR="00E456CD" w:rsidRDefault="00000000">
      <w:pPr>
        <w:pStyle w:val="Normal16"/>
        <w:widowControl w:val="0"/>
        <w:spacing w:before="200" w:line="260" w:lineRule="atLeast"/>
        <w:jc w:val="both"/>
      </w:pPr>
      <w:bookmarkStart w:id="3120" w:name="Bookmark_para_115_0"/>
      <w:bookmarkStart w:id="3121" w:name="Bookmark_I5T7HWT92N1RP10040000400"/>
      <w:bookmarkStart w:id="3122" w:name="Bookmark_I5T7HWT92D6NHY0010000400"/>
      <w:bookmarkEnd w:id="3120"/>
      <w:bookmarkEnd w:id="3121"/>
      <w:bookmarkEnd w:id="3122"/>
      <w:r>
        <w:rPr>
          <w:rFonts w:ascii="Arial" w:eastAsia="Arial" w:hAnsi="Arial" w:cs="Arial"/>
          <w:color w:val="000000"/>
          <w:sz w:val="20"/>
        </w:rPr>
        <w:t xml:space="preserve">In 1990, the ADA was enacted "to remedy widespread discrimination against disabled individuals" and to "provide clear, strong, consistent, enforceable standards" addressing that discrimination. 42 U.S.C. § 12101(b)(2); </w:t>
      </w:r>
      <w:bookmarkStart w:id="3123" w:name="Bookmark_I5T7HWT92N1RP10030000400"/>
      <w:bookmarkEnd w:id="3123"/>
      <w:r>
        <w:rPr>
          <w:rFonts w:ascii="Arial" w:eastAsia="Arial" w:hAnsi="Arial" w:cs="Arial"/>
          <w:color w:val="000000"/>
          <w:sz w:val="20"/>
          <w:u w:val="single"/>
        </w:rPr>
        <w:t>PGA Tour, Inc. v. Martin</w:t>
      </w:r>
      <w:r>
        <w:rPr>
          <w:rFonts w:ascii="Arial" w:eastAsia="Arial" w:hAnsi="Arial" w:cs="Arial"/>
          <w:color w:val="000000"/>
          <w:sz w:val="20"/>
        </w:rPr>
        <w:t xml:space="preserve">, 532 U.S. 661, 674, 121 S. Ct. 1879, 1889, 149 L. Ed. 2d 904 (2001). </w:t>
      </w:r>
      <w:bookmarkStart w:id="3124" w:name="Bookmark_LNHNREFclscc3_12"/>
      <w:bookmarkEnd w:id="3124"/>
      <w:r>
        <w:rPr>
          <w:rFonts w:ascii="Arial" w:eastAsia="Arial" w:hAnsi="Arial" w:cs="Arial"/>
          <w:color w:val="000000"/>
          <w:sz w:val="20"/>
        </w:rPr>
        <w:t xml:space="preserve">The ADA covers three main types of discrimination, each of which is addressed in one of the statute's three main subchapters: Title I prohibits discrimination in private employment; Title II prohibits discrimination by public entities (state or local governments); and Title III prohibits discrimination by a "place of public accommodation," which is a private entity that offers commercial services to the public. 42 U.S.C. §§ 12112(a), 12132, 12182(a); </w:t>
      </w:r>
      <w:r>
        <w:rPr>
          <w:rFonts w:ascii="Arial" w:eastAsia="Arial" w:hAnsi="Arial" w:cs="Arial"/>
          <w:color w:val="000000"/>
          <w:sz w:val="20"/>
          <w:u w:val="single"/>
        </w:rPr>
        <w:t xml:space="preserve">see </w:t>
      </w:r>
      <w:bookmarkStart w:id="3125" w:name="Bookmark_I5T7HWT92N1RP10050000400"/>
      <w:bookmarkEnd w:id="3125"/>
      <w:r>
        <w:rPr>
          <w:rFonts w:ascii="Arial" w:eastAsia="Arial" w:hAnsi="Arial" w:cs="Arial"/>
          <w:color w:val="000000"/>
          <w:sz w:val="20"/>
          <w:u w:val="single"/>
        </w:rPr>
        <w:t>Garthright-Dietrich v. Atlanta Landmarks, Inc.</w:t>
      </w:r>
      <w:r>
        <w:rPr>
          <w:rFonts w:ascii="Arial" w:eastAsia="Arial" w:hAnsi="Arial" w:cs="Arial"/>
          <w:color w:val="000000"/>
          <w:sz w:val="20"/>
        </w:rPr>
        <w:t>, 452 F.3d 1269, 1272 (11th Cir. 2006). Under Title III, amusement parks are defined as "public accommodations." 42 U.S.C. § 12181(7)(I). Disney's theme parks fall within the ambit of Title III.</w:t>
      </w:r>
    </w:p>
    <w:p w:rsidR="00E456CD" w:rsidRDefault="00000000">
      <w:pPr>
        <w:pStyle w:val="Normal16"/>
        <w:widowControl w:val="0"/>
        <w:spacing w:before="200" w:line="260" w:lineRule="atLeast"/>
        <w:jc w:val="both"/>
      </w:pPr>
      <w:bookmarkStart w:id="3126" w:name="Bookmark_para_116_0"/>
      <w:bookmarkEnd w:id="3126"/>
      <w:r>
        <w:rPr>
          <w:rFonts w:ascii="Arial" w:eastAsia="Arial" w:hAnsi="Arial" w:cs="Arial"/>
          <w:color w:val="000000"/>
          <w:sz w:val="20"/>
        </w:rPr>
        <w:t xml:space="preserve">Title III itself contains three parts: (1) a "General rule" in § 12182(a); (2) a list of "General prohibitions" in § 12182(b)(1);  [*1290]  and (3) a list of "Specific prohibitions" in § 12182(b)(2). 42 U.S.C. § 12182. The "General [**64]  rule" in § 12182(a) provides that "[n]o individual shall be discriminated against on the basis of disability in the full and equal enjoyment of the goods, services, facilities, privileges, advantages, or accommodations of any place of public accommodation." 42 U.S.C. § 12182(a). As discussed later, the "General prohibitions" in § 12182(b)(1) describe ways in which discrimination may occur, and the "Specific prohibitions" in § 12182(b)(2) provide examples of actions or omissions that may result in discrimination. </w:t>
      </w:r>
      <w:r>
        <w:rPr>
          <w:rFonts w:ascii="Arial" w:eastAsia="Arial" w:hAnsi="Arial" w:cs="Arial"/>
          <w:color w:val="000000"/>
          <w:sz w:val="20"/>
          <w:u w:val="single"/>
        </w:rPr>
        <w:t>Id.</w:t>
      </w:r>
      <w:r>
        <w:rPr>
          <w:rFonts w:ascii="Arial" w:eastAsia="Arial" w:hAnsi="Arial" w:cs="Arial"/>
          <w:color w:val="000000"/>
          <w:sz w:val="20"/>
        </w:rPr>
        <w:t xml:space="preserve"> § 12182(b).</w:t>
      </w:r>
    </w:p>
    <w:p w:rsidR="00E456CD" w:rsidRDefault="00000000">
      <w:pPr>
        <w:pStyle w:val="Normal16"/>
        <w:widowControl w:val="0"/>
        <w:spacing w:before="200" w:line="260" w:lineRule="atLeast"/>
        <w:jc w:val="both"/>
      </w:pPr>
      <w:bookmarkStart w:id="3127" w:name="Bookmark_para_117_0"/>
      <w:bookmarkStart w:id="3128" w:name="Bookmark_LNHNREFclscc4_12"/>
      <w:bookmarkEnd w:id="3127"/>
      <w:bookmarkEnd w:id="3128"/>
      <w:r>
        <w:rPr>
          <w:rFonts w:ascii="Arial" w:eastAsia="Arial" w:hAnsi="Arial" w:cs="Arial"/>
          <w:color w:val="000000"/>
          <w:sz w:val="20"/>
        </w:rPr>
        <w:t xml:space="preserve">Title III provides for only injunctive relief. </w:t>
      </w:r>
      <w:bookmarkStart w:id="3129" w:name="Bookmark_I5T7HWT92D6NHY0030000400"/>
      <w:bookmarkEnd w:id="3129"/>
      <w:r>
        <w:rPr>
          <w:rFonts w:ascii="Arial" w:eastAsia="Arial" w:hAnsi="Arial" w:cs="Arial"/>
          <w:color w:val="000000"/>
          <w:sz w:val="20"/>
          <w:u w:val="single"/>
        </w:rPr>
        <w:t>See</w:t>
      </w:r>
      <w:r>
        <w:rPr>
          <w:rFonts w:ascii="Arial" w:eastAsia="Arial" w:hAnsi="Arial" w:cs="Arial"/>
          <w:color w:val="000000"/>
          <w:sz w:val="20"/>
        </w:rPr>
        <w:t xml:space="preserve"> 42 U.S.C. § 12188(a) (stating "[t]he remedies and procedures set forth in section 2000a-3(a) of this title" are the remedies available to a person who is subjected to Title III discrimination); </w:t>
      </w:r>
      <w:r>
        <w:rPr>
          <w:rFonts w:ascii="Arial" w:eastAsia="Arial" w:hAnsi="Arial" w:cs="Arial"/>
          <w:color w:val="000000"/>
          <w:sz w:val="20"/>
          <w:u w:val="single"/>
        </w:rPr>
        <w:t>id.</w:t>
      </w:r>
      <w:r>
        <w:rPr>
          <w:rFonts w:ascii="Arial" w:eastAsia="Arial" w:hAnsi="Arial" w:cs="Arial"/>
          <w:color w:val="000000"/>
          <w:sz w:val="20"/>
        </w:rPr>
        <w:t xml:space="preserve"> § 2000a-3(a) (providing for "a civil action for preventive relief, including an application for a permanent or temporary injunction, restraining order, or other order"). Because only injunctive relief is available, a plaintiff is not entitled to a jury trial on Title III claims. </w:t>
      </w:r>
      <w:r>
        <w:rPr>
          <w:rFonts w:ascii="Arial" w:eastAsia="Arial" w:hAnsi="Arial" w:cs="Arial"/>
          <w:color w:val="000000"/>
          <w:sz w:val="20"/>
          <w:u w:val="single"/>
        </w:rPr>
        <w:t xml:space="preserve">See </w:t>
      </w:r>
      <w:bookmarkStart w:id="3130" w:name="Bookmark_I5T7HWT92D6NHY0020000400"/>
      <w:bookmarkEnd w:id="3130"/>
      <w:r>
        <w:rPr>
          <w:rFonts w:ascii="Arial" w:eastAsia="Arial" w:hAnsi="Arial" w:cs="Arial"/>
          <w:color w:val="000000"/>
          <w:sz w:val="20"/>
          <w:u w:val="single"/>
        </w:rPr>
        <w:t>City of Monterey v. Del Monte Dunes at Monterey, Ltd.</w:t>
      </w:r>
      <w:r>
        <w:rPr>
          <w:rFonts w:ascii="Arial" w:eastAsia="Arial" w:hAnsi="Arial" w:cs="Arial"/>
          <w:color w:val="000000"/>
          <w:sz w:val="20"/>
        </w:rPr>
        <w:t>, 526 U.S. 687, 719, 119 S. Ct. 1624, 1643, 143 L. Ed. 2d 882 (1999).</w:t>
      </w:r>
    </w:p>
    <w:p w:rsidR="00E456CD" w:rsidRDefault="00000000">
      <w:pPr>
        <w:pStyle w:val="Normal16"/>
        <w:widowControl w:val="0"/>
        <w:spacing w:before="240" w:line="260" w:lineRule="atLeast"/>
      </w:pPr>
      <w:r>
        <w:br/>
      </w:r>
      <w:r>
        <w:rPr>
          <w:rFonts w:ascii="Arial" w:eastAsia="Arial" w:hAnsi="Arial" w:cs="Arial"/>
          <w:b/>
          <w:color w:val="000000"/>
          <w:sz w:val="20"/>
        </w:rPr>
        <w:t>B. Definition of Disability</w:t>
      </w:r>
    </w:p>
    <w:p w:rsidR="00E456CD" w:rsidRDefault="00000000">
      <w:pPr>
        <w:pStyle w:val="Normal16"/>
        <w:widowControl w:val="0"/>
        <w:spacing w:before="200" w:line="260" w:lineRule="atLeast"/>
        <w:jc w:val="both"/>
      </w:pPr>
      <w:bookmarkStart w:id="3131" w:name="Bookmark_para_118_0"/>
      <w:bookmarkStart w:id="3132" w:name="Bookmark_LNHNREFclscc5_12"/>
      <w:bookmarkEnd w:id="3131"/>
      <w:bookmarkEnd w:id="3132"/>
      <w:r>
        <w:rPr>
          <w:rFonts w:ascii="Arial" w:eastAsia="Arial" w:hAnsi="Arial" w:cs="Arial"/>
          <w:color w:val="000000"/>
          <w:sz w:val="20"/>
        </w:rPr>
        <w:t>The first element of a Title III claim is that the plaintiff must have a disability. The statutory definition of "disability" is provided before the several Titles and applies to the ADA as a whole. 42 U.S.C. § 12102. Under the ADA, a person [**65]  has a "disability" if he (A) has "a physical or mental impairment that substantially limits one or more major life activities," (B) has "a record of such an impairment," or (C) is "regarded as having such an impairment." 42 U.S.C. § 12102(1). The statute provides a non-exhaustive list of "major life activities" that includes "caring for oneself, performing manual tasks, seeing, hearing, eating, sleeping, walking, standing, lifting, bending, speaking, breathing, learning, reading, concentrating, thinking, communicating, and working." 42 U.S.C. § 12102(2)(A).</w:t>
      </w:r>
    </w:p>
    <w:p w:rsidR="00E456CD" w:rsidRDefault="00000000">
      <w:pPr>
        <w:pStyle w:val="Normal16"/>
        <w:widowControl w:val="0"/>
        <w:spacing w:before="200" w:line="260" w:lineRule="atLeast"/>
        <w:jc w:val="both"/>
      </w:pPr>
      <w:bookmarkStart w:id="3133" w:name="Bookmark_para_119_0"/>
      <w:bookmarkEnd w:id="3133"/>
      <w:r>
        <w:rPr>
          <w:rFonts w:ascii="Arial" w:eastAsia="Arial" w:hAnsi="Arial" w:cs="Arial"/>
          <w:color w:val="000000"/>
          <w:sz w:val="20"/>
        </w:rPr>
        <w:t>It is undisputed that each plaintiff suffers from severe autism and/or severe cognitive impairments, is significantly limited in numerous major life activities, and qualifies as an individual with a disability within the meaning of Title III of the ADA, 42 U.S.C. § 12182(a)-(b). The quarrel here is whether Disney, through its DAS program, provides its disabled plaintiff guests with an equal benefit and a like experience to that of its nondisabled guests.</w:t>
      </w:r>
    </w:p>
    <w:p w:rsidR="00E456CD" w:rsidRDefault="00000000">
      <w:pPr>
        <w:pStyle w:val="Normal16"/>
        <w:widowControl w:val="0"/>
        <w:spacing w:before="240" w:line="260" w:lineRule="atLeast"/>
      </w:pPr>
      <w:r>
        <w:br/>
      </w:r>
      <w:r>
        <w:rPr>
          <w:rFonts w:ascii="Arial" w:eastAsia="Arial" w:hAnsi="Arial" w:cs="Arial"/>
          <w:b/>
          <w:color w:val="000000"/>
          <w:sz w:val="20"/>
        </w:rPr>
        <w:t>C. Blanket Policy</w:t>
      </w:r>
    </w:p>
    <w:p w:rsidR="00E456CD" w:rsidRDefault="00000000">
      <w:pPr>
        <w:pStyle w:val="Normal16"/>
        <w:widowControl w:val="0"/>
        <w:spacing w:before="200" w:line="260" w:lineRule="atLeast"/>
        <w:jc w:val="both"/>
      </w:pPr>
      <w:bookmarkStart w:id="3134" w:name="Bookmark_para_120_0"/>
      <w:bookmarkEnd w:id="3134"/>
      <w:r>
        <w:rPr>
          <w:rFonts w:ascii="Arial" w:eastAsia="Arial" w:hAnsi="Arial" w:cs="Arial"/>
          <w:color w:val="000000"/>
          <w:sz w:val="20"/>
        </w:rPr>
        <w:t>As a threshold issue, plaintiffs claim Disney's DAS program is an impermissible "blanket" or "one size fits all" policy for all disabled persons with autism and/or cognitive impairments. Plaintiffs argue that Disney's giving a DAS [**66]  Card to such disabled guests violates the ADA because Disney is not making the required individualized assessment. Plaintiffs contend that Disney must undertake an individualized inquiry to determine the specifics of each guest's disability and to implement modifications tailored to each plaintiff's needs.</w:t>
      </w:r>
    </w:p>
    <w:p w:rsidR="00E456CD" w:rsidRDefault="00000000">
      <w:pPr>
        <w:pStyle w:val="Normal16"/>
        <w:widowControl w:val="0"/>
        <w:spacing w:before="200" w:line="260" w:lineRule="atLeast"/>
        <w:jc w:val="both"/>
      </w:pPr>
      <w:bookmarkStart w:id="3135" w:name="Bookmark_para_121"/>
      <w:bookmarkStart w:id="3136" w:name="Bookmark_I5T7HWT92D6NHY0050000400"/>
      <w:bookmarkEnd w:id="3135"/>
      <w:bookmarkEnd w:id="3136"/>
      <w:r>
        <w:rPr>
          <w:rFonts w:ascii="Arial" w:eastAsia="Arial" w:hAnsi="Arial" w:cs="Arial"/>
          <w:color w:val="000000"/>
          <w:sz w:val="20"/>
        </w:rPr>
        <w:t xml:space="preserve">The autism spectrum is broad and has a wide array of diagnostic traits, behaviors, and challenges. The effects of autism vary from person to person. In turn, the benefits of a modification that are "obtainable by children at one end of the [autism] spectrum will differ dramatically from  [*1291]  those obtainable by children at the other end, with infinite variations in between." </w:t>
      </w:r>
      <w:bookmarkStart w:id="3137" w:name="Bookmark_I5T7HWT92D6NHY0040000400"/>
      <w:bookmarkEnd w:id="3137"/>
      <w:r>
        <w:rPr>
          <w:rFonts w:ascii="Arial" w:eastAsia="Arial" w:hAnsi="Arial" w:cs="Arial"/>
          <w:color w:val="000000"/>
          <w:sz w:val="20"/>
          <w:u w:val="single"/>
        </w:rPr>
        <w:t>Endrew F. ex rel. Joseph F.</w:t>
      </w:r>
      <w:r>
        <w:rPr>
          <w:rFonts w:ascii="Arial" w:eastAsia="Arial" w:hAnsi="Arial" w:cs="Arial"/>
          <w:color w:val="000000"/>
          <w:sz w:val="20"/>
        </w:rPr>
        <w:t xml:space="preserve">, 580 U.S. at </w:t>
      </w:r>
      <w:r>
        <w:rPr>
          <w:rFonts w:ascii="Arial" w:eastAsia="Arial" w:hAnsi="Arial" w:cs="Arial"/>
          <w:color w:val="000000"/>
          <w:sz w:val="20"/>
          <w:u w:val="single"/>
        </w:rPr>
        <w:t>   </w:t>
      </w:r>
      <w:r>
        <w:rPr>
          <w:rFonts w:ascii="Arial" w:eastAsia="Arial" w:hAnsi="Arial" w:cs="Arial"/>
          <w:color w:val="000000"/>
          <w:sz w:val="20"/>
        </w:rPr>
        <w:t>, 137 S. Ct. at 999 (discussing the need for an individualized educational program for an autistic child).</w:t>
      </w:r>
    </w:p>
    <w:p w:rsidR="00E456CD" w:rsidRDefault="00000000">
      <w:pPr>
        <w:pStyle w:val="Normal16"/>
        <w:widowControl w:val="0"/>
        <w:spacing w:before="200" w:line="260" w:lineRule="atLeast"/>
        <w:jc w:val="both"/>
      </w:pPr>
      <w:bookmarkStart w:id="3138" w:name="Bookmark_para_122"/>
      <w:bookmarkEnd w:id="3138"/>
      <w:r>
        <w:rPr>
          <w:rFonts w:ascii="Arial" w:eastAsia="Arial" w:hAnsi="Arial" w:cs="Arial"/>
          <w:color w:val="000000"/>
          <w:sz w:val="20"/>
        </w:rPr>
        <w:t>But this case is unique in two ways. First, Disney has not contested that all plaintiffs have severe autism and/or cognitive impairments. Rather, Disney claims its DAS Card is a full and complete accommodation for cognitively disabled guests, no matter how severe or mild their conditions. If Disney's DAS program accommodates the needs of the most severely impaired child on the autism spectrum, then Disney claims that its DAS program [**67]  necessarily accommodates the needs of the less impaired autistic child.</w:t>
      </w:r>
    </w:p>
    <w:p w:rsidR="00E456CD" w:rsidRDefault="00000000">
      <w:pPr>
        <w:pStyle w:val="Normal16"/>
        <w:widowControl w:val="0"/>
        <w:spacing w:before="200" w:line="260" w:lineRule="atLeast"/>
        <w:jc w:val="both"/>
      </w:pPr>
      <w:bookmarkStart w:id="3139" w:name="Bookmark_para_123"/>
      <w:bookmarkEnd w:id="3139"/>
      <w:r>
        <w:rPr>
          <w:rFonts w:ascii="Arial" w:eastAsia="Arial" w:hAnsi="Arial" w:cs="Arial"/>
          <w:color w:val="000000"/>
          <w:sz w:val="20"/>
        </w:rPr>
        <w:t>Second, based on annual figures, Disney has about 55,000 visitors a day at Magic Kingdom and a minimum of 26,000 visitors a day at other parks.</w:t>
      </w:r>
      <w:r>
        <w:rPr>
          <w:rFonts w:ascii="Arial" w:eastAsia="Arial" w:hAnsi="Arial" w:cs="Arial"/>
          <w:vertAlign w:val="superscript"/>
        </w:rPr>
        <w:footnoteReference w:customMarkFollows="1" w:id="132"/>
        <w:t>11</w:t>
      </w:r>
      <w:r>
        <w:rPr>
          <w:rFonts w:ascii="Arial" w:eastAsia="Arial" w:hAnsi="Arial" w:cs="Arial"/>
          <w:color w:val="000000"/>
          <w:sz w:val="20"/>
        </w:rPr>
        <w:t xml:space="preserve"> Given this volume of guests, Disney has chosen to accept each guest's verbal representations as to his disability without requiring any proof and issues him a DAS Card, no matter how slight or severe the autism or cognitive disability.</w:t>
      </w:r>
    </w:p>
    <w:p w:rsidR="00E456CD" w:rsidRDefault="00000000">
      <w:pPr>
        <w:pStyle w:val="Normal16"/>
        <w:widowControl w:val="0"/>
        <w:spacing w:before="200" w:line="260" w:lineRule="atLeast"/>
        <w:jc w:val="both"/>
      </w:pPr>
      <w:bookmarkStart w:id="3141" w:name="Bookmark_para_124"/>
      <w:bookmarkEnd w:id="3141"/>
      <w:r>
        <w:rPr>
          <w:rFonts w:ascii="Arial" w:eastAsia="Arial" w:hAnsi="Arial" w:cs="Arial"/>
          <w:color w:val="000000"/>
          <w:sz w:val="20"/>
        </w:rPr>
        <w:t xml:space="preserve">Under the factual circumstances of this case, we conclude that Disney's generalized issuance of DAS Cards, in and of itself, does not violate the ADA. This is not a case where a plaintiff guest has been </w:t>
      </w:r>
      <w:r>
        <w:rPr>
          <w:rFonts w:ascii="Arial" w:eastAsia="Arial" w:hAnsi="Arial" w:cs="Arial"/>
          <w:color w:val="000000"/>
          <w:sz w:val="20"/>
          <w:u w:val="single"/>
        </w:rPr>
        <w:t>denied</w:t>
      </w:r>
      <w:r>
        <w:rPr>
          <w:rFonts w:ascii="Arial" w:eastAsia="Arial" w:hAnsi="Arial" w:cs="Arial"/>
          <w:color w:val="000000"/>
          <w:sz w:val="20"/>
        </w:rPr>
        <w:t xml:space="preserve"> accommodations across the board. This is a case where a public place has many thousands of guests each day and provides an identifiable and quantifiable accommodation based on its assessment of its most severely disabled guests. </w:t>
      </w:r>
      <w:bookmarkStart w:id="3142" w:name="Bookmark_LNHNREFclscc6_12"/>
      <w:bookmarkEnd w:id="3142"/>
      <w:r>
        <w:rPr>
          <w:rFonts w:ascii="Arial" w:eastAsia="Arial" w:hAnsi="Arial" w:cs="Arial"/>
          <w:color w:val="000000"/>
          <w:sz w:val="20"/>
          <w:u w:val="single"/>
        </w:rPr>
        <w:t>If</w:t>
      </w:r>
      <w:r>
        <w:rPr>
          <w:rFonts w:ascii="Arial" w:eastAsia="Arial" w:hAnsi="Arial" w:cs="Arial"/>
          <w:color w:val="000000"/>
          <w:sz w:val="20"/>
        </w:rPr>
        <w:t xml:space="preserve"> an accommodation </w:t>
      </w:r>
      <w:r>
        <w:rPr>
          <w:rFonts w:ascii="Arial" w:eastAsia="Arial" w:hAnsi="Arial" w:cs="Arial"/>
          <w:color w:val="000000"/>
          <w:sz w:val="20"/>
          <w:u w:val="single"/>
        </w:rPr>
        <w:t>actually</w:t>
      </w:r>
      <w:r>
        <w:rPr>
          <w:rFonts w:ascii="Arial" w:eastAsia="Arial" w:hAnsi="Arial" w:cs="Arial"/>
          <w:color w:val="000000"/>
          <w:sz w:val="20"/>
        </w:rPr>
        <w:t xml:space="preserve"> provides all necessary modifications for a severe disability across the board, it does not violate the ADA. The critical inquiry here is whether Disney's DAS program adequately accommodates the most severely disabled [**68]  guests and provides them an equal benefit and a like experience to that of nondisabled guests.</w:t>
      </w:r>
    </w:p>
    <w:p w:rsidR="00E456CD" w:rsidRDefault="00000000">
      <w:pPr>
        <w:pStyle w:val="Normal16"/>
        <w:widowControl w:val="0"/>
        <w:spacing w:before="200" w:line="260" w:lineRule="atLeast"/>
        <w:jc w:val="both"/>
      </w:pPr>
      <w:bookmarkStart w:id="3143" w:name="Bookmark_para_125"/>
      <w:bookmarkEnd w:id="3143"/>
      <w:r>
        <w:rPr>
          <w:rFonts w:ascii="Arial" w:eastAsia="Arial" w:hAnsi="Arial" w:cs="Arial"/>
          <w:color w:val="000000"/>
          <w:sz w:val="20"/>
        </w:rPr>
        <w:t>That an across-the-board modification, where proven necessary, does not violate the ADA is illustrated by the fact that plaintiffs actually request a pass system with a uniform ingredient: a guaranteed maximum wait time of 10 to 15 minutes for all rides for all cognitively disabled plaintiffs at all times at all parks. Plaintiffs request this standardized pass to create a "predictable experience" for autistic children.</w:t>
      </w:r>
      <w:r>
        <w:rPr>
          <w:rFonts w:ascii="Arial" w:eastAsia="Arial" w:hAnsi="Arial" w:cs="Arial"/>
          <w:vertAlign w:val="superscript"/>
        </w:rPr>
        <w:footnoteReference w:customMarkFollows="1" w:id="133"/>
        <w:t>12</w:t>
      </w:r>
    </w:p>
    <w:p w:rsidR="00E456CD" w:rsidRDefault="00000000">
      <w:pPr>
        <w:pStyle w:val="Normal16"/>
        <w:widowControl w:val="0"/>
        <w:spacing w:before="200" w:line="260" w:lineRule="atLeast"/>
        <w:jc w:val="both"/>
      </w:pPr>
      <w:bookmarkStart w:id="3145" w:name="Bookmark_para_126"/>
      <w:bookmarkStart w:id="3146" w:name="Bookmark_I5T7HWT928T4BK0020000400"/>
      <w:bookmarkEnd w:id="3145"/>
      <w:bookmarkEnd w:id="3146"/>
      <w:r>
        <w:rPr>
          <w:rFonts w:ascii="Arial" w:eastAsia="Arial" w:hAnsi="Arial" w:cs="Arial"/>
          <w:color w:val="000000"/>
          <w:sz w:val="20"/>
        </w:rPr>
        <w:t xml:space="preserve">No case cited by plaintiffs stands for the proposition that the DAS Card is </w:t>
      </w:r>
      <w:r>
        <w:rPr>
          <w:rFonts w:ascii="Arial" w:eastAsia="Arial" w:hAnsi="Arial" w:cs="Arial"/>
          <w:color w:val="000000"/>
          <w:sz w:val="20"/>
          <w:u w:val="single"/>
        </w:rPr>
        <w:t>per se</w:t>
      </w:r>
      <w:r>
        <w:rPr>
          <w:rFonts w:ascii="Arial" w:eastAsia="Arial" w:hAnsi="Arial" w:cs="Arial"/>
          <w:color w:val="000000"/>
          <w:sz w:val="20"/>
        </w:rPr>
        <w:t xml:space="preserve"> impermissible simply because it is a uniformly-applied disability program. Whether a guest's disability is mild or severe does not make the DAS Card illegal under the ADA. </w:t>
      </w:r>
      <w:r>
        <w:rPr>
          <w:rFonts w:ascii="Arial" w:eastAsia="Arial" w:hAnsi="Arial" w:cs="Arial"/>
          <w:color w:val="000000"/>
          <w:sz w:val="20"/>
          <w:u w:val="single"/>
        </w:rPr>
        <w:t xml:space="preserve">See </w:t>
      </w:r>
      <w:bookmarkStart w:id="3147" w:name="Bookmark_I5T7HWT928T4BK0010000400"/>
      <w:bookmarkEnd w:id="3147"/>
      <w:r>
        <w:rPr>
          <w:rFonts w:ascii="Arial" w:eastAsia="Arial" w:hAnsi="Arial" w:cs="Arial"/>
          <w:color w:val="000000"/>
          <w:sz w:val="20"/>
          <w:u w:val="single"/>
        </w:rPr>
        <w:t>Ault v. Walt Disney World Co.</w:t>
      </w:r>
      <w:r>
        <w:rPr>
          <w:rFonts w:ascii="Arial" w:eastAsia="Arial" w:hAnsi="Arial" w:cs="Arial"/>
          <w:color w:val="000000"/>
          <w:sz w:val="20"/>
        </w:rPr>
        <w:t>, 692 F.3d 1212, 1216 (11th Cir. 2012) (upholding a class action settlement between mobility-disabled plaintiffs and Disney that permits a ban on two-wheeled Segways as a safety risk and provides Disney will develop a four-wheeled, electric, stand-up vehicle for class members who are unable to use a mobility device that requires sitting).</w:t>
      </w:r>
    </w:p>
    <w:p w:rsidR="00E456CD" w:rsidRDefault="00000000">
      <w:pPr>
        <w:pStyle w:val="Normal16"/>
        <w:widowControl w:val="0"/>
        <w:spacing w:before="200" w:line="260" w:lineRule="atLeast"/>
        <w:jc w:val="both"/>
      </w:pPr>
      <w:bookmarkStart w:id="3148" w:name="Bookmark_para_127"/>
      <w:bookmarkEnd w:id="3148"/>
      <w:r>
        <w:rPr>
          <w:rFonts w:ascii="Arial" w:eastAsia="Arial" w:hAnsi="Arial" w:cs="Arial"/>
          <w:color w:val="000000"/>
          <w:sz w:val="20"/>
        </w:rPr>
        <w:t>It is also noteworthy that Disney's Guest Relations staff interact with parents of  [*1292]  individual disabled guests when they arrive [**69]  to obtain a DAS Card and other services. Guest Relations staff discuss additional accommodations, such as Re-ad Passes, with parents who wish to discuss their autistic child's unique needs and are concerned the DAS Card will not meet those needs. While not every plaintiff received Re-ad Passes, that issue goes to whether the ADA requires more accommodations than Disney currently provides and does not diminish the fact that Guest Relations staff will discuss an individual's needs and consider whether to provide additional accommodations.</w:t>
      </w:r>
    </w:p>
    <w:p w:rsidR="00E456CD" w:rsidRDefault="00000000">
      <w:pPr>
        <w:pStyle w:val="Normal16"/>
        <w:widowControl w:val="0"/>
        <w:spacing w:before="200" w:line="260" w:lineRule="atLeast"/>
        <w:jc w:val="both"/>
      </w:pPr>
      <w:bookmarkStart w:id="3149" w:name="Bookmark_para_128"/>
      <w:bookmarkEnd w:id="3149"/>
      <w:r>
        <w:rPr>
          <w:rFonts w:ascii="Arial" w:eastAsia="Arial" w:hAnsi="Arial" w:cs="Arial"/>
          <w:color w:val="000000"/>
          <w:sz w:val="20"/>
        </w:rPr>
        <w:t xml:space="preserve">At bottom, Disney's issuing a DAS Card to all cognitively disabled guests is not </w:t>
      </w:r>
      <w:r>
        <w:rPr>
          <w:rFonts w:ascii="Arial" w:eastAsia="Arial" w:hAnsi="Arial" w:cs="Arial"/>
          <w:color w:val="000000"/>
          <w:sz w:val="20"/>
          <w:u w:val="single"/>
        </w:rPr>
        <w:t>per se</w:t>
      </w:r>
      <w:r>
        <w:rPr>
          <w:rFonts w:ascii="Arial" w:eastAsia="Arial" w:hAnsi="Arial" w:cs="Arial"/>
          <w:color w:val="000000"/>
          <w:sz w:val="20"/>
        </w:rPr>
        <w:t xml:space="preserve"> impermissible under Title III of the ADA. We now examine plaintiffs' primary discrimination claims.</w:t>
      </w:r>
    </w:p>
    <w:p w:rsidR="00E456CD" w:rsidRDefault="00000000">
      <w:pPr>
        <w:pStyle w:val="Normal16"/>
        <w:widowControl w:val="0"/>
        <w:spacing w:before="240" w:line="260" w:lineRule="atLeast"/>
      </w:pPr>
      <w:r>
        <w:br/>
      </w:r>
      <w:r>
        <w:rPr>
          <w:rFonts w:ascii="Arial" w:eastAsia="Arial" w:hAnsi="Arial" w:cs="Arial"/>
          <w:b/>
          <w:color w:val="000000"/>
          <w:sz w:val="20"/>
        </w:rPr>
        <w:t>D. Claims Based on § 12182(b)(2)(A)(ii)</w:t>
      </w:r>
    </w:p>
    <w:p w:rsidR="00E456CD" w:rsidRDefault="00000000">
      <w:pPr>
        <w:pStyle w:val="Normal16"/>
        <w:widowControl w:val="0"/>
        <w:spacing w:before="200" w:line="260" w:lineRule="atLeast"/>
        <w:jc w:val="both"/>
      </w:pPr>
      <w:bookmarkStart w:id="3150" w:name="Bookmark_para_129"/>
      <w:bookmarkEnd w:id="3150"/>
      <w:r>
        <w:rPr>
          <w:rFonts w:ascii="Arial" w:eastAsia="Arial" w:hAnsi="Arial" w:cs="Arial"/>
          <w:color w:val="000000"/>
          <w:sz w:val="20"/>
        </w:rPr>
        <w:t>As the district court correctly concluded, plaintiffs' discrimination claims are based on § 12182(b)(2)(A)(ii). Because this Court has not previously addressed a claim under § 12182(b)(2)(A)(ii), we review § 12182(b) to place that subsection in context.</w:t>
      </w:r>
    </w:p>
    <w:p w:rsidR="00E456CD" w:rsidRDefault="00000000">
      <w:pPr>
        <w:pStyle w:val="Normal16"/>
        <w:widowControl w:val="0"/>
        <w:spacing w:before="200" w:line="260" w:lineRule="atLeast"/>
        <w:jc w:val="both"/>
      </w:pPr>
      <w:bookmarkStart w:id="3151" w:name="Bookmark_para_130"/>
      <w:bookmarkEnd w:id="3151"/>
      <w:r>
        <w:rPr>
          <w:rFonts w:ascii="Arial" w:eastAsia="Arial" w:hAnsi="Arial" w:cs="Arial"/>
          <w:color w:val="000000"/>
          <w:sz w:val="20"/>
        </w:rPr>
        <w:t xml:space="preserve">Section § 12182(b)(1) contains "General prohibitions" against discrimination, including the "denial of the opportunity" for a disabled person "to participate in or benefit" from services or facilities. 42 U.S.C. § 12182(b)(1)(A)(i). Another "General prohibition" provides that it is discriminatory [**70]  to afford a disabled person "the opportunity to participate in or benefit from" services or facilities "that is not equal to that afforded to other individuals." </w:t>
      </w:r>
      <w:r>
        <w:rPr>
          <w:rFonts w:ascii="Arial" w:eastAsia="Arial" w:hAnsi="Arial" w:cs="Arial"/>
          <w:color w:val="000000"/>
          <w:sz w:val="20"/>
          <w:u w:val="single"/>
        </w:rPr>
        <w:t>Id.</w:t>
      </w:r>
      <w:r>
        <w:rPr>
          <w:rFonts w:ascii="Arial" w:eastAsia="Arial" w:hAnsi="Arial" w:cs="Arial"/>
          <w:color w:val="000000"/>
          <w:sz w:val="20"/>
        </w:rPr>
        <w:t xml:space="preserve"> § 12182(b)(1)(A)(ii).</w:t>
      </w:r>
    </w:p>
    <w:p w:rsidR="00E456CD" w:rsidRDefault="00000000">
      <w:pPr>
        <w:pStyle w:val="Normal16"/>
        <w:widowControl w:val="0"/>
        <w:spacing w:before="200" w:line="260" w:lineRule="atLeast"/>
        <w:jc w:val="both"/>
      </w:pPr>
      <w:bookmarkStart w:id="3152" w:name="Bookmark_para_131"/>
      <w:bookmarkEnd w:id="3152"/>
      <w:r>
        <w:rPr>
          <w:rFonts w:ascii="Arial" w:eastAsia="Arial" w:hAnsi="Arial" w:cs="Arial"/>
          <w:color w:val="000000"/>
          <w:sz w:val="20"/>
        </w:rPr>
        <w:t xml:space="preserve">Along with these general principles, </w:t>
      </w:r>
      <w:bookmarkStart w:id="3153" w:name="Bookmark_LNHNREFclscc7_12"/>
      <w:bookmarkEnd w:id="3153"/>
      <w:r>
        <w:rPr>
          <w:rFonts w:ascii="Arial" w:eastAsia="Arial" w:hAnsi="Arial" w:cs="Arial"/>
          <w:color w:val="000000"/>
          <w:sz w:val="20"/>
        </w:rPr>
        <w:t>§ 12182(b)(2) provides for "Specific prohibitions," which are examples of actions or omissions that constitute such discrimination. One example is § 12182(b)(2)(A)(ii), which provides that discrimination includes a private entity's failure to make "reasonable modifications" to procedures that are "necessary" to afford the services and facilities of the private entity to the disabled, as follows:</w:t>
      </w:r>
    </w:p>
    <w:p w:rsidR="00E456CD" w:rsidRDefault="00000000">
      <w:pPr>
        <w:pStyle w:val="Normal16"/>
        <w:widowControl w:val="0"/>
        <w:spacing w:before="200" w:line="260" w:lineRule="atLeast"/>
        <w:ind w:left="400"/>
        <w:jc w:val="both"/>
      </w:pPr>
      <w:bookmarkStart w:id="3154" w:name="Bookmark_para_132"/>
      <w:bookmarkStart w:id="3155" w:name="Bookmark_I5T7HWT928T4BK0040000400"/>
      <w:bookmarkEnd w:id="3154"/>
      <w:bookmarkEnd w:id="3155"/>
      <w:r>
        <w:rPr>
          <w:rFonts w:ascii="Arial" w:eastAsia="Arial" w:hAnsi="Arial" w:cs="Arial"/>
          <w:color w:val="000000"/>
          <w:sz w:val="20"/>
        </w:rPr>
        <w:t xml:space="preserve">[Discrimination includes] a failure to make </w:t>
      </w:r>
      <w:r>
        <w:rPr>
          <w:rFonts w:ascii="Arial" w:eastAsia="Arial" w:hAnsi="Arial" w:cs="Arial"/>
          <w:color w:val="000000"/>
          <w:sz w:val="20"/>
          <w:u w:val="single"/>
        </w:rPr>
        <w:t>reasonable modifications</w:t>
      </w:r>
      <w:r>
        <w:rPr>
          <w:rFonts w:ascii="Arial" w:eastAsia="Arial" w:hAnsi="Arial" w:cs="Arial"/>
          <w:color w:val="000000"/>
          <w:sz w:val="20"/>
        </w:rPr>
        <w:t xml:space="preserve"> in policies, practices, or procedures, when such modifications are </w:t>
      </w:r>
      <w:r>
        <w:rPr>
          <w:rFonts w:ascii="Arial" w:eastAsia="Arial" w:hAnsi="Arial" w:cs="Arial"/>
          <w:color w:val="000000"/>
          <w:sz w:val="20"/>
          <w:u w:val="single"/>
        </w:rPr>
        <w:t>necessary</w:t>
      </w:r>
      <w:r>
        <w:rPr>
          <w:rFonts w:ascii="Arial" w:eastAsia="Arial" w:hAnsi="Arial" w:cs="Arial"/>
          <w:color w:val="000000"/>
          <w:sz w:val="20"/>
        </w:rPr>
        <w:t xml:space="preserve"> to afford such goods, services, facilities, privileges, advantages, or accommodations </w:t>
      </w:r>
      <w:r>
        <w:rPr>
          <w:rFonts w:ascii="Arial" w:eastAsia="Arial" w:hAnsi="Arial" w:cs="Arial"/>
          <w:color w:val="000000"/>
          <w:sz w:val="20"/>
          <w:u w:val="single"/>
        </w:rPr>
        <w:t>to individuals with disabilities</w:t>
      </w:r>
      <w:r>
        <w:rPr>
          <w:rFonts w:ascii="Arial" w:eastAsia="Arial" w:hAnsi="Arial" w:cs="Arial"/>
          <w:color w:val="000000"/>
          <w:sz w:val="20"/>
        </w:rPr>
        <w:t>, unless the entity can demonstrate that making such modifications would fundamentally alter the nature of such goods, services, facilities, privileges, advantages, or accommodations[.]</w:t>
      </w:r>
    </w:p>
    <w:p w:rsidR="00E456CD" w:rsidRDefault="00000000">
      <w:pPr>
        <w:pStyle w:val="Normal16"/>
        <w:widowControl w:val="0"/>
        <w:spacing w:before="200" w:line="260" w:lineRule="atLeast"/>
        <w:jc w:val="both"/>
      </w:pPr>
      <w:bookmarkStart w:id="3156" w:name="Bookmark_I5T7HWT928T4BK0040000400_2"/>
      <w:bookmarkEnd w:id="3156"/>
      <w:r>
        <w:rPr>
          <w:rFonts w:ascii="Arial" w:eastAsia="Arial" w:hAnsi="Arial" w:cs="Arial"/>
          <w:color w:val="000000"/>
          <w:sz w:val="20"/>
        </w:rPr>
        <w:t xml:space="preserve">42 U.S.C. § 12182(b)(2)(A)(ii) (emphasis added). </w:t>
      </w:r>
      <w:bookmarkStart w:id="3157" w:name="Bookmark_LNHNREFclscc8_10"/>
      <w:bookmarkEnd w:id="3157"/>
      <w:r>
        <w:rPr>
          <w:rFonts w:ascii="Arial" w:eastAsia="Arial" w:hAnsi="Arial" w:cs="Arial"/>
          <w:color w:val="000000"/>
          <w:sz w:val="20"/>
        </w:rPr>
        <w:t xml:space="preserve">The plaintiff bears the burden of proving not only that he is disabled but also that his requested modification is both "reasonable" and "necessary." </w:t>
      </w:r>
      <w:r>
        <w:rPr>
          <w:rFonts w:ascii="Arial" w:eastAsia="Arial" w:hAnsi="Arial" w:cs="Arial"/>
          <w:color w:val="000000"/>
          <w:sz w:val="20"/>
          <w:u w:val="single"/>
        </w:rPr>
        <w:t xml:space="preserve">Id.; see </w:t>
      </w:r>
      <w:bookmarkStart w:id="3158" w:name="Bookmark_I5T7HWT928T4BK0030000400"/>
      <w:bookmarkEnd w:id="3158"/>
      <w:r>
        <w:rPr>
          <w:rFonts w:ascii="Arial" w:eastAsia="Arial" w:hAnsi="Arial" w:cs="Arial"/>
          <w:color w:val="000000"/>
          <w:sz w:val="20"/>
          <w:u w:val="single"/>
        </w:rPr>
        <w:t>Garthright-Dietrich</w:t>
      </w:r>
      <w:r>
        <w:rPr>
          <w:rFonts w:ascii="Arial" w:eastAsia="Arial" w:hAnsi="Arial" w:cs="Arial"/>
          <w:color w:val="000000"/>
          <w:sz w:val="20"/>
        </w:rPr>
        <w:t xml:space="preserve">, 452 F.3d at 1273-74 (discussing [**71]  plaintiff's initial burden in a Title III case involving architectural barriers); </w:t>
      </w:r>
      <w:bookmarkStart w:id="3159" w:name="Bookmark_I5T7HWT928T4BK0050000400"/>
      <w:bookmarkEnd w:id="3159"/>
      <w:r>
        <w:rPr>
          <w:rFonts w:ascii="Arial" w:eastAsia="Arial" w:hAnsi="Arial" w:cs="Arial"/>
          <w:color w:val="000000"/>
          <w:sz w:val="20"/>
          <w:u w:val="single"/>
        </w:rPr>
        <w:t>Johnson v. Gambrinus Co./Spoetzl Brewery</w:t>
      </w:r>
      <w:r>
        <w:rPr>
          <w:rFonts w:ascii="Arial" w:eastAsia="Arial" w:hAnsi="Arial" w:cs="Arial"/>
          <w:color w:val="000000"/>
          <w:sz w:val="20"/>
        </w:rPr>
        <w:t>, 116 F.3d 1052, 1058 (5th Cir. 1997) (deriving burden in Title III reasonable modification case from Title I employment case).</w:t>
      </w:r>
    </w:p>
    <w:p w:rsidR="00E456CD" w:rsidRDefault="00000000">
      <w:pPr>
        <w:pStyle w:val="Normal16"/>
        <w:widowControl w:val="0"/>
        <w:spacing w:before="200" w:line="260" w:lineRule="atLeast"/>
        <w:jc w:val="both"/>
      </w:pPr>
      <w:bookmarkStart w:id="3160" w:name="Bookmark_para_133"/>
      <w:bookmarkStart w:id="3161" w:name="Bookmark_I5T7HWT92SF8N50030000400"/>
      <w:bookmarkStart w:id="3162" w:name="Bookmark_I5T7HWT92SF8N50050000400"/>
      <w:bookmarkStart w:id="3163" w:name="Bookmark_LNHNREFclscc9_8"/>
      <w:bookmarkEnd w:id="3160"/>
      <w:bookmarkEnd w:id="3161"/>
      <w:bookmarkEnd w:id="3162"/>
      <w:bookmarkEnd w:id="3163"/>
      <w:r>
        <w:rPr>
          <w:rFonts w:ascii="Arial" w:eastAsia="Arial" w:hAnsi="Arial" w:cs="Arial"/>
          <w:color w:val="000000"/>
          <w:sz w:val="20"/>
        </w:rPr>
        <w:t xml:space="preserve">No ADA violation occurs, however, when the private entity demonstrates that the requested modifications would "fundamentally alter the nature of" its services and facilities. 42 U.S.C. § 12182(b)(2)(A)(ii); </w:t>
      </w:r>
      <w:bookmarkStart w:id="3164" w:name="Bookmark_I5T7HWT92SF8N50020000400"/>
      <w:bookmarkEnd w:id="3164"/>
      <w:r>
        <w:rPr>
          <w:rFonts w:ascii="Arial" w:eastAsia="Arial" w:hAnsi="Arial" w:cs="Arial"/>
          <w:color w:val="000000"/>
          <w:sz w:val="20"/>
          <w:u w:val="single"/>
        </w:rPr>
        <w:t>Martin</w:t>
      </w:r>
      <w:r>
        <w:rPr>
          <w:rFonts w:ascii="Arial" w:eastAsia="Arial" w:hAnsi="Arial" w:cs="Arial"/>
          <w:color w:val="000000"/>
          <w:sz w:val="20"/>
        </w:rPr>
        <w:t xml:space="preserve">, 532 U.S. at 682, 121 S. Ct. at 1893 (quoting § 12182(b)(2)(A)(ii)). The defendant private entity bears the burden of proof on the fundamental alteration inquiry. </w:t>
      </w:r>
      <w:r>
        <w:rPr>
          <w:rFonts w:ascii="Arial" w:eastAsia="Arial" w:hAnsi="Arial" w:cs="Arial"/>
          <w:color w:val="000000"/>
          <w:sz w:val="20"/>
          <w:u w:val="single"/>
        </w:rPr>
        <w:t xml:space="preserve">See </w:t>
      </w:r>
      <w:r>
        <w:rPr>
          <w:rFonts w:ascii="Arial" w:eastAsia="Arial" w:hAnsi="Arial" w:cs="Arial"/>
          <w:color w:val="000000"/>
          <w:sz w:val="20"/>
        </w:rPr>
        <w:t xml:space="preserve"> [*1293]  </w:t>
      </w:r>
      <w:bookmarkStart w:id="3165" w:name="Bookmark_I5T7HWT92SF8N50040000400"/>
      <w:bookmarkEnd w:id="3165"/>
      <w:r>
        <w:rPr>
          <w:rFonts w:ascii="Arial" w:eastAsia="Arial" w:hAnsi="Arial" w:cs="Arial"/>
          <w:color w:val="000000"/>
          <w:sz w:val="20"/>
          <w:u w:val="single"/>
        </w:rPr>
        <w:t>Garthright-Dietrich</w:t>
      </w:r>
      <w:r>
        <w:rPr>
          <w:rFonts w:ascii="Arial" w:eastAsia="Arial" w:hAnsi="Arial" w:cs="Arial"/>
          <w:color w:val="000000"/>
          <w:sz w:val="20"/>
        </w:rPr>
        <w:t>, 452 F.3d at 1273-75 (adopting the burden shifting framework for claims under § 12182(b)(2)(A)(iv), which requires reasonable modification unless the defendant shows it is not "readily achievable").</w:t>
      </w:r>
    </w:p>
    <w:p w:rsidR="00E456CD" w:rsidRDefault="00000000">
      <w:pPr>
        <w:pStyle w:val="Normal16"/>
        <w:widowControl w:val="0"/>
        <w:spacing w:before="200" w:line="260" w:lineRule="atLeast"/>
        <w:jc w:val="both"/>
      </w:pPr>
      <w:bookmarkStart w:id="3166" w:name="Bookmark_para_134"/>
      <w:bookmarkStart w:id="3167" w:name="Bookmark_I5TK0561CD60000BV0N00006"/>
      <w:bookmarkStart w:id="3168" w:name="Bookmark_I5T7HWT92HM6N30020000400"/>
      <w:bookmarkStart w:id="3169" w:name="Bookmark_LNHNREFclscc10_8"/>
      <w:bookmarkEnd w:id="3166"/>
      <w:bookmarkEnd w:id="3167"/>
      <w:bookmarkEnd w:id="3168"/>
      <w:bookmarkEnd w:id="3169"/>
      <w:r>
        <w:rPr>
          <w:rFonts w:ascii="Arial" w:eastAsia="Arial" w:hAnsi="Arial" w:cs="Arial"/>
          <w:color w:val="000000"/>
          <w:sz w:val="20"/>
        </w:rPr>
        <w:t xml:space="preserve">The Supreme Court has explained that the statutory text of § 12182(b)(2)(A)(ii) "contemplates three inquiries" for determining whether a requested modification to a public accommodation's procedures is required. </w:t>
      </w:r>
      <w:bookmarkStart w:id="3170" w:name="Bookmark_I5T7HWT92HM6N30010000400"/>
      <w:bookmarkEnd w:id="3170"/>
      <w:r>
        <w:rPr>
          <w:rFonts w:ascii="Arial" w:eastAsia="Arial" w:hAnsi="Arial" w:cs="Arial"/>
          <w:color w:val="000000"/>
          <w:sz w:val="20"/>
          <w:u w:val="single"/>
        </w:rPr>
        <w:t>Martin</w:t>
      </w:r>
      <w:r>
        <w:rPr>
          <w:rFonts w:ascii="Arial" w:eastAsia="Arial" w:hAnsi="Arial" w:cs="Arial"/>
          <w:color w:val="000000"/>
          <w:sz w:val="20"/>
        </w:rPr>
        <w:t xml:space="preserve">, 532 U.S. at 683 n.38, 121 S. Ct. at 1893 n.38. The three inquiries are: (1) whether the requested modification is "reasonable"; (2) whether the requested modification is "necessary" for the disabled individual; and (3) whether the requested modification would "fundamentally alter the nature" of the public accommodation. </w:t>
      </w:r>
      <w:r>
        <w:rPr>
          <w:rFonts w:ascii="Arial" w:eastAsia="Arial" w:hAnsi="Arial" w:cs="Arial"/>
          <w:color w:val="000000"/>
          <w:sz w:val="20"/>
          <w:u w:val="single"/>
        </w:rPr>
        <w:t>Id.</w:t>
      </w:r>
      <w:r>
        <w:rPr>
          <w:rFonts w:ascii="Arial" w:eastAsia="Arial" w:hAnsi="Arial" w:cs="Arial"/>
          <w:color w:val="000000"/>
          <w:sz w:val="20"/>
        </w:rPr>
        <w:t xml:space="preserve"> The Supreme Court instructed that "[w]hether one question should be decided before the others likely will vary [**72]  from case to case, for in logic there seems to be no necessary priority among the three." </w:t>
      </w:r>
      <w:r>
        <w:rPr>
          <w:rFonts w:ascii="Arial" w:eastAsia="Arial" w:hAnsi="Arial" w:cs="Arial"/>
          <w:color w:val="000000"/>
          <w:sz w:val="20"/>
          <w:u w:val="single"/>
        </w:rPr>
        <w:t>Id.</w:t>
      </w:r>
      <w:r>
        <w:rPr>
          <w:rFonts w:ascii="Arial" w:eastAsia="Arial" w:hAnsi="Arial" w:cs="Arial"/>
          <w:color w:val="000000"/>
          <w:sz w:val="20"/>
        </w:rPr>
        <w:t xml:space="preserve"> In some cases, "the specifics of the claimed disability might be examined within the context of what is a reasonable or necessary modification." </w:t>
      </w:r>
      <w:r>
        <w:rPr>
          <w:rFonts w:ascii="Arial" w:eastAsia="Arial" w:hAnsi="Arial" w:cs="Arial"/>
          <w:color w:val="000000"/>
          <w:sz w:val="20"/>
          <w:u w:val="single"/>
        </w:rPr>
        <w:t>Id.</w:t>
      </w:r>
    </w:p>
    <w:p w:rsidR="00E456CD" w:rsidRDefault="00000000">
      <w:pPr>
        <w:pStyle w:val="Normal16"/>
        <w:widowControl w:val="0"/>
        <w:spacing w:before="200" w:line="260" w:lineRule="atLeast"/>
        <w:jc w:val="both"/>
      </w:pPr>
      <w:bookmarkStart w:id="3171" w:name="Bookmark_para_135"/>
      <w:bookmarkEnd w:id="3171"/>
      <w:r>
        <w:rPr>
          <w:rFonts w:ascii="Arial" w:eastAsia="Arial" w:hAnsi="Arial" w:cs="Arial"/>
          <w:color w:val="000000"/>
          <w:sz w:val="20"/>
        </w:rPr>
        <w:t>Here, the district court ruled that the DAS program already provided plaintiffs with full and equal enjoyment of Disney's theme parks and that plaintiffs' requested additional modifications were not "necessary" under the ADA. The district court did not rule on the reasonableness or fundamental alteration inquiries. We therefore focus on the case law about "necessary" modifications and then analyze plaintiffs' impairments within that context.</w:t>
      </w:r>
    </w:p>
    <w:p w:rsidR="00E456CD" w:rsidRDefault="00000000">
      <w:pPr>
        <w:pStyle w:val="Normal16"/>
        <w:widowControl w:val="0"/>
        <w:spacing w:before="240" w:line="260" w:lineRule="atLeast"/>
      </w:pPr>
      <w:r>
        <w:br/>
      </w:r>
      <w:r>
        <w:rPr>
          <w:rFonts w:ascii="Arial" w:eastAsia="Arial" w:hAnsi="Arial" w:cs="Arial"/>
          <w:b/>
          <w:color w:val="000000"/>
          <w:sz w:val="20"/>
        </w:rPr>
        <w:t>E. Necessary Modifications</w:t>
      </w:r>
    </w:p>
    <w:p w:rsidR="00E456CD" w:rsidRDefault="00000000">
      <w:pPr>
        <w:pStyle w:val="Normal16"/>
        <w:widowControl w:val="0"/>
        <w:spacing w:before="200" w:line="260" w:lineRule="atLeast"/>
        <w:jc w:val="both"/>
      </w:pPr>
      <w:bookmarkStart w:id="3172" w:name="Bookmark_para_136"/>
      <w:bookmarkStart w:id="3173" w:name="Bookmark_I5T7HWT92HM6N30040000400"/>
      <w:bookmarkStart w:id="3174" w:name="Bookmark_I5T7HWT92D6NJ00010000400"/>
      <w:bookmarkStart w:id="3175" w:name="Bookmark_I5T7HWT92D6NJ00030000400"/>
      <w:bookmarkEnd w:id="3172"/>
      <w:bookmarkEnd w:id="3173"/>
      <w:bookmarkEnd w:id="3174"/>
      <w:bookmarkEnd w:id="3175"/>
      <w:r>
        <w:rPr>
          <w:rFonts w:ascii="Arial" w:eastAsia="Arial" w:hAnsi="Arial" w:cs="Arial"/>
          <w:color w:val="000000"/>
          <w:sz w:val="20"/>
        </w:rPr>
        <w:t xml:space="preserve">In </w:t>
      </w:r>
      <w:bookmarkStart w:id="3176" w:name="Bookmark_I5T7HWT92HM6N30030000400"/>
      <w:bookmarkEnd w:id="3176"/>
      <w:r>
        <w:rPr>
          <w:rFonts w:ascii="Arial" w:eastAsia="Arial" w:hAnsi="Arial" w:cs="Arial"/>
          <w:color w:val="000000"/>
          <w:sz w:val="20"/>
          <w:u w:val="single"/>
        </w:rPr>
        <w:t>PGA Tour, Inc. v. Martin</w:t>
      </w:r>
      <w:r>
        <w:rPr>
          <w:rFonts w:ascii="Arial" w:eastAsia="Arial" w:hAnsi="Arial" w:cs="Arial"/>
          <w:color w:val="000000"/>
          <w:sz w:val="20"/>
        </w:rPr>
        <w:t xml:space="preserve">, 532 U.S. 661, 682, 121 S. Ct. 1879, 1893, 149 L. Ed. 2d 904 (2001), the Supreme Court touched briefly in dicta on the differences between reasonable and necessary in § 12182(b)(2)(A)(ii), although the Court ruled solely on the "fundamental alteration" inquiry. In </w:t>
      </w:r>
      <w:r>
        <w:rPr>
          <w:rFonts w:ascii="Arial" w:eastAsia="Arial" w:hAnsi="Arial" w:cs="Arial"/>
          <w:color w:val="000000"/>
          <w:sz w:val="20"/>
          <w:u w:val="single"/>
        </w:rPr>
        <w:t>Martin</w:t>
      </w:r>
      <w:r>
        <w:rPr>
          <w:rFonts w:ascii="Arial" w:eastAsia="Arial" w:hAnsi="Arial" w:cs="Arial"/>
          <w:color w:val="000000"/>
          <w:sz w:val="20"/>
        </w:rPr>
        <w:t>, the plaintiff, a mobility-disabled golfer, requested a waiver of the PGA Tour's walking rule and claimed that use of a golf cart was reasonable and necessary.</w:t>
      </w:r>
      <w:r>
        <w:rPr>
          <w:rFonts w:ascii="Arial" w:eastAsia="Arial" w:hAnsi="Arial" w:cs="Arial"/>
          <w:vertAlign w:val="superscript"/>
        </w:rPr>
        <w:footnoteReference w:customMarkFollows="1" w:id="134"/>
        <w:t>13</w:t>
      </w:r>
      <w:r>
        <w:rPr>
          <w:rFonts w:ascii="Arial" w:eastAsia="Arial" w:hAnsi="Arial" w:cs="Arial"/>
          <w:color w:val="000000"/>
          <w:sz w:val="20"/>
        </w:rPr>
        <w:t xml:space="preserve"> </w:t>
      </w:r>
      <w:bookmarkStart w:id="3185" w:name="Bookmark_I5T7HWT92HM6N30050000400"/>
      <w:bookmarkEnd w:id="3185"/>
      <w:r>
        <w:rPr>
          <w:rFonts w:ascii="Arial" w:eastAsia="Arial" w:hAnsi="Arial" w:cs="Arial"/>
          <w:color w:val="000000"/>
          <w:sz w:val="20"/>
          <w:u w:val="single"/>
        </w:rPr>
        <w:t>Id.</w:t>
      </w:r>
      <w:r>
        <w:rPr>
          <w:rFonts w:ascii="Arial" w:eastAsia="Arial" w:hAnsi="Arial" w:cs="Arial"/>
          <w:color w:val="000000"/>
          <w:sz w:val="20"/>
        </w:rPr>
        <w:t xml:space="preserve"> at 667-69, 121 S. Ct. at 1885-86. </w:t>
      </w:r>
      <w:bookmarkStart w:id="3186" w:name="Bookmark_I5T7HWT92D6NJ00050000400"/>
      <w:bookmarkEnd w:id="3186"/>
      <w:r>
        <w:rPr>
          <w:rFonts w:ascii="Arial" w:eastAsia="Arial" w:hAnsi="Arial" w:cs="Arial"/>
          <w:color w:val="000000"/>
          <w:sz w:val="20"/>
        </w:rPr>
        <w:t xml:space="preserve">After reviewing the extensive evidence at the bench trial and the district court's fact findings, the Supreme Court explained why allowing [**73]  the plaintiff "to use a golf cart would not fundamentally alter the nature of [the PGA's] tournaments." </w:t>
      </w:r>
      <w:bookmarkStart w:id="3187" w:name="Bookmark_I5T7HWT92D6NJ00020000400"/>
      <w:bookmarkEnd w:id="3187"/>
      <w:r>
        <w:rPr>
          <w:rFonts w:ascii="Arial" w:eastAsia="Arial" w:hAnsi="Arial" w:cs="Arial"/>
          <w:color w:val="000000"/>
          <w:sz w:val="20"/>
          <w:u w:val="single"/>
        </w:rPr>
        <w:t>Id.</w:t>
      </w:r>
      <w:r>
        <w:rPr>
          <w:rFonts w:ascii="Arial" w:eastAsia="Arial" w:hAnsi="Arial" w:cs="Arial"/>
          <w:color w:val="000000"/>
          <w:sz w:val="20"/>
        </w:rPr>
        <w:t xml:space="preserve"> at 681, 683-86, 690, 121 S. Ct. at 1893-95, 1897. </w:t>
      </w:r>
      <w:bookmarkStart w:id="3188" w:name="Bookmark_I5T7HWT92D6NJ00050000400_2"/>
      <w:bookmarkEnd w:id="3188"/>
      <w:r>
        <w:rPr>
          <w:rFonts w:ascii="Arial" w:eastAsia="Arial" w:hAnsi="Arial" w:cs="Arial"/>
          <w:color w:val="000000"/>
          <w:sz w:val="20"/>
        </w:rPr>
        <w:t xml:space="preserve">The PGA Tour did not dispute using a golf cart was reasonable and necessary for the plaintiff in </w:t>
      </w:r>
      <w:r>
        <w:rPr>
          <w:rFonts w:ascii="Arial" w:eastAsia="Arial" w:hAnsi="Arial" w:cs="Arial"/>
          <w:color w:val="000000"/>
          <w:sz w:val="20"/>
          <w:u w:val="single"/>
        </w:rPr>
        <w:t>Martin</w:t>
      </w:r>
      <w:r>
        <w:rPr>
          <w:rFonts w:ascii="Arial" w:eastAsia="Arial" w:hAnsi="Arial" w:cs="Arial"/>
          <w:color w:val="000000"/>
          <w:sz w:val="20"/>
        </w:rPr>
        <w:t xml:space="preserve">. </w:t>
      </w:r>
      <w:bookmarkStart w:id="3189" w:name="Bookmark_I5T7HWT92D6NJ00040000400"/>
      <w:bookmarkEnd w:id="3189"/>
      <w:r>
        <w:rPr>
          <w:rFonts w:ascii="Arial" w:eastAsia="Arial" w:hAnsi="Arial" w:cs="Arial"/>
          <w:color w:val="000000"/>
          <w:sz w:val="20"/>
          <w:u w:val="single"/>
        </w:rPr>
        <w:t>Id.</w:t>
      </w:r>
      <w:r>
        <w:rPr>
          <w:rFonts w:ascii="Arial" w:eastAsia="Arial" w:hAnsi="Arial" w:cs="Arial"/>
          <w:color w:val="000000"/>
          <w:sz w:val="20"/>
        </w:rPr>
        <w:t xml:space="preserve"> at 682, 121 S. Ct. at 1893.</w:t>
      </w:r>
    </w:p>
    <w:p w:rsidR="00E456CD" w:rsidRDefault="00000000">
      <w:pPr>
        <w:pStyle w:val="Normal16"/>
        <w:widowControl w:val="0"/>
        <w:spacing w:before="200" w:line="260" w:lineRule="atLeast"/>
        <w:jc w:val="both"/>
      </w:pPr>
      <w:bookmarkStart w:id="3190" w:name="Bookmark_para_137"/>
      <w:bookmarkStart w:id="3191" w:name="Bookmark_I5TK0561F2C0000BV0N00007"/>
      <w:bookmarkStart w:id="3192" w:name="Bookmark_I5T7HWT92HM6N40030000400"/>
      <w:bookmarkEnd w:id="3190"/>
      <w:bookmarkEnd w:id="3191"/>
      <w:bookmarkEnd w:id="3192"/>
      <w:r>
        <w:rPr>
          <w:rFonts w:ascii="Arial" w:eastAsia="Arial" w:hAnsi="Arial" w:cs="Arial"/>
          <w:color w:val="000000"/>
          <w:sz w:val="20"/>
        </w:rPr>
        <w:t xml:space="preserve">Nevertheless, how the Supreme Court distinguished these terms is informative. The Supreme Court noted that use of a golf cart was a "reasonable modification" that was "necessary" if the plaintiff was to play in the PGA's tournaments. </w:t>
      </w:r>
      <w:bookmarkStart w:id="3193" w:name="Bookmark_I5T7HWT92HM6N40020000400"/>
      <w:bookmarkEnd w:id="3193"/>
      <w:r>
        <w:rPr>
          <w:rFonts w:ascii="Arial" w:eastAsia="Arial" w:hAnsi="Arial" w:cs="Arial"/>
          <w:color w:val="000000"/>
          <w:sz w:val="20"/>
          <w:u w:val="single"/>
        </w:rPr>
        <w:t>Id.</w:t>
      </w:r>
      <w:r>
        <w:rPr>
          <w:rFonts w:ascii="Arial" w:eastAsia="Arial" w:hAnsi="Arial" w:cs="Arial"/>
          <w:color w:val="000000"/>
          <w:sz w:val="20"/>
        </w:rPr>
        <w:t xml:space="preserve"> at 682, 121 S. Ct. at 1893. The Supreme Court explained that "Martin's claim thus differs from one that might be asserted by players  [*1294]  with less serious afflictions that make walking the course uncomfortable or difficult, but not beyond their capacity." </w:t>
      </w:r>
      <w:r>
        <w:rPr>
          <w:rFonts w:ascii="Arial" w:eastAsia="Arial" w:hAnsi="Arial" w:cs="Arial"/>
          <w:color w:val="000000"/>
          <w:sz w:val="20"/>
          <w:u w:val="single"/>
        </w:rPr>
        <w:t>Id.</w:t>
      </w:r>
      <w:r>
        <w:rPr>
          <w:rFonts w:ascii="Arial" w:eastAsia="Arial" w:hAnsi="Arial" w:cs="Arial"/>
          <w:color w:val="000000"/>
          <w:sz w:val="20"/>
        </w:rPr>
        <w:t xml:space="preserve"> The Supreme Court instructed: "In such cases, an accommodation might be reasonable but not necessary." </w:t>
      </w:r>
      <w:r>
        <w:rPr>
          <w:rFonts w:ascii="Arial" w:eastAsia="Arial" w:hAnsi="Arial" w:cs="Arial"/>
          <w:color w:val="000000"/>
          <w:sz w:val="20"/>
          <w:u w:val="single"/>
        </w:rPr>
        <w:t>Id.</w:t>
      </w:r>
    </w:p>
    <w:p w:rsidR="00E456CD" w:rsidRDefault="00000000">
      <w:pPr>
        <w:pStyle w:val="Normal16"/>
        <w:widowControl w:val="0"/>
        <w:spacing w:before="200" w:line="260" w:lineRule="atLeast"/>
        <w:jc w:val="both"/>
      </w:pPr>
      <w:bookmarkStart w:id="3194" w:name="Bookmark_para_138"/>
      <w:bookmarkEnd w:id="3194"/>
      <w:r>
        <w:rPr>
          <w:rFonts w:ascii="Arial" w:eastAsia="Arial" w:hAnsi="Arial" w:cs="Arial"/>
          <w:color w:val="000000"/>
          <w:sz w:val="20"/>
        </w:rPr>
        <w:t>Because an accommodation may be reasonable, but still not necessary, it is easy to see why the district court in this case concentrated on whether plaintiffs' requested modification was necessary. Yet hard questions are presented by the legal contours and factual complexity of what is "necessary" for these severely disabled plaintiffs.</w:t>
      </w:r>
    </w:p>
    <w:p w:rsidR="00E456CD" w:rsidRDefault="00000000">
      <w:pPr>
        <w:pStyle w:val="Normal16"/>
        <w:widowControl w:val="0"/>
        <w:spacing w:before="200" w:line="260" w:lineRule="atLeast"/>
        <w:jc w:val="both"/>
      </w:pPr>
      <w:bookmarkStart w:id="3195" w:name="Bookmark_para_139"/>
      <w:bookmarkStart w:id="3196" w:name="Bookmark_I5T7HWT92HM6N40050000400"/>
      <w:bookmarkEnd w:id="3195"/>
      <w:bookmarkEnd w:id="3196"/>
      <w:r>
        <w:rPr>
          <w:rFonts w:ascii="Arial" w:eastAsia="Arial" w:hAnsi="Arial" w:cs="Arial"/>
          <w:color w:val="000000"/>
          <w:sz w:val="20"/>
        </w:rPr>
        <w:t xml:space="preserve">As to the legal standard, two circuit courts after </w:t>
      </w:r>
      <w:r>
        <w:rPr>
          <w:rFonts w:ascii="Arial" w:eastAsia="Arial" w:hAnsi="Arial" w:cs="Arial"/>
          <w:color w:val="000000"/>
          <w:sz w:val="20"/>
          <w:u w:val="single"/>
        </w:rPr>
        <w:t>Martin</w:t>
      </w:r>
      <w:r>
        <w:rPr>
          <w:rFonts w:ascii="Arial" w:eastAsia="Arial" w:hAnsi="Arial" w:cs="Arial"/>
          <w:color w:val="000000"/>
          <w:sz w:val="20"/>
        </w:rPr>
        <w:t xml:space="preserve"> have addressed how </w:t>
      </w:r>
      <w:bookmarkStart w:id="3197" w:name="Bookmark_LNHNREFclscc11_7"/>
      <w:bookmarkEnd w:id="3197"/>
      <w:r>
        <w:rPr>
          <w:rFonts w:ascii="Arial" w:eastAsia="Arial" w:hAnsi="Arial" w:cs="Arial"/>
          <w:color w:val="000000"/>
          <w:sz w:val="20"/>
        </w:rPr>
        <w:t xml:space="preserve">to define [**74]  "necessary" in § 12182(b)(2)(A)(ii). </w:t>
      </w:r>
      <w:bookmarkStart w:id="3198" w:name="Bookmark_I5T7HWT92D6NJ10040000400"/>
      <w:bookmarkEnd w:id="3198"/>
      <w:r>
        <w:rPr>
          <w:rFonts w:ascii="Arial" w:eastAsia="Arial" w:hAnsi="Arial" w:cs="Arial"/>
          <w:color w:val="000000"/>
          <w:sz w:val="20"/>
          <w:u w:val="single"/>
        </w:rPr>
        <w:t xml:space="preserve">See </w:t>
      </w:r>
      <w:bookmarkStart w:id="3199" w:name="Bookmark_I5T7HWT92HM6N40040000400"/>
      <w:bookmarkEnd w:id="3199"/>
      <w:r>
        <w:rPr>
          <w:rFonts w:ascii="Arial" w:eastAsia="Arial" w:hAnsi="Arial" w:cs="Arial"/>
          <w:color w:val="000000"/>
          <w:sz w:val="20"/>
          <w:u w:val="single"/>
        </w:rPr>
        <w:t>Argenyi v. Creighton Univ.</w:t>
      </w:r>
      <w:r>
        <w:rPr>
          <w:rFonts w:ascii="Arial" w:eastAsia="Arial" w:hAnsi="Arial" w:cs="Arial"/>
          <w:color w:val="000000"/>
          <w:sz w:val="20"/>
        </w:rPr>
        <w:t xml:space="preserve">, 703 F.3d 441 (8th Cir. 2013) (applying §§ 12182(b)(2)(A)(ii)-(iii)); </w:t>
      </w:r>
      <w:bookmarkStart w:id="3200" w:name="Bookmark_I5T7HWT92D6NJ10010000400"/>
      <w:bookmarkEnd w:id="3200"/>
      <w:r>
        <w:rPr>
          <w:rFonts w:ascii="Arial" w:eastAsia="Arial" w:hAnsi="Arial" w:cs="Arial"/>
          <w:color w:val="000000"/>
          <w:sz w:val="20"/>
          <w:u w:val="single"/>
        </w:rPr>
        <w:t>Baughman v. Walt Disney World Co.</w:t>
      </w:r>
      <w:r>
        <w:rPr>
          <w:rFonts w:ascii="Arial" w:eastAsia="Arial" w:hAnsi="Arial" w:cs="Arial"/>
          <w:color w:val="000000"/>
          <w:sz w:val="20"/>
        </w:rPr>
        <w:t xml:space="preserve">, 685 F.3d 1131 (9th Cir. 2012) (applying § 12182(b)(2)(A)(ii)). Both decisions used "a like experience" standard in evaluating whether the plaintiff's requested modification was "necessary" to provide an equal benefit and full and equal enjoyment. </w:t>
      </w:r>
      <w:bookmarkStart w:id="3201" w:name="Bookmark_I5T7HWT92D6NJ10040000400_2"/>
      <w:bookmarkStart w:id="3202" w:name="Bookmark_I5T7HWT92D6NJ10030000400"/>
      <w:bookmarkEnd w:id="3201"/>
      <w:bookmarkEnd w:id="3202"/>
      <w:r>
        <w:rPr>
          <w:rFonts w:ascii="Arial" w:eastAsia="Arial" w:hAnsi="Arial" w:cs="Arial"/>
          <w:color w:val="000000"/>
          <w:sz w:val="20"/>
          <w:u w:val="single"/>
        </w:rPr>
        <w:t>Argenyi</w:t>
      </w:r>
      <w:r>
        <w:rPr>
          <w:rFonts w:ascii="Arial" w:eastAsia="Arial" w:hAnsi="Arial" w:cs="Arial"/>
          <w:color w:val="000000"/>
          <w:sz w:val="20"/>
        </w:rPr>
        <w:t xml:space="preserve">, 703 F.3d at 448-51; </w:t>
      </w:r>
      <w:bookmarkStart w:id="3203" w:name="Bookmark_I5T7HWT92D6NJ10050000400"/>
      <w:bookmarkEnd w:id="3203"/>
      <w:r>
        <w:rPr>
          <w:rFonts w:ascii="Arial" w:eastAsia="Arial" w:hAnsi="Arial" w:cs="Arial"/>
          <w:color w:val="000000"/>
          <w:sz w:val="20"/>
          <w:u w:val="single"/>
        </w:rPr>
        <w:t>Baughman</w:t>
      </w:r>
      <w:r>
        <w:rPr>
          <w:rFonts w:ascii="Arial" w:eastAsia="Arial" w:hAnsi="Arial" w:cs="Arial"/>
          <w:color w:val="000000"/>
          <w:sz w:val="20"/>
        </w:rPr>
        <w:t>, 685 F.3d at 1134-35.</w:t>
      </w:r>
    </w:p>
    <w:p w:rsidR="00E456CD" w:rsidRDefault="00000000">
      <w:pPr>
        <w:pStyle w:val="Normal16"/>
        <w:widowControl w:val="0"/>
        <w:spacing w:before="200" w:line="260" w:lineRule="atLeast"/>
        <w:jc w:val="both"/>
      </w:pPr>
      <w:bookmarkStart w:id="3204" w:name="Bookmark_para_140"/>
      <w:bookmarkStart w:id="3205" w:name="Bookmark_I5T7HWT92N1RP40030000400"/>
      <w:bookmarkEnd w:id="3204"/>
      <w:bookmarkEnd w:id="3205"/>
      <w:r>
        <w:rPr>
          <w:rFonts w:ascii="Arial" w:eastAsia="Arial" w:hAnsi="Arial" w:cs="Arial"/>
          <w:color w:val="000000"/>
          <w:sz w:val="20"/>
        </w:rPr>
        <w:t xml:space="preserve">The Ninth Circuit in </w:t>
      </w:r>
      <w:r>
        <w:rPr>
          <w:rFonts w:ascii="Arial" w:eastAsia="Arial" w:hAnsi="Arial" w:cs="Arial"/>
          <w:color w:val="000000"/>
          <w:sz w:val="20"/>
          <w:u w:val="single"/>
        </w:rPr>
        <w:t>Baughman</w:t>
      </w:r>
      <w:r>
        <w:rPr>
          <w:rFonts w:ascii="Arial" w:eastAsia="Arial" w:hAnsi="Arial" w:cs="Arial"/>
          <w:color w:val="000000"/>
          <w:sz w:val="20"/>
        </w:rPr>
        <w:t xml:space="preserve"> explained that </w:t>
      </w:r>
      <w:bookmarkStart w:id="3206" w:name="Bookmark_LNHNREFclscc12_7"/>
      <w:bookmarkEnd w:id="3206"/>
      <w:r>
        <w:rPr>
          <w:rFonts w:ascii="Arial" w:eastAsia="Arial" w:hAnsi="Arial" w:cs="Arial"/>
          <w:color w:val="000000"/>
          <w:sz w:val="20"/>
        </w:rPr>
        <w:t xml:space="preserve">"[p]ublic accommodations must start by considering how their facilities are used by nondisabled guests and then take reasonable steps to provide disabled guests with a like experience." </w:t>
      </w:r>
      <w:bookmarkStart w:id="3207" w:name="Bookmark_I5T7HWT92N1RP40020000400"/>
      <w:bookmarkEnd w:id="3207"/>
      <w:r>
        <w:rPr>
          <w:rFonts w:ascii="Arial" w:eastAsia="Arial" w:hAnsi="Arial" w:cs="Arial"/>
          <w:color w:val="000000"/>
          <w:sz w:val="20"/>
        </w:rPr>
        <w:t xml:space="preserve">685 F.3d at 1135. Public accommodations have "to provide disabled patrons an experience comparable to that of able-bodied patrons." </w:t>
      </w:r>
      <w:r>
        <w:rPr>
          <w:rFonts w:ascii="Arial" w:eastAsia="Arial" w:hAnsi="Arial" w:cs="Arial"/>
          <w:color w:val="000000"/>
          <w:sz w:val="20"/>
          <w:u w:val="single"/>
        </w:rPr>
        <w:t>Id.</w:t>
      </w:r>
      <w:r>
        <w:rPr>
          <w:rFonts w:ascii="Arial" w:eastAsia="Arial" w:hAnsi="Arial" w:cs="Arial"/>
          <w:color w:val="000000"/>
          <w:sz w:val="20"/>
        </w:rPr>
        <w:t xml:space="preserve"> "Facilities are not required to make any and all possible accommodations that would provide full and equal access to disabled patrons," but rather "need only make accommodations that are reasonable." </w:t>
      </w:r>
      <w:r>
        <w:rPr>
          <w:rFonts w:ascii="Arial" w:eastAsia="Arial" w:hAnsi="Arial" w:cs="Arial"/>
          <w:color w:val="000000"/>
          <w:sz w:val="20"/>
          <w:u w:val="single"/>
        </w:rPr>
        <w:t>Id.</w:t>
      </w:r>
      <w:r>
        <w:rPr>
          <w:rFonts w:ascii="Arial" w:eastAsia="Arial" w:hAnsi="Arial" w:cs="Arial"/>
          <w:color w:val="000000"/>
          <w:sz w:val="20"/>
        </w:rPr>
        <w:t xml:space="preserve"> Facilities must "help disabled guests have an experience more akin to that of nondisabled guests."</w:t>
      </w:r>
      <w:r>
        <w:rPr>
          <w:rFonts w:ascii="Arial" w:eastAsia="Arial" w:hAnsi="Arial" w:cs="Arial"/>
          <w:vertAlign w:val="superscript"/>
        </w:rPr>
        <w:footnoteReference w:customMarkFollows="1" w:id="135"/>
        <w:t>14</w:t>
      </w:r>
      <w:r>
        <w:rPr>
          <w:rFonts w:ascii="Arial" w:eastAsia="Arial" w:hAnsi="Arial" w:cs="Arial"/>
          <w:color w:val="000000"/>
          <w:sz w:val="20"/>
        </w:rPr>
        <w:t xml:space="preserve"> </w:t>
      </w:r>
      <w:r>
        <w:rPr>
          <w:rFonts w:ascii="Arial" w:eastAsia="Arial" w:hAnsi="Arial" w:cs="Arial"/>
          <w:color w:val="000000"/>
          <w:sz w:val="20"/>
          <w:u w:val="single"/>
        </w:rPr>
        <w:t>Id.</w:t>
      </w:r>
    </w:p>
    <w:p w:rsidR="00E456CD" w:rsidRDefault="00000000">
      <w:pPr>
        <w:pStyle w:val="Normal16"/>
        <w:widowControl w:val="0"/>
        <w:spacing w:before="200" w:line="260" w:lineRule="atLeast"/>
        <w:jc w:val="both"/>
      </w:pPr>
      <w:bookmarkStart w:id="3213" w:name="Bookmark_para_141"/>
      <w:bookmarkStart w:id="3214" w:name="Bookmark_I5T7HWT92SF8N70040000400"/>
      <w:bookmarkStart w:id="3215" w:name="Bookmark_I5T7HWT928T4BN0030000400"/>
      <w:bookmarkEnd w:id="3213"/>
      <w:bookmarkEnd w:id="3214"/>
      <w:bookmarkEnd w:id="3215"/>
      <w:r>
        <w:rPr>
          <w:rFonts w:ascii="Arial" w:eastAsia="Arial" w:hAnsi="Arial" w:cs="Arial"/>
          <w:color w:val="000000"/>
          <w:sz w:val="20"/>
        </w:rPr>
        <w:t xml:space="preserve">Subsequently, the Eighth Circuit in </w:t>
      </w:r>
      <w:r>
        <w:rPr>
          <w:rFonts w:ascii="Arial" w:eastAsia="Arial" w:hAnsi="Arial" w:cs="Arial"/>
          <w:color w:val="000000"/>
          <w:sz w:val="20"/>
          <w:u w:val="single"/>
        </w:rPr>
        <w:t>Argenyi</w:t>
      </w:r>
      <w:r>
        <w:rPr>
          <w:rFonts w:ascii="Arial" w:eastAsia="Arial" w:hAnsi="Arial" w:cs="Arial"/>
          <w:color w:val="000000"/>
          <w:sz w:val="20"/>
        </w:rPr>
        <w:t xml:space="preserve"> agreed with the Ninth Circuit's </w:t>
      </w:r>
      <w:r>
        <w:rPr>
          <w:rFonts w:ascii="Arial" w:eastAsia="Arial" w:hAnsi="Arial" w:cs="Arial"/>
          <w:color w:val="000000"/>
          <w:sz w:val="20"/>
          <w:u w:val="single"/>
        </w:rPr>
        <w:t>Baughman</w:t>
      </w:r>
      <w:r>
        <w:rPr>
          <w:rFonts w:ascii="Arial" w:eastAsia="Arial" w:hAnsi="Arial" w:cs="Arial"/>
          <w:color w:val="000000"/>
          <w:sz w:val="20"/>
        </w:rPr>
        <w:t xml:space="preserve"> decision that </w:t>
      </w:r>
      <w:bookmarkStart w:id="3216" w:name="Bookmark_LNHNREFclscc13_4"/>
      <w:bookmarkEnd w:id="3216"/>
      <w:r>
        <w:rPr>
          <w:rFonts w:ascii="Arial" w:eastAsia="Arial" w:hAnsi="Arial" w:cs="Arial"/>
          <w:color w:val="000000"/>
          <w:sz w:val="20"/>
        </w:rPr>
        <w:t xml:space="preserve">to comply with Title III, public accommodations should (1) "start by considering how their facilities are used by nondisabled guests," and (2) "then take reasonable steps to provide disabled guests [**75]  with a like experience." </w:t>
      </w:r>
      <w:bookmarkStart w:id="3217" w:name="Bookmark_I5T7HWT92SF8N70030000400"/>
      <w:bookmarkEnd w:id="3217"/>
      <w:r>
        <w:rPr>
          <w:rFonts w:ascii="Arial" w:eastAsia="Arial" w:hAnsi="Arial" w:cs="Arial"/>
          <w:color w:val="000000"/>
          <w:sz w:val="20"/>
          <w:u w:val="single"/>
        </w:rPr>
        <w:t>Argenyi</w:t>
      </w:r>
      <w:r>
        <w:rPr>
          <w:rFonts w:ascii="Arial" w:eastAsia="Arial" w:hAnsi="Arial" w:cs="Arial"/>
          <w:color w:val="000000"/>
          <w:sz w:val="20"/>
        </w:rPr>
        <w:t xml:space="preserve">, 703 F.3d at 449 (quoting </w:t>
      </w:r>
      <w:bookmarkStart w:id="3218" w:name="Bookmark_I5T7HWT92SF8N70050000400"/>
      <w:bookmarkEnd w:id="3218"/>
      <w:r>
        <w:rPr>
          <w:rFonts w:ascii="Arial" w:eastAsia="Arial" w:hAnsi="Arial" w:cs="Arial"/>
          <w:color w:val="000000"/>
          <w:sz w:val="20"/>
          <w:u w:val="single"/>
        </w:rPr>
        <w:t>Baughman</w:t>
      </w:r>
      <w:r>
        <w:rPr>
          <w:rFonts w:ascii="Arial" w:eastAsia="Arial" w:hAnsi="Arial" w:cs="Arial"/>
          <w:color w:val="000000"/>
          <w:sz w:val="20"/>
        </w:rPr>
        <w:t xml:space="preserve">, 685 F.3d at 1135). </w:t>
      </w:r>
      <w:bookmarkStart w:id="3219" w:name="Bookmark_I5T7HWT928T4BN0050000400"/>
      <w:bookmarkEnd w:id="3219"/>
      <w:r>
        <w:rPr>
          <w:rFonts w:ascii="Arial" w:eastAsia="Arial" w:hAnsi="Arial" w:cs="Arial"/>
          <w:color w:val="000000"/>
          <w:sz w:val="20"/>
        </w:rPr>
        <w:t xml:space="preserve">In </w:t>
      </w:r>
      <w:r>
        <w:rPr>
          <w:rFonts w:ascii="Arial" w:eastAsia="Arial" w:hAnsi="Arial" w:cs="Arial"/>
          <w:color w:val="000000"/>
          <w:sz w:val="20"/>
          <w:u w:val="single"/>
        </w:rPr>
        <w:t>Argenyi</w:t>
      </w:r>
      <w:r>
        <w:rPr>
          <w:rFonts w:ascii="Arial" w:eastAsia="Arial" w:hAnsi="Arial" w:cs="Arial"/>
          <w:color w:val="000000"/>
          <w:sz w:val="20"/>
        </w:rPr>
        <w:t xml:space="preserve">, a hearing-impaired medical student sued under both Title III and the Rehabilitation Act, requesting certain auxiliary aids and services. </w:t>
      </w:r>
      <w:bookmarkStart w:id="3220" w:name="Bookmark_I5T7HWT928T4BN0020000400"/>
      <w:bookmarkEnd w:id="3220"/>
      <w:r>
        <w:rPr>
          <w:rFonts w:ascii="Arial" w:eastAsia="Arial" w:hAnsi="Arial" w:cs="Arial"/>
          <w:color w:val="000000"/>
          <w:sz w:val="20"/>
          <w:u w:val="single"/>
        </w:rPr>
        <w:t>Id.</w:t>
      </w:r>
      <w:r>
        <w:rPr>
          <w:rFonts w:ascii="Arial" w:eastAsia="Arial" w:hAnsi="Arial" w:cs="Arial"/>
          <w:color w:val="000000"/>
          <w:sz w:val="20"/>
        </w:rPr>
        <w:t xml:space="preserve"> at 443. </w:t>
      </w:r>
      <w:bookmarkStart w:id="3221" w:name="Bookmark_I5T7HWT928T4BN0050000400_2"/>
      <w:bookmarkEnd w:id="3221"/>
      <w:r>
        <w:rPr>
          <w:rFonts w:ascii="Arial" w:eastAsia="Arial" w:hAnsi="Arial" w:cs="Arial"/>
          <w:color w:val="000000"/>
          <w:sz w:val="20"/>
        </w:rPr>
        <w:t xml:space="preserve">The district court granted summary judgment for the defendant university, concluding that the plaintiff "had not shown the accommodations he requested were 'necessary' within the meaning of the statutes" and that the university had provided "effective communication" as required by both laws. </w:t>
      </w:r>
      <w:bookmarkStart w:id="3222" w:name="Bookmark_I5T7HWT928T4BN0040000400"/>
      <w:bookmarkEnd w:id="3222"/>
      <w:r>
        <w:rPr>
          <w:rFonts w:ascii="Arial" w:eastAsia="Arial" w:hAnsi="Arial" w:cs="Arial"/>
          <w:color w:val="000000"/>
          <w:sz w:val="20"/>
          <w:u w:val="single"/>
        </w:rPr>
        <w:t>Id.</w:t>
      </w:r>
      <w:r>
        <w:rPr>
          <w:rFonts w:ascii="Arial" w:eastAsia="Arial" w:hAnsi="Arial" w:cs="Arial"/>
          <w:color w:val="000000"/>
          <w:sz w:val="20"/>
        </w:rPr>
        <w:t xml:space="preserve"> at 445-46.</w:t>
      </w:r>
    </w:p>
    <w:p w:rsidR="00E456CD" w:rsidRDefault="00000000">
      <w:pPr>
        <w:pStyle w:val="Normal16"/>
        <w:widowControl w:val="0"/>
        <w:spacing w:before="200" w:line="260" w:lineRule="atLeast"/>
        <w:jc w:val="both"/>
      </w:pPr>
      <w:bookmarkStart w:id="3223" w:name="Bookmark_para_142"/>
      <w:bookmarkStart w:id="3224" w:name="Bookmark_I5T7HWT928T4BP0020000400"/>
      <w:bookmarkStart w:id="3225" w:name="Bookmark_I5T7HWT928T4BP0040000400"/>
      <w:bookmarkStart w:id="3226" w:name="Bookmark_I5T7HWT92HM6N50010000400"/>
      <w:bookmarkEnd w:id="3223"/>
      <w:bookmarkEnd w:id="3224"/>
      <w:bookmarkEnd w:id="3225"/>
      <w:bookmarkEnd w:id="3226"/>
      <w:r>
        <w:rPr>
          <w:rFonts w:ascii="Arial" w:eastAsia="Arial" w:hAnsi="Arial" w:cs="Arial"/>
          <w:color w:val="000000"/>
          <w:sz w:val="20"/>
        </w:rPr>
        <w:t xml:space="preserve">Because it had "never determined the definition of 'necessary' under Title III," the Eighth Circuit consulted and applied the standard under the Rehabilitation Act. </w:t>
      </w:r>
      <w:bookmarkStart w:id="3227" w:name="Bookmark_I5T7HWT928T4BP0010000400"/>
      <w:bookmarkEnd w:id="3227"/>
      <w:r>
        <w:rPr>
          <w:rFonts w:ascii="Arial" w:eastAsia="Arial" w:hAnsi="Arial" w:cs="Arial"/>
          <w:color w:val="000000"/>
          <w:sz w:val="20"/>
          <w:u w:val="single"/>
        </w:rPr>
        <w:t>Id.</w:t>
      </w:r>
      <w:r>
        <w:rPr>
          <w:rFonts w:ascii="Arial" w:eastAsia="Arial" w:hAnsi="Arial" w:cs="Arial"/>
          <w:color w:val="000000"/>
          <w:sz w:val="20"/>
        </w:rPr>
        <w:t xml:space="preserve"> at 447-48. </w:t>
      </w:r>
      <w:bookmarkStart w:id="3228" w:name="Bookmark_I5T7HWT92HM6N50050000400"/>
      <w:bookmarkEnd w:id="3228"/>
      <w:r>
        <w:rPr>
          <w:rFonts w:ascii="Arial" w:eastAsia="Arial" w:hAnsi="Arial" w:cs="Arial"/>
          <w:color w:val="000000"/>
          <w:sz w:val="20"/>
        </w:rPr>
        <w:t xml:space="preserve">Ultimately, the Eighth Circuit held that </w:t>
      </w:r>
      <w:bookmarkStart w:id="3229" w:name="Bookmark_LNHNREFclscc14_3"/>
      <w:bookmarkEnd w:id="3229"/>
      <w:r>
        <w:rPr>
          <w:rFonts w:ascii="Arial" w:eastAsia="Arial" w:hAnsi="Arial" w:cs="Arial"/>
          <w:color w:val="000000"/>
          <w:sz w:val="20"/>
        </w:rPr>
        <w:t xml:space="preserve">Title III, like Section 504 of the Rehabilitation Act,  [*1295]  requires a public accommodation to provide a disabled individual with "meaningful access or an equal opportunity to gain the same benefit as his nondisabled peers." </w:t>
      </w:r>
      <w:bookmarkStart w:id="3230" w:name="Bookmark_I5T7HWT928T4BP0030000400"/>
      <w:bookmarkEnd w:id="3230"/>
      <w:r>
        <w:rPr>
          <w:rFonts w:ascii="Arial" w:eastAsia="Arial" w:hAnsi="Arial" w:cs="Arial"/>
          <w:color w:val="000000"/>
          <w:sz w:val="20"/>
          <w:u w:val="single"/>
        </w:rPr>
        <w:t>Id.</w:t>
      </w:r>
      <w:r>
        <w:rPr>
          <w:rFonts w:ascii="Arial" w:eastAsia="Arial" w:hAnsi="Arial" w:cs="Arial"/>
          <w:color w:val="000000"/>
          <w:sz w:val="20"/>
        </w:rPr>
        <w:t xml:space="preserve"> at 449. The Eighth Circuit pointed out that under a "meaningful access" standard, an entity's "aids and services 'are not required to produce the identical result or level of achievement for handicapped and nonhandicapped persons,' but they nevertheless 'must afford handicapped persons equal opportunity to [**76]  . . . gain the same benefit.'" </w:t>
      </w:r>
      <w:bookmarkStart w:id="3231" w:name="Bookmark_I5T7HWT928T4BP0050000400"/>
      <w:bookmarkEnd w:id="3231"/>
      <w:r>
        <w:rPr>
          <w:rFonts w:ascii="Arial" w:eastAsia="Arial" w:hAnsi="Arial" w:cs="Arial"/>
          <w:color w:val="000000"/>
          <w:sz w:val="20"/>
          <w:u w:val="single"/>
        </w:rPr>
        <w:t>Id.</w:t>
      </w:r>
      <w:r>
        <w:rPr>
          <w:rFonts w:ascii="Arial" w:eastAsia="Arial" w:hAnsi="Arial" w:cs="Arial"/>
          <w:color w:val="000000"/>
          <w:sz w:val="20"/>
        </w:rPr>
        <w:t xml:space="preserve"> at 449 (alteration in original) (quoting </w:t>
      </w:r>
      <w:bookmarkStart w:id="3232" w:name="Bookmark_I5T7HWT92HM6N50020000400"/>
      <w:bookmarkEnd w:id="3232"/>
      <w:r>
        <w:rPr>
          <w:rFonts w:ascii="Arial" w:eastAsia="Arial" w:hAnsi="Arial" w:cs="Arial"/>
          <w:color w:val="000000"/>
          <w:sz w:val="20"/>
          <w:u w:val="single"/>
        </w:rPr>
        <w:t>Loye v. Cty. of Dakota</w:t>
      </w:r>
      <w:r>
        <w:rPr>
          <w:rFonts w:ascii="Arial" w:eastAsia="Arial" w:hAnsi="Arial" w:cs="Arial"/>
          <w:color w:val="000000"/>
          <w:sz w:val="20"/>
        </w:rPr>
        <w:t xml:space="preserve">, 625 F.3d 494, 499 (8th Cir. 2010)). </w:t>
      </w:r>
      <w:bookmarkStart w:id="3233" w:name="Bookmark_I5T7HWT92HM6N50050000400_2"/>
      <w:bookmarkEnd w:id="3233"/>
      <w:r>
        <w:rPr>
          <w:rFonts w:ascii="Arial" w:eastAsia="Arial" w:hAnsi="Arial" w:cs="Arial"/>
          <w:color w:val="000000"/>
          <w:sz w:val="20"/>
        </w:rPr>
        <w:t xml:space="preserve">The Eighth Circuit concluded that the plaintiff's evidence created a genuine issue of fact as to whether the defendant university had denied the plaintiff "an equal opportunity to gain the same benefit from medical school as his nondisabled peers by refusing to provide his requested accommodations." </w:t>
      </w:r>
      <w:bookmarkStart w:id="3234" w:name="Bookmark_I5T7HWT92HM6N50040000400"/>
      <w:bookmarkEnd w:id="3234"/>
      <w:r>
        <w:rPr>
          <w:rFonts w:ascii="Arial" w:eastAsia="Arial" w:hAnsi="Arial" w:cs="Arial"/>
          <w:color w:val="000000"/>
          <w:sz w:val="20"/>
          <w:u w:val="single"/>
        </w:rPr>
        <w:t>Id.</w:t>
      </w:r>
      <w:r>
        <w:rPr>
          <w:rFonts w:ascii="Arial" w:eastAsia="Arial" w:hAnsi="Arial" w:cs="Arial"/>
          <w:color w:val="000000"/>
          <w:sz w:val="20"/>
        </w:rPr>
        <w:t xml:space="preserve"> at 451.</w:t>
      </w:r>
    </w:p>
    <w:p w:rsidR="00E456CD" w:rsidRDefault="00000000">
      <w:pPr>
        <w:pStyle w:val="Normal16"/>
        <w:widowControl w:val="0"/>
        <w:spacing w:before="200" w:line="260" w:lineRule="atLeast"/>
        <w:jc w:val="both"/>
      </w:pPr>
      <w:bookmarkStart w:id="3235" w:name="Bookmark_para_143"/>
      <w:bookmarkStart w:id="3236" w:name="Bookmark_I5T7HWT92HM6N60020000400"/>
      <w:bookmarkStart w:id="3237" w:name="Bookmark_I5T7HWT92D6NJ20010000400"/>
      <w:bookmarkEnd w:id="3235"/>
      <w:bookmarkEnd w:id="3236"/>
      <w:bookmarkEnd w:id="3237"/>
      <w:r>
        <w:rPr>
          <w:rFonts w:ascii="Arial" w:eastAsia="Arial" w:hAnsi="Arial" w:cs="Arial"/>
          <w:color w:val="000000"/>
          <w:sz w:val="20"/>
        </w:rPr>
        <w:t xml:space="preserve">In doing so, the Eighth Circuit in </w:t>
      </w:r>
      <w:r>
        <w:rPr>
          <w:rFonts w:ascii="Arial" w:eastAsia="Arial" w:hAnsi="Arial" w:cs="Arial"/>
          <w:color w:val="000000"/>
          <w:sz w:val="20"/>
          <w:u w:val="single"/>
        </w:rPr>
        <w:t>Argenyi</w:t>
      </w:r>
      <w:r>
        <w:rPr>
          <w:rFonts w:ascii="Arial" w:eastAsia="Arial" w:hAnsi="Arial" w:cs="Arial"/>
          <w:color w:val="000000"/>
          <w:sz w:val="20"/>
        </w:rPr>
        <w:t xml:space="preserve"> observed that our Circuit "has similarly concluded that the 'proper inquiry' under the Rehabilitation Act to determine if a hospital had provided 'necessary' auxiliary aids to a hearing impaired patient was whether the proffered aids 'gave that patient an equal opportunity to benefit from the hospital's treatment.'" </w:t>
      </w:r>
      <w:bookmarkStart w:id="3238" w:name="Bookmark_I5T7HWT92HM6N60010000400"/>
      <w:bookmarkEnd w:id="3238"/>
      <w:r>
        <w:rPr>
          <w:rFonts w:ascii="Arial" w:eastAsia="Arial" w:hAnsi="Arial" w:cs="Arial"/>
          <w:color w:val="000000"/>
          <w:sz w:val="20"/>
          <w:u w:val="single"/>
        </w:rPr>
        <w:t>Id.</w:t>
      </w:r>
      <w:r>
        <w:rPr>
          <w:rFonts w:ascii="Arial" w:eastAsia="Arial" w:hAnsi="Arial" w:cs="Arial"/>
          <w:color w:val="000000"/>
          <w:sz w:val="20"/>
        </w:rPr>
        <w:t xml:space="preserve"> at 449 (quoting </w:t>
      </w:r>
      <w:bookmarkStart w:id="3239" w:name="Bookmark_I5T7HWT92HM6N60030000400"/>
      <w:bookmarkEnd w:id="3239"/>
      <w:r>
        <w:rPr>
          <w:rFonts w:ascii="Arial" w:eastAsia="Arial" w:hAnsi="Arial" w:cs="Arial"/>
          <w:color w:val="000000"/>
          <w:sz w:val="20"/>
          <w:u w:val="single"/>
        </w:rPr>
        <w:t>Liese v. Indian River Cty. Hosp. Dist.</w:t>
      </w:r>
      <w:r>
        <w:rPr>
          <w:rFonts w:ascii="Arial" w:eastAsia="Arial" w:hAnsi="Arial" w:cs="Arial"/>
          <w:color w:val="000000"/>
          <w:sz w:val="20"/>
        </w:rPr>
        <w:t xml:space="preserve">, 701 F.3d 334, 343 (11th Cir. 2012)). Indeed, in Liese this Court observed that </w:t>
      </w:r>
      <w:bookmarkStart w:id="3240" w:name="Bookmark_LNHNREFclscc15_2"/>
      <w:bookmarkEnd w:id="3240"/>
      <w:r>
        <w:rPr>
          <w:rFonts w:ascii="Arial" w:eastAsia="Arial" w:hAnsi="Arial" w:cs="Arial"/>
          <w:color w:val="000000"/>
          <w:sz w:val="20"/>
        </w:rPr>
        <w:t xml:space="preserve">the task of determining what is "necessary" under the Rehabilitation Act is "inherently fact-intensive" and "largely depends on context." </w:t>
      </w:r>
      <w:bookmarkStart w:id="3241" w:name="Bookmark_I5T7HWT92HM6N60050000400"/>
      <w:bookmarkEnd w:id="3241"/>
      <w:r>
        <w:rPr>
          <w:rFonts w:ascii="Arial" w:eastAsia="Arial" w:hAnsi="Arial" w:cs="Arial"/>
          <w:color w:val="000000"/>
          <w:sz w:val="20"/>
          <w:u w:val="single"/>
        </w:rPr>
        <w:t>Liese</w:t>
      </w:r>
      <w:r>
        <w:rPr>
          <w:rFonts w:ascii="Arial" w:eastAsia="Arial" w:hAnsi="Arial" w:cs="Arial"/>
          <w:color w:val="000000"/>
          <w:sz w:val="20"/>
        </w:rPr>
        <w:t xml:space="preserve">, 701 F.3d at 342-43; </w:t>
      </w:r>
      <w:r>
        <w:rPr>
          <w:rFonts w:ascii="Arial" w:eastAsia="Arial" w:hAnsi="Arial" w:cs="Arial"/>
          <w:color w:val="000000"/>
          <w:sz w:val="20"/>
          <w:u w:val="single"/>
        </w:rPr>
        <w:t xml:space="preserve">see </w:t>
      </w:r>
      <w:bookmarkStart w:id="3242" w:name="Bookmark_I5T7HWT92D6NJ20020000400"/>
      <w:bookmarkEnd w:id="3242"/>
      <w:r>
        <w:rPr>
          <w:rFonts w:ascii="Arial" w:eastAsia="Arial" w:hAnsi="Arial" w:cs="Arial"/>
          <w:color w:val="000000"/>
          <w:sz w:val="20"/>
          <w:u w:val="single"/>
        </w:rPr>
        <w:t>Argenyi</w:t>
      </w:r>
      <w:r>
        <w:rPr>
          <w:rFonts w:ascii="Arial" w:eastAsia="Arial" w:hAnsi="Arial" w:cs="Arial"/>
          <w:color w:val="000000"/>
          <w:sz w:val="20"/>
        </w:rPr>
        <w:t xml:space="preserve">, 703 F.3d at 449 (quoting </w:t>
      </w:r>
      <w:bookmarkStart w:id="3243" w:name="Bookmark_I5T7HWT92D6NJ20040000400"/>
      <w:bookmarkEnd w:id="3243"/>
      <w:r>
        <w:rPr>
          <w:rFonts w:ascii="Arial" w:eastAsia="Arial" w:hAnsi="Arial" w:cs="Arial"/>
          <w:color w:val="000000"/>
          <w:sz w:val="20"/>
          <w:u w:val="single"/>
        </w:rPr>
        <w:t>Liese</w:t>
      </w:r>
      <w:r>
        <w:rPr>
          <w:rFonts w:ascii="Arial" w:eastAsia="Arial" w:hAnsi="Arial" w:cs="Arial"/>
          <w:color w:val="000000"/>
          <w:sz w:val="20"/>
        </w:rPr>
        <w:t>, 701 F.3d at 342-43).</w:t>
      </w:r>
    </w:p>
    <w:p w:rsidR="00E456CD" w:rsidRDefault="00000000">
      <w:pPr>
        <w:pStyle w:val="Normal16"/>
        <w:widowControl w:val="0"/>
        <w:spacing w:before="200" w:line="260" w:lineRule="atLeast"/>
        <w:jc w:val="both"/>
      </w:pPr>
      <w:bookmarkStart w:id="3244" w:name="Bookmark_para_144"/>
      <w:bookmarkStart w:id="3245" w:name="Bookmark_I5TK0561KKK0000BV0N0000B"/>
      <w:bookmarkStart w:id="3246" w:name="Bookmark_I5T7HWT92D6NJ30020000400"/>
      <w:bookmarkEnd w:id="3244"/>
      <w:bookmarkEnd w:id="3245"/>
      <w:bookmarkEnd w:id="3246"/>
      <w:r>
        <w:rPr>
          <w:rFonts w:ascii="Arial" w:eastAsia="Arial" w:hAnsi="Arial" w:cs="Arial"/>
          <w:color w:val="000000"/>
          <w:sz w:val="20"/>
        </w:rPr>
        <w:t xml:space="preserve">Although </w:t>
      </w:r>
      <w:bookmarkStart w:id="3247" w:name="Bookmark_I5T7HWT92D6NJ30010000400"/>
      <w:bookmarkEnd w:id="3247"/>
      <w:r>
        <w:rPr>
          <w:rFonts w:ascii="Arial" w:eastAsia="Arial" w:hAnsi="Arial" w:cs="Arial"/>
          <w:color w:val="000000"/>
          <w:sz w:val="20"/>
          <w:u w:val="single"/>
        </w:rPr>
        <w:t>Liese</w:t>
      </w:r>
      <w:r>
        <w:rPr>
          <w:rFonts w:ascii="Arial" w:eastAsia="Arial" w:hAnsi="Arial" w:cs="Arial"/>
          <w:color w:val="000000"/>
          <w:sz w:val="20"/>
        </w:rPr>
        <w:t xml:space="preserve"> was a Rehabilitation Act case, this Court recently followed </w:t>
      </w:r>
      <w:r>
        <w:rPr>
          <w:rFonts w:ascii="Arial" w:eastAsia="Arial" w:hAnsi="Arial" w:cs="Arial"/>
          <w:color w:val="000000"/>
          <w:sz w:val="20"/>
          <w:u w:val="single"/>
        </w:rPr>
        <w:t>Liese</w:t>
      </w:r>
      <w:r>
        <w:rPr>
          <w:rFonts w:ascii="Arial" w:eastAsia="Arial" w:hAnsi="Arial" w:cs="Arial"/>
          <w:color w:val="000000"/>
          <w:sz w:val="20"/>
        </w:rPr>
        <w:t xml:space="preserve"> in a lawsuit brought under both the ADA and the Rehabilitation Act. </w:t>
      </w:r>
      <w:r>
        <w:rPr>
          <w:rFonts w:ascii="Arial" w:eastAsia="Arial" w:hAnsi="Arial" w:cs="Arial"/>
          <w:color w:val="000000"/>
          <w:sz w:val="20"/>
          <w:u w:val="single"/>
        </w:rPr>
        <w:t xml:space="preserve">See </w:t>
      </w:r>
      <w:bookmarkStart w:id="3248" w:name="Bookmark_I5T7HWT92D6NJ30030000400"/>
      <w:bookmarkEnd w:id="3248"/>
      <w:r>
        <w:rPr>
          <w:rFonts w:ascii="Arial" w:eastAsia="Arial" w:hAnsi="Arial" w:cs="Arial"/>
          <w:color w:val="000000"/>
          <w:sz w:val="20"/>
          <w:u w:val="single"/>
        </w:rPr>
        <w:t>Silva v. Baptist Health S. Fla., Inc.</w:t>
      </w:r>
      <w:r>
        <w:rPr>
          <w:rFonts w:ascii="Arial" w:eastAsia="Arial" w:hAnsi="Arial" w:cs="Arial"/>
          <w:color w:val="000000"/>
          <w:sz w:val="20"/>
        </w:rPr>
        <w:t xml:space="preserve">, 856 F.3d 824, 834 (11th Cir. 2017) (citing §§ 12182(b)(1)(A)(i)-(ii), (b)(2)(A)(iii)). </w:t>
      </w:r>
      <w:bookmarkStart w:id="3249" w:name="Bookmark_I5T7HWT92N1RP50010000400"/>
      <w:bookmarkEnd w:id="3249"/>
      <w:r>
        <w:rPr>
          <w:rFonts w:ascii="Arial" w:eastAsia="Arial" w:hAnsi="Arial" w:cs="Arial"/>
          <w:color w:val="000000"/>
          <w:sz w:val="20"/>
        </w:rPr>
        <w:t xml:space="preserve">We observed in </w:t>
      </w:r>
      <w:r>
        <w:rPr>
          <w:rFonts w:ascii="Arial" w:eastAsia="Arial" w:hAnsi="Arial" w:cs="Arial"/>
          <w:color w:val="000000"/>
          <w:sz w:val="20"/>
          <w:u w:val="single"/>
        </w:rPr>
        <w:t>Silva</w:t>
      </w:r>
      <w:r>
        <w:rPr>
          <w:rFonts w:ascii="Arial" w:eastAsia="Arial" w:hAnsi="Arial" w:cs="Arial"/>
          <w:color w:val="000000"/>
          <w:sz w:val="20"/>
        </w:rPr>
        <w:t xml:space="preserve"> that </w:t>
      </w:r>
      <w:bookmarkStart w:id="3250" w:name="Bookmark_LNHNREFclscc16_2"/>
      <w:bookmarkEnd w:id="3250"/>
      <w:r>
        <w:rPr>
          <w:rFonts w:ascii="Arial" w:eastAsia="Arial" w:hAnsi="Arial" w:cs="Arial"/>
          <w:color w:val="000000"/>
          <w:sz w:val="20"/>
        </w:rPr>
        <w:t xml:space="preserve">the ADA and the Rehabilitation Act both focus on equal opportunity [**77]  to participate in or benefit from the defendant's goods and services. </w:t>
      </w:r>
      <w:bookmarkStart w:id="3251" w:name="Bookmark_I5T7HWT92N1RP50010000400_2"/>
      <w:bookmarkEnd w:id="3251"/>
      <w:r>
        <w:rPr>
          <w:rFonts w:ascii="Arial" w:eastAsia="Arial" w:hAnsi="Arial" w:cs="Arial"/>
          <w:color w:val="000000"/>
          <w:sz w:val="20"/>
          <w:u w:val="single"/>
        </w:rPr>
        <w:t>Id.</w:t>
      </w:r>
      <w:r>
        <w:rPr>
          <w:rFonts w:ascii="Arial" w:eastAsia="Arial" w:hAnsi="Arial" w:cs="Arial"/>
          <w:color w:val="000000"/>
          <w:sz w:val="20"/>
        </w:rPr>
        <w:t xml:space="preserve"> Reversing the district court's grant of summary judgment for the defendant, this Court concluded that whether the requested auxiliary aids for a hearing-impaired plaintiff were necessary was an "inherently fact-intensive" inquiry. </w:t>
      </w:r>
      <w:bookmarkStart w:id="3252" w:name="Bookmark_I5T7HWT92D6NJ30050000400"/>
      <w:bookmarkEnd w:id="3252"/>
      <w:r>
        <w:rPr>
          <w:rFonts w:ascii="Arial" w:eastAsia="Arial" w:hAnsi="Arial" w:cs="Arial"/>
          <w:color w:val="000000"/>
          <w:sz w:val="20"/>
          <w:u w:val="single"/>
        </w:rPr>
        <w:t>Id.</w:t>
      </w:r>
      <w:r>
        <w:rPr>
          <w:rFonts w:ascii="Arial" w:eastAsia="Arial" w:hAnsi="Arial" w:cs="Arial"/>
          <w:color w:val="000000"/>
          <w:sz w:val="20"/>
        </w:rPr>
        <w:t xml:space="preserve"> at 836 (quoting </w:t>
      </w:r>
      <w:bookmarkStart w:id="3253" w:name="Bookmark_I5T7HWT92N1RP50020000400"/>
      <w:bookmarkEnd w:id="3253"/>
      <w:r>
        <w:rPr>
          <w:rFonts w:ascii="Arial" w:eastAsia="Arial" w:hAnsi="Arial" w:cs="Arial"/>
          <w:color w:val="000000"/>
          <w:sz w:val="20"/>
        </w:rPr>
        <w:t xml:space="preserve">Liese, 701 F.3d at 342); </w:t>
      </w:r>
      <w:r>
        <w:rPr>
          <w:rFonts w:ascii="Arial" w:eastAsia="Arial" w:hAnsi="Arial" w:cs="Arial"/>
          <w:color w:val="000000"/>
          <w:sz w:val="20"/>
          <w:u w:val="single"/>
        </w:rPr>
        <w:t xml:space="preserve">see also </w:t>
      </w:r>
      <w:bookmarkStart w:id="3254" w:name="Bookmark_I5T7HWT92N1RP50040000400"/>
      <w:bookmarkEnd w:id="3254"/>
      <w:r>
        <w:rPr>
          <w:rFonts w:ascii="Arial" w:eastAsia="Arial" w:hAnsi="Arial" w:cs="Arial"/>
          <w:color w:val="000000"/>
          <w:sz w:val="20"/>
          <w:u w:val="single"/>
        </w:rPr>
        <w:t>Crane v. Lifemark Hosps., Inc.</w:t>
      </w:r>
      <w:r>
        <w:rPr>
          <w:rFonts w:ascii="Arial" w:eastAsia="Arial" w:hAnsi="Arial" w:cs="Arial"/>
          <w:color w:val="000000"/>
          <w:sz w:val="20"/>
        </w:rPr>
        <w:t xml:space="preserve">, 898 F.3d 1130, 1134, 2018 U.S. App. LEXIS 21465, 2018 WL 3654427, at *3 (11th Cir. 2018) (quoting </w:t>
      </w:r>
      <w:bookmarkStart w:id="3255" w:name="Bookmark_I5T7HWT92N1RP60010000400"/>
      <w:bookmarkEnd w:id="3255"/>
      <w:r>
        <w:rPr>
          <w:rFonts w:ascii="Arial" w:eastAsia="Arial" w:hAnsi="Arial" w:cs="Arial"/>
          <w:color w:val="000000"/>
          <w:sz w:val="20"/>
          <w:u w:val="single"/>
        </w:rPr>
        <w:t>Silva</w:t>
      </w:r>
      <w:r>
        <w:rPr>
          <w:rFonts w:ascii="Arial" w:eastAsia="Arial" w:hAnsi="Arial" w:cs="Arial"/>
          <w:color w:val="000000"/>
          <w:sz w:val="20"/>
        </w:rPr>
        <w:t>, 856 F.3d at 835-36) (noting that the "standard inquiry" of necessity is the same under the ADA and Rehabilitation Act).</w:t>
      </w:r>
    </w:p>
    <w:p w:rsidR="00E456CD" w:rsidRDefault="00000000">
      <w:pPr>
        <w:pStyle w:val="Normal16"/>
        <w:widowControl w:val="0"/>
        <w:spacing w:before="200" w:line="260" w:lineRule="atLeast"/>
        <w:jc w:val="both"/>
      </w:pPr>
      <w:bookmarkStart w:id="3256" w:name="Bookmark_para_145"/>
      <w:bookmarkStart w:id="3257" w:name="Bookmark_I5TK0561GGP0000BV0N00008"/>
      <w:bookmarkStart w:id="3258" w:name="Bookmark_I5TK0561J2H0000BV0N00009"/>
      <w:bookmarkStart w:id="3259" w:name="Bookmark_I5T7HWT92N1RP60040000400"/>
      <w:bookmarkStart w:id="3260" w:name="Bookmark_I5T7HWT92SF8N80030000400"/>
      <w:bookmarkEnd w:id="3256"/>
      <w:bookmarkEnd w:id="3257"/>
      <w:bookmarkEnd w:id="3258"/>
      <w:bookmarkEnd w:id="3259"/>
      <w:bookmarkEnd w:id="3260"/>
      <w:r>
        <w:rPr>
          <w:rFonts w:ascii="Arial" w:eastAsia="Arial" w:hAnsi="Arial" w:cs="Arial"/>
          <w:color w:val="000000"/>
          <w:sz w:val="20"/>
        </w:rPr>
        <w:t xml:space="preserve">The </w:t>
      </w:r>
      <w:r>
        <w:rPr>
          <w:rFonts w:ascii="Arial" w:eastAsia="Arial" w:hAnsi="Arial" w:cs="Arial"/>
          <w:color w:val="000000"/>
          <w:sz w:val="20"/>
          <w:u w:val="single"/>
        </w:rPr>
        <w:t>Silva</w:t>
      </w:r>
      <w:r>
        <w:rPr>
          <w:rFonts w:ascii="Arial" w:eastAsia="Arial" w:hAnsi="Arial" w:cs="Arial"/>
          <w:color w:val="000000"/>
          <w:sz w:val="20"/>
        </w:rPr>
        <w:t xml:space="preserve"> Court added that "[n]onetheless, this does not mean that every request for an auxiliary aid that is not granted precludes summary judgment or creates liability." </w:t>
      </w:r>
      <w:bookmarkStart w:id="3261" w:name="Bookmark_I5T7HWT92N1RP60030000400"/>
      <w:bookmarkEnd w:id="3261"/>
      <w:r>
        <w:rPr>
          <w:rFonts w:ascii="Arial" w:eastAsia="Arial" w:hAnsi="Arial" w:cs="Arial"/>
          <w:color w:val="000000"/>
          <w:sz w:val="20"/>
          <w:u w:val="single"/>
        </w:rPr>
        <w:t>Silva</w:t>
      </w:r>
      <w:r>
        <w:rPr>
          <w:rFonts w:ascii="Arial" w:eastAsia="Arial" w:hAnsi="Arial" w:cs="Arial"/>
          <w:color w:val="000000"/>
          <w:sz w:val="20"/>
        </w:rPr>
        <w:t xml:space="preserve">, 856 F.3d at 836 (quoting </w:t>
      </w:r>
      <w:bookmarkStart w:id="3262" w:name="Bookmark_I5T7HWT92N1RP60050000400"/>
      <w:bookmarkEnd w:id="3262"/>
      <w:r>
        <w:rPr>
          <w:rFonts w:ascii="Arial" w:eastAsia="Arial" w:hAnsi="Arial" w:cs="Arial"/>
          <w:color w:val="000000"/>
          <w:sz w:val="20"/>
          <w:u w:val="single"/>
        </w:rPr>
        <w:t>Liese</w:t>
      </w:r>
      <w:r>
        <w:rPr>
          <w:rFonts w:ascii="Arial" w:eastAsia="Arial" w:hAnsi="Arial" w:cs="Arial"/>
          <w:color w:val="000000"/>
          <w:sz w:val="20"/>
        </w:rPr>
        <w:t xml:space="preserve">, 701 F.3d at 343). With that in mind, this Court proceeded "to evaluate the record evidence pertaining to whether there are disputed issues of material fact regarding Plaintiffs' claimed impairments in their ability to exchange medically relevant information with Defendants' hospital staff." </w:t>
      </w:r>
      <w:r>
        <w:rPr>
          <w:rFonts w:ascii="Arial" w:eastAsia="Arial" w:hAnsi="Arial" w:cs="Arial"/>
          <w:color w:val="000000"/>
          <w:sz w:val="20"/>
          <w:u w:val="single"/>
        </w:rPr>
        <w:t>Id.</w:t>
      </w:r>
      <w:r>
        <w:rPr>
          <w:rFonts w:ascii="Arial" w:eastAsia="Arial" w:hAnsi="Arial" w:cs="Arial"/>
          <w:color w:val="000000"/>
          <w:sz w:val="20"/>
        </w:rPr>
        <w:t xml:space="preserve"> Reversing the grant of summary judgment, we concluded that plaintiffs presented sufficient evidence to create a fact issue on whether they were denied the auxiliary aids "necessary to ensure that a deaf patient was not impaired in exchanging medically relevant information with hospital staff," with [**78]  a "</w:t>
      </w:r>
      <w:r>
        <w:rPr>
          <w:rFonts w:ascii="Arial" w:eastAsia="Arial" w:hAnsi="Arial" w:cs="Arial"/>
          <w:color w:val="000000"/>
          <w:sz w:val="20"/>
          <w:u w:val="single"/>
        </w:rPr>
        <w:t>level of communication</w:t>
      </w:r>
      <w:r>
        <w:rPr>
          <w:rFonts w:ascii="Arial" w:eastAsia="Arial" w:hAnsi="Arial" w:cs="Arial"/>
          <w:color w:val="000000"/>
          <w:sz w:val="20"/>
        </w:rPr>
        <w:t xml:space="preserve"> . . . that is substantially equal to that afforded to non-disabled patients." </w:t>
      </w:r>
      <w:bookmarkStart w:id="3263" w:name="Bookmark_I5T7HWT92SF8N80020000400"/>
      <w:bookmarkEnd w:id="3263"/>
      <w:r>
        <w:rPr>
          <w:rFonts w:ascii="Arial" w:eastAsia="Arial" w:hAnsi="Arial" w:cs="Arial"/>
          <w:color w:val="000000"/>
          <w:sz w:val="20"/>
          <w:u w:val="single"/>
        </w:rPr>
        <w:t>Id.</w:t>
      </w:r>
      <w:r>
        <w:rPr>
          <w:rFonts w:ascii="Arial" w:eastAsia="Arial" w:hAnsi="Arial" w:cs="Arial"/>
          <w:color w:val="000000"/>
          <w:sz w:val="20"/>
        </w:rPr>
        <w:t xml:space="preserve"> at 831, 835.</w:t>
      </w:r>
    </w:p>
    <w:p w:rsidR="00E456CD" w:rsidRDefault="00000000">
      <w:pPr>
        <w:pStyle w:val="Normal16"/>
        <w:widowControl w:val="0"/>
        <w:spacing w:before="200" w:line="260" w:lineRule="atLeast"/>
        <w:jc w:val="both"/>
      </w:pPr>
      <w:bookmarkStart w:id="3264" w:name="Bookmark_para_146"/>
      <w:bookmarkEnd w:id="3264"/>
      <w:r>
        <w:rPr>
          <w:rFonts w:ascii="Arial" w:eastAsia="Arial" w:hAnsi="Arial" w:cs="Arial"/>
          <w:color w:val="000000"/>
          <w:sz w:val="20"/>
        </w:rPr>
        <w:t>With this background, we examine the district court's summary-judgment conclusion  [*1296]  that, as a matter of law, plaintiffs did not show that modifications beyond the DAS Card were "necessary" under § 12182(b)(2)(A)(ii).</w:t>
      </w:r>
    </w:p>
    <w:p w:rsidR="00E456CD" w:rsidRDefault="00000000">
      <w:pPr>
        <w:pStyle w:val="Normal16"/>
        <w:widowControl w:val="0"/>
        <w:spacing w:before="240" w:line="260" w:lineRule="atLeast"/>
      </w:pPr>
      <w:r>
        <w:br/>
      </w:r>
      <w:r>
        <w:rPr>
          <w:rFonts w:ascii="Arial" w:eastAsia="Arial" w:hAnsi="Arial" w:cs="Arial"/>
          <w:b/>
          <w:color w:val="000000"/>
          <w:sz w:val="20"/>
        </w:rPr>
        <w:t>F. Analysis of "Necessary"</w:t>
      </w:r>
    </w:p>
    <w:p w:rsidR="00E456CD" w:rsidRDefault="00000000">
      <w:pPr>
        <w:pStyle w:val="Normal16"/>
        <w:widowControl w:val="0"/>
        <w:spacing w:before="200" w:line="260" w:lineRule="atLeast"/>
        <w:jc w:val="both"/>
      </w:pPr>
      <w:bookmarkStart w:id="3265" w:name="Bookmark_para_147"/>
      <w:bookmarkStart w:id="3266" w:name="Bookmark_I5T7HWT92SF8N80050000400"/>
      <w:bookmarkEnd w:id="3265"/>
      <w:bookmarkEnd w:id="3266"/>
      <w:r>
        <w:rPr>
          <w:rFonts w:ascii="Arial" w:eastAsia="Arial" w:hAnsi="Arial" w:cs="Arial"/>
          <w:color w:val="000000"/>
          <w:sz w:val="20"/>
        </w:rPr>
        <w:t xml:space="preserve">We first agree with our sister circuits that public accommodations must start by considering how their facilities are used by nondisabled guests and then must take reasonable steps to provide disabled guests with a "like experience." </w:t>
      </w:r>
      <w:bookmarkStart w:id="3267" w:name="Bookmark_I5T7HWT92SF8N80040000400"/>
      <w:bookmarkEnd w:id="3267"/>
      <w:r>
        <w:rPr>
          <w:rFonts w:ascii="Arial" w:eastAsia="Arial" w:hAnsi="Arial" w:cs="Arial"/>
          <w:color w:val="000000"/>
          <w:sz w:val="20"/>
          <w:u w:val="single"/>
        </w:rPr>
        <w:t>Argenyi</w:t>
      </w:r>
      <w:r>
        <w:rPr>
          <w:rFonts w:ascii="Arial" w:eastAsia="Arial" w:hAnsi="Arial" w:cs="Arial"/>
          <w:color w:val="000000"/>
          <w:sz w:val="20"/>
        </w:rPr>
        <w:t xml:space="preserve">, 703 F.3d at 449; </w:t>
      </w:r>
      <w:bookmarkStart w:id="3268" w:name="Bookmark_I5T7HWT92SF8N90010000400"/>
      <w:bookmarkEnd w:id="3268"/>
      <w:r>
        <w:rPr>
          <w:rFonts w:ascii="Arial" w:eastAsia="Arial" w:hAnsi="Arial" w:cs="Arial"/>
          <w:color w:val="000000"/>
          <w:sz w:val="20"/>
          <w:u w:val="single"/>
        </w:rPr>
        <w:t>Baughman</w:t>
      </w:r>
      <w:r>
        <w:rPr>
          <w:rFonts w:ascii="Arial" w:eastAsia="Arial" w:hAnsi="Arial" w:cs="Arial"/>
          <w:color w:val="000000"/>
          <w:sz w:val="20"/>
        </w:rPr>
        <w:t>, 685 F.3d at 1135. In its analysis of necessary modifications, the district court correctly considered two factors: (1) how nondisabled guests use Disney's facilities; and (2) whether its DAS Card provides disabled guests with a like experience and equal enjoyment.</w:t>
      </w:r>
    </w:p>
    <w:p w:rsidR="00E456CD" w:rsidRDefault="00000000">
      <w:pPr>
        <w:pStyle w:val="Normal16"/>
        <w:widowControl w:val="0"/>
        <w:spacing w:before="200" w:line="260" w:lineRule="atLeast"/>
        <w:jc w:val="both"/>
      </w:pPr>
      <w:bookmarkStart w:id="3269" w:name="Bookmark_para_148"/>
      <w:bookmarkEnd w:id="3269"/>
      <w:r>
        <w:rPr>
          <w:rFonts w:ascii="Arial" w:eastAsia="Arial" w:hAnsi="Arial" w:cs="Arial"/>
          <w:color w:val="000000"/>
          <w:sz w:val="20"/>
        </w:rPr>
        <w:t xml:space="preserve">As to the first factor, we have described above in great detail how nondisabled guests access and use rides in Disney's parks. We conclude there is Case: 16-12647 Date Filed: 08/17/2018 Page: 54 of 65 no material fact issue as to that process or part of the district court's analysis. All nondisabled guests must plan ahead in order to reserve FastPass+ times and can obtain only three FastPass+ [**79]  reservations in advance. Nondisabled guests </w:t>
      </w:r>
      <w:r>
        <w:rPr>
          <w:rFonts w:ascii="Arial" w:eastAsia="Arial" w:hAnsi="Arial" w:cs="Arial"/>
          <w:color w:val="000000"/>
          <w:sz w:val="20"/>
          <w:u w:val="single"/>
        </w:rPr>
        <w:t>without</w:t>
      </w:r>
      <w:r>
        <w:rPr>
          <w:rFonts w:ascii="Arial" w:eastAsia="Arial" w:hAnsi="Arial" w:cs="Arial"/>
          <w:color w:val="000000"/>
          <w:sz w:val="20"/>
        </w:rPr>
        <w:t xml:space="preserve"> a DAS Card will inevitably have to wait to experience other rides at Disney's parks. For the most popular rides, nondisabled guests often must endure wait times of over an hour and must stand all together in a physical line.</w:t>
      </w:r>
    </w:p>
    <w:p w:rsidR="00E456CD" w:rsidRDefault="00000000">
      <w:pPr>
        <w:pStyle w:val="Normal16"/>
        <w:widowControl w:val="0"/>
        <w:spacing w:before="200" w:line="260" w:lineRule="atLeast"/>
        <w:jc w:val="both"/>
      </w:pPr>
      <w:bookmarkStart w:id="3270" w:name="Bookmark_para_149"/>
      <w:bookmarkStart w:id="3271" w:name="Bookmark_I5T7HWT92SF8N90040000400"/>
      <w:bookmarkEnd w:id="3270"/>
      <w:bookmarkEnd w:id="3271"/>
      <w:r>
        <w:rPr>
          <w:rFonts w:ascii="Arial" w:eastAsia="Arial" w:hAnsi="Arial" w:cs="Arial"/>
          <w:color w:val="000000"/>
          <w:sz w:val="20"/>
        </w:rPr>
        <w:t xml:space="preserve">As to the second factor, we must evaluate if the DAS program afforded the severely disabled plaintiffs a like experience and equal enjoyment. "Meaningful access" gives plaintiffs the opportunity to have something akin to or similar to the experience other people enjoy at Disney's park. </w:t>
      </w:r>
      <w:r>
        <w:rPr>
          <w:rFonts w:ascii="Arial" w:eastAsia="Arial" w:hAnsi="Arial" w:cs="Arial"/>
          <w:color w:val="000000"/>
          <w:sz w:val="20"/>
          <w:u w:val="single"/>
        </w:rPr>
        <w:t xml:space="preserve">See </w:t>
      </w:r>
      <w:bookmarkStart w:id="3272" w:name="Bookmark_I5T7HWT92SF8N90030000400"/>
      <w:bookmarkEnd w:id="3272"/>
      <w:r>
        <w:rPr>
          <w:rFonts w:ascii="Arial" w:eastAsia="Arial" w:hAnsi="Arial" w:cs="Arial"/>
          <w:color w:val="000000"/>
          <w:sz w:val="20"/>
          <w:u w:val="single"/>
        </w:rPr>
        <w:t>Argenyi</w:t>
      </w:r>
      <w:r>
        <w:rPr>
          <w:rFonts w:ascii="Arial" w:eastAsia="Arial" w:hAnsi="Arial" w:cs="Arial"/>
          <w:color w:val="000000"/>
          <w:sz w:val="20"/>
        </w:rPr>
        <w:t xml:space="preserve">, 703 F.3d at 449. </w:t>
      </w:r>
      <w:bookmarkStart w:id="3273" w:name="Bookmark_I5T7HWT928T4BR0010000400"/>
      <w:bookmarkEnd w:id="3273"/>
      <w:r>
        <w:rPr>
          <w:rFonts w:ascii="Arial" w:eastAsia="Arial" w:hAnsi="Arial" w:cs="Arial"/>
          <w:color w:val="000000"/>
          <w:sz w:val="20"/>
        </w:rPr>
        <w:t xml:space="preserve">Because nondisabled guests must plan as well, Disney's asking parents of disabled guests to do so is reasonable and not illegal. </w:t>
      </w:r>
      <w:bookmarkStart w:id="3274" w:name="Bookmark_I5T7HWT928T4BR0010000400_2"/>
      <w:bookmarkEnd w:id="3274"/>
      <w:r>
        <w:rPr>
          <w:rFonts w:ascii="Arial" w:eastAsia="Arial" w:hAnsi="Arial" w:cs="Arial"/>
          <w:color w:val="000000"/>
          <w:sz w:val="20"/>
        </w:rPr>
        <w:t xml:space="preserve">Further, </w:t>
      </w:r>
      <w:bookmarkStart w:id="3275" w:name="Bookmark_LNHNREFclscc17_1"/>
      <w:bookmarkEnd w:id="3275"/>
      <w:r>
        <w:rPr>
          <w:rFonts w:ascii="Arial" w:eastAsia="Arial" w:hAnsi="Arial" w:cs="Arial"/>
          <w:color w:val="000000"/>
          <w:sz w:val="20"/>
        </w:rPr>
        <w:t xml:space="preserve">facilities are not required to make the preferred accommodation of plaintiffs' choice. </w:t>
      </w:r>
      <w:r>
        <w:rPr>
          <w:rFonts w:ascii="Arial" w:eastAsia="Arial" w:hAnsi="Arial" w:cs="Arial"/>
          <w:color w:val="000000"/>
          <w:sz w:val="20"/>
          <w:u w:val="single"/>
        </w:rPr>
        <w:t xml:space="preserve">See </w:t>
      </w:r>
      <w:bookmarkStart w:id="3276" w:name="Bookmark_I5T7HWT92SF8N90050000400"/>
      <w:bookmarkEnd w:id="3276"/>
      <w:r>
        <w:rPr>
          <w:rFonts w:ascii="Arial" w:eastAsia="Arial" w:hAnsi="Arial" w:cs="Arial"/>
          <w:color w:val="000000"/>
          <w:sz w:val="20"/>
          <w:u w:val="single"/>
        </w:rPr>
        <w:t>Stewart v. Happy Herman's Cheshire Bridge, Inc.</w:t>
      </w:r>
      <w:r>
        <w:rPr>
          <w:rFonts w:ascii="Arial" w:eastAsia="Arial" w:hAnsi="Arial" w:cs="Arial"/>
          <w:color w:val="000000"/>
          <w:sz w:val="20"/>
        </w:rPr>
        <w:t>, 117 F.3d 1278, 1285-86 (11th Cir. 1997). Facilities need make only reasonable accommodations that are "necessary." 42 U.S.C. § 12182(b)(2)(A)(ii). It is not enough to show that the DAS Card does not eliminate all discomfort or difficulty.</w:t>
      </w:r>
    </w:p>
    <w:p w:rsidR="00E456CD" w:rsidRDefault="00000000">
      <w:pPr>
        <w:pStyle w:val="Normal16"/>
        <w:widowControl w:val="0"/>
        <w:spacing w:before="200" w:line="260" w:lineRule="atLeast"/>
        <w:jc w:val="both"/>
      </w:pPr>
      <w:bookmarkStart w:id="3277" w:name="Bookmark_para_150"/>
      <w:bookmarkEnd w:id="3277"/>
      <w:r>
        <w:rPr>
          <w:rFonts w:ascii="Arial" w:eastAsia="Arial" w:hAnsi="Arial" w:cs="Arial"/>
          <w:color w:val="000000"/>
          <w:sz w:val="20"/>
        </w:rPr>
        <w:t>Here, as shown above, disabled guests can obtain not only three advance FastPass+ reservations but also a DAS Card "return time" for a fourth ride at Guest Relations at the beginning of the day. Then, after each subsequent DAS Card ride, [**80]  disabled guests can obtain one more DAS Card "return time" for a popular ride, all without waiting in a physical line. The district court aptly observed that, compared to nondisabled guests, disabled guests with a DAS Card can "access those same rides in a fraction of the time" and without standing in line, which results in a "similar, or better, experience as those not needing accommodation." So far, so good in the district court's ruling.</w:t>
      </w:r>
    </w:p>
    <w:p w:rsidR="00E456CD" w:rsidRDefault="00000000">
      <w:pPr>
        <w:pStyle w:val="Normal16"/>
        <w:widowControl w:val="0"/>
        <w:spacing w:before="200" w:line="260" w:lineRule="atLeast"/>
        <w:jc w:val="both"/>
      </w:pPr>
      <w:bookmarkStart w:id="3278" w:name="Bookmark_para_151"/>
      <w:bookmarkEnd w:id="3278"/>
      <w:r>
        <w:rPr>
          <w:rFonts w:ascii="Arial" w:eastAsia="Arial" w:hAnsi="Arial" w:cs="Arial"/>
          <w:color w:val="000000"/>
          <w:sz w:val="20"/>
        </w:rPr>
        <w:t>Although the DAS Card is a significant benefit, we conclude that factual disputes still exist about behavioral features of plaintiffs' impairments that make it more difficult to evaluate whether the DAS program provides a like experience. Plaintiffs' evidence posits that waiting for rides in the over-stimulated environment of a theme park, even virtually with the DAS Card, is beyond the capacity of plaintiffs given the specific and severe nature of their disabilities. Plaintiffs' expert and lay evidence indicates that specific neurologically-based  [*1297]  manifestations of plaintiffs' disabilities are: (1) that they have no concept of time, cannot defer gratification, and cannot wait for rides; and (2) that they must adhere to routine, visit the same ride [**81]  repeatedly, and visit rides in the same order as in prior park visits. Plaintiffs' evidence indicates that prompt and pre-set access to rides is "necessary" to prevent meltdowns and afford them an equal experience at and enjoyment of Disney's parks. Plaintiffs explain that the DAS Card addresses only where they must wait, not that they must wait.</w:t>
      </w:r>
    </w:p>
    <w:p w:rsidR="00E456CD" w:rsidRDefault="00000000">
      <w:pPr>
        <w:pStyle w:val="Normal16"/>
        <w:widowControl w:val="0"/>
        <w:spacing w:before="200" w:line="260" w:lineRule="atLeast"/>
        <w:jc w:val="both"/>
      </w:pPr>
      <w:bookmarkStart w:id="3279" w:name="Bookmark_para_152"/>
      <w:bookmarkEnd w:id="3279"/>
      <w:r>
        <w:rPr>
          <w:rFonts w:ascii="Arial" w:eastAsia="Arial" w:hAnsi="Arial" w:cs="Arial"/>
          <w:color w:val="000000"/>
          <w:sz w:val="20"/>
        </w:rPr>
        <w:t>Each parent filed a declaration detailing his or her child's disabilities and special needs, including the inability to endure temporal waits and disruptions of routine. According to plaintiffs' evidence, their children with severe autism cannot comprehend the concept of time, which is the fundamental aspect of understanding that waiting in the present will produce something positive in the future. The claimed disability is waiting at all. Disney's DAS program accommodates the need to avoid physical lines, but not the need to avoid waits. It addresses the geographic burden but not the temporal one. Plaintiffs still must wait.</w:t>
      </w:r>
    </w:p>
    <w:p w:rsidR="00E456CD" w:rsidRDefault="00000000">
      <w:pPr>
        <w:pStyle w:val="Normal16"/>
        <w:widowControl w:val="0"/>
        <w:spacing w:before="200" w:line="260" w:lineRule="atLeast"/>
        <w:jc w:val="both"/>
      </w:pPr>
      <w:bookmarkStart w:id="3280" w:name="Bookmark_para_153"/>
      <w:bookmarkEnd w:id="3280"/>
      <w:r>
        <w:rPr>
          <w:rFonts w:ascii="Arial" w:eastAsia="Arial" w:hAnsi="Arial" w:cs="Arial"/>
          <w:color w:val="000000"/>
          <w:sz w:val="20"/>
        </w:rPr>
        <w:t>We recognize the district court relied on the fact that plaintiffs have waited in cars or airplanes for many hours until they get to their travel destinations. Disney's evidence does show that all plaintiffs have taken [**82]  trips by car or plane to reach theme parks, cruise ships, or other destinations, and that their parents have managed their autistic children waiting in a car or plane during significant travel time. Disney submits the gratification from these trips—reaching the desired destination—was delayed significantly and not instant. Disney argues that living in society requires waiting in cars, on planes, and in a myriad of other places, such as schools, medical offices, and restaurants. That view is supported by Disney's evidence.</w:t>
      </w:r>
    </w:p>
    <w:p w:rsidR="00E456CD" w:rsidRDefault="00000000">
      <w:pPr>
        <w:pStyle w:val="Normal16"/>
        <w:widowControl w:val="0"/>
        <w:spacing w:before="200" w:line="260" w:lineRule="atLeast"/>
        <w:jc w:val="both"/>
      </w:pPr>
      <w:bookmarkStart w:id="3281" w:name="Bookmark_para_154"/>
      <w:bookmarkEnd w:id="3281"/>
      <w:r>
        <w:rPr>
          <w:rFonts w:ascii="Arial" w:eastAsia="Arial" w:hAnsi="Arial" w:cs="Arial"/>
          <w:color w:val="000000"/>
          <w:sz w:val="20"/>
        </w:rPr>
        <w:t>Nonetheless, plaintiffs presented conflicting evidence as to this behavioral aspect of their disabilities. The testimony of plaintiffs' parents is that all environments are not identical, and managing a severely autistic child inside a car is materially different than in a chaotic theme park. According to plaintiffs' evidence, tolerance for travel by car or plane is not equivalent to tolerance for wait time in an amusement park. While plaintiffs' abilities to wait in a car or plane is relevant evidence, it is not dispositive as to whether, once inside a theme park with strong stimuli of all kinds, plaintiffs can wait virtually for their pre-set, routine rides. The [**83]  DAS Card does allow disabled guests to avoid the crowded and constrained conditions that exist when standing in line for a ride. But Disney theme parks are high-commotion environments and plaintiffs must virtually wait therein.</w:t>
      </w:r>
    </w:p>
    <w:p w:rsidR="00E456CD" w:rsidRDefault="00000000">
      <w:pPr>
        <w:pStyle w:val="Normal16"/>
        <w:widowControl w:val="0"/>
        <w:spacing w:before="200" w:line="260" w:lineRule="atLeast"/>
        <w:jc w:val="both"/>
      </w:pPr>
      <w:bookmarkStart w:id="3282" w:name="Bookmark_para_155"/>
      <w:bookmarkEnd w:id="3282"/>
      <w:r>
        <w:rPr>
          <w:rFonts w:ascii="Arial" w:eastAsia="Arial" w:hAnsi="Arial" w:cs="Arial"/>
          <w:color w:val="000000"/>
          <w:sz w:val="20"/>
        </w:rPr>
        <w:t>In response, Disney's experts submit that, while plaintiffs wait virtually for a popular ride and their guaranteed "return time," they (even without comprehending any concept of time) are not idle and can enjoy other rides, parades, concerts, characters, restaurants, stores, and attractions, all of which have no wait. The record, however, creates factual issues about whether plaintiffs are able to transition to other activities without meltdowns or other behavioral challenges when they cannot access rides in their already-fixed routine orders or cannot access the same ride repeatedly.</w:t>
      </w:r>
    </w:p>
    <w:p w:rsidR="00E456CD" w:rsidRDefault="00000000">
      <w:pPr>
        <w:pStyle w:val="Normal16"/>
        <w:widowControl w:val="0"/>
        <w:spacing w:before="200" w:line="260" w:lineRule="atLeast"/>
        <w:jc w:val="both"/>
      </w:pPr>
      <w:bookmarkStart w:id="3283" w:name="Bookmark_para_156"/>
      <w:bookmarkEnd w:id="3283"/>
      <w:r>
        <w:rPr>
          <w:rFonts w:ascii="Arial" w:eastAsia="Arial" w:hAnsi="Arial" w:cs="Arial"/>
          <w:color w:val="000000"/>
          <w:sz w:val="20"/>
        </w:rPr>
        <w:t>In the light most favorable to plaintiffs, we conclude that genuine issues of material fact exist about these two aspects of  [*1298]  plaintiffs' disabilities that preclude summary judgment on the necessary-modification inquiry. To determine what is "necessary" requires multiple fact findings regarding these two disputed behavioral characteristics of plaintiffs' disabilities. Until those [**84]  fact findings are made in a bench trial, it cannot be determined what is or is not necessary under the ADA. The DAS Card, as good as it may be, still fails to address plaintiffs' alleged impairments of the inability to wait virtually for rides and the need to adhere to a routine order of rides or repeat rides. Because factual disputes exist as to those impairments, we must reverse the grant of summary judgment in favor of Disney on the necessary-modification inquiry.</w:t>
      </w:r>
    </w:p>
    <w:p w:rsidR="00E456CD" w:rsidRDefault="00000000">
      <w:pPr>
        <w:pStyle w:val="Normal16"/>
        <w:widowControl w:val="0"/>
        <w:spacing w:before="240" w:line="260" w:lineRule="atLeast"/>
      </w:pPr>
      <w:r>
        <w:br/>
      </w:r>
      <w:r>
        <w:rPr>
          <w:rFonts w:ascii="Arial" w:eastAsia="Arial" w:hAnsi="Arial" w:cs="Arial"/>
          <w:b/>
          <w:color w:val="000000"/>
          <w:sz w:val="20"/>
        </w:rPr>
        <w:t>G. Reasonableness and Fundamental Alteration</w:t>
      </w:r>
    </w:p>
    <w:p w:rsidR="00E456CD" w:rsidRDefault="00000000">
      <w:pPr>
        <w:pStyle w:val="Normal16"/>
        <w:widowControl w:val="0"/>
        <w:spacing w:before="200" w:line="260" w:lineRule="atLeast"/>
        <w:jc w:val="both"/>
      </w:pPr>
      <w:bookmarkStart w:id="3284" w:name="Bookmark_para_157"/>
      <w:bookmarkEnd w:id="3284"/>
      <w:r>
        <w:rPr>
          <w:rFonts w:ascii="Arial" w:eastAsia="Arial" w:hAnsi="Arial" w:cs="Arial"/>
          <w:color w:val="000000"/>
          <w:sz w:val="20"/>
        </w:rPr>
        <w:t xml:space="preserve">We recognize that Disney requests that we affirm on the alternative grounds that plaintiffs' requested modification—unlimited near-immediate access to all rides—is not reasonable and would fundamentally alter the park experience. </w:t>
      </w:r>
      <w:bookmarkStart w:id="3285" w:name="Bookmark_I5T7HWT928T4BR0030000400"/>
      <w:bookmarkEnd w:id="3285"/>
      <w:r>
        <w:rPr>
          <w:rFonts w:ascii="Arial" w:eastAsia="Arial" w:hAnsi="Arial" w:cs="Arial"/>
          <w:color w:val="000000"/>
          <w:sz w:val="20"/>
        </w:rPr>
        <w:t xml:space="preserve">Plaintiffs point out that the district court did not address those issues and should do so first. Undisputedly, </w:t>
      </w:r>
      <w:bookmarkStart w:id="3286" w:name="Bookmark_LNHNREFclscc18_1"/>
      <w:bookmarkEnd w:id="3286"/>
      <w:r>
        <w:rPr>
          <w:rFonts w:ascii="Arial" w:eastAsia="Arial" w:hAnsi="Arial" w:cs="Arial"/>
          <w:color w:val="000000"/>
          <w:sz w:val="20"/>
        </w:rPr>
        <w:t xml:space="preserve">this Court has the power to affirm a grant of summary judgment on any basis supported by the record. </w:t>
      </w:r>
      <w:bookmarkStart w:id="3287" w:name="Bookmark_I5T7HWT928T4BR0020000400"/>
      <w:bookmarkEnd w:id="3287"/>
      <w:r>
        <w:rPr>
          <w:rFonts w:ascii="Arial" w:eastAsia="Arial" w:hAnsi="Arial" w:cs="Arial"/>
          <w:color w:val="000000"/>
          <w:sz w:val="20"/>
          <w:u w:val="single"/>
        </w:rPr>
        <w:t>Kolodziej v. Mason</w:t>
      </w:r>
      <w:r>
        <w:rPr>
          <w:rFonts w:ascii="Arial" w:eastAsia="Arial" w:hAnsi="Arial" w:cs="Arial"/>
          <w:color w:val="000000"/>
          <w:sz w:val="20"/>
        </w:rPr>
        <w:t>, 774 F.3d 736, 740 (11th Cir. 2014).</w:t>
      </w:r>
    </w:p>
    <w:p w:rsidR="00E456CD" w:rsidRDefault="00000000">
      <w:pPr>
        <w:pStyle w:val="Normal16"/>
        <w:widowControl w:val="0"/>
        <w:spacing w:before="200" w:line="260" w:lineRule="atLeast"/>
        <w:jc w:val="both"/>
      </w:pPr>
      <w:bookmarkStart w:id="3288" w:name="Bookmark_para_158"/>
      <w:bookmarkEnd w:id="3288"/>
      <w:r>
        <w:rPr>
          <w:rFonts w:ascii="Arial" w:eastAsia="Arial" w:hAnsi="Arial" w:cs="Arial"/>
          <w:color w:val="000000"/>
          <w:sz w:val="20"/>
        </w:rPr>
        <w:t>Those two alternative grounds, however, involve complicated issues too. Here is but one of the parties' debates about the reasonableness and fundamental alteration inquiries that Disney asks us to resolve for the first time on appeal.</w:t>
      </w:r>
    </w:p>
    <w:p w:rsidR="00E456CD" w:rsidRDefault="00000000">
      <w:pPr>
        <w:pStyle w:val="Normal16"/>
        <w:widowControl w:val="0"/>
        <w:spacing w:before="200" w:line="260" w:lineRule="atLeast"/>
        <w:jc w:val="both"/>
      </w:pPr>
      <w:bookmarkStart w:id="3289" w:name="Bookmark_para_159"/>
      <w:bookmarkEnd w:id="3289"/>
      <w:r>
        <w:rPr>
          <w:rFonts w:ascii="Arial" w:eastAsia="Arial" w:hAnsi="Arial" w:cs="Arial"/>
          <w:color w:val="000000"/>
          <w:sz w:val="20"/>
        </w:rPr>
        <w:t>The parties [**85]  contest the effect of plaintiffs' requested relief, which has evolved to this "single fix": an injunction requiring that Disney guarantee plaintiffs a maximum wait of 10 to 15 minutes for all rides. More specifically, plaintiffs ask this Court to implement this fix by ordering Disney to provide either: (1) a card offering automatic access to the FastPass lines for all rides at all times; or (2) between 6 and 10 guaranteed Re-ad Passes for the disabled guest and each person in the group. At oral argument, plaintiffs' counsel expressed a preference for unlimited access to the FastPass lines "for everyone's administrative burden" and because any number of Re-ad Passes would necessarily be limited.</w:t>
      </w:r>
    </w:p>
    <w:p w:rsidR="00E456CD" w:rsidRDefault="00000000">
      <w:pPr>
        <w:pStyle w:val="Normal16"/>
        <w:widowControl w:val="0"/>
        <w:spacing w:before="200" w:line="260" w:lineRule="atLeast"/>
        <w:jc w:val="both"/>
      </w:pPr>
      <w:bookmarkStart w:id="3290" w:name="Bookmark_para_160"/>
      <w:bookmarkEnd w:id="3290"/>
      <w:r>
        <w:rPr>
          <w:rFonts w:ascii="Arial" w:eastAsia="Arial" w:hAnsi="Arial" w:cs="Arial"/>
          <w:color w:val="000000"/>
          <w:sz w:val="20"/>
        </w:rPr>
        <w:t>In response, Disney argues that even if more than the DAS program is necessary, plaintiffs' proposed fix is unreasonable because it is the functional equivalent of Disney's previous system, which Disney avers was discontinued due to fraud and abuse. Prior to starting the DAS program in 2013, Disney offered a Guest Assistance Card (the "GAC"), which allowed disabled guests access to the FastPass line at every ride. Using a GAC, a disabled guest (and his group) could ride all rides whenever and [**86]  as many times as he wanted, in any order, with very little waiting. As to the alleged abuse, Disney presented evidence that nondisabled guests would hire a "guide" who possessed a GAC, who then joined the guests' group and gave them the GAC benefit of FastPass access at all attractions. One Disney study showed that in 2013, approximately 3% of guests at Disney World were issued GACs, but GAC-holding guests accounted for 30% of riders on one popular ride. According to Disney, this fundamentally altered the park experience because GAC-holding guests rode a popular ride three or four times, while many nondisabled guests experienced a two-hour line or were not able to get on the ride at all.</w:t>
      </w:r>
    </w:p>
    <w:p w:rsidR="00E456CD" w:rsidRDefault="00000000">
      <w:pPr>
        <w:pStyle w:val="Normal16"/>
        <w:widowControl w:val="0"/>
        <w:spacing w:before="200" w:line="260" w:lineRule="atLeast"/>
        <w:jc w:val="both"/>
      </w:pPr>
      <w:bookmarkStart w:id="3291" w:name="Bookmark_para_161"/>
      <w:bookmarkEnd w:id="3291"/>
      <w:r>
        <w:rPr>
          <w:rFonts w:ascii="Arial" w:eastAsia="Arial" w:hAnsi="Arial" w:cs="Arial"/>
          <w:color w:val="000000"/>
          <w:sz w:val="20"/>
        </w:rPr>
        <w:t> [*1299]  Plaintiffs vigorously dispute Disney's abuse claims. In the district court, plaintiffs even moved to exclude Disney's study showing that GAC-holding guests accounted for 30% of riders on one ride. Plaintiffs argued that Disney designed and skewed the study to "create a hypothetical perfect storm" by showing the effect of GAC usage on only the busiest ride and on only the busiest day. The district court did not rule on that motion. In any event, plaintiffs argue they are not asking for a return to the [**87]  GAC system. Plaintiffs say their request is for a modification of the DAS program, not its destruction.</w:t>
      </w:r>
    </w:p>
    <w:p w:rsidR="00E456CD" w:rsidRDefault="00000000">
      <w:pPr>
        <w:pStyle w:val="Normal16"/>
        <w:widowControl w:val="0"/>
        <w:spacing w:before="200" w:line="260" w:lineRule="atLeast"/>
        <w:jc w:val="both"/>
      </w:pPr>
      <w:bookmarkStart w:id="3292" w:name="Bookmark_para_162"/>
      <w:bookmarkEnd w:id="3292"/>
      <w:r>
        <w:rPr>
          <w:rFonts w:ascii="Arial" w:eastAsia="Arial" w:hAnsi="Arial" w:cs="Arial"/>
          <w:color w:val="000000"/>
          <w:sz w:val="20"/>
        </w:rPr>
        <w:t>This is but one example of knotty issues that must be sorted out before a court could decide whether plaintiffs' requested accommodation, if proven necessary, is reasonable, and if so, whether it would fundamentally alter the park experience. We thus conclude that the reasonable and fundamental alteration inquiries must be addressed by the district court in the first instance, and we leave it to the district court how best to approach those issues on remand and whether further record development is needed. Among other things, the district court will need to determine whether material issues of fact, if any, exist as to these two inquiries. Nothing herein expresses an opinion on that question.</w:t>
      </w:r>
    </w:p>
    <w:p w:rsidR="00E456CD" w:rsidRDefault="00000000">
      <w:pPr>
        <w:pStyle w:val="Normal16"/>
        <w:widowControl w:val="0"/>
        <w:spacing w:before="240" w:line="260" w:lineRule="atLeast"/>
      </w:pPr>
      <w:r>
        <w:br/>
      </w:r>
      <w:r>
        <w:rPr>
          <w:rFonts w:ascii="Arial" w:eastAsia="Arial" w:hAnsi="Arial" w:cs="Arial"/>
          <w:b/>
          <w:color w:val="000000"/>
          <w:sz w:val="20"/>
        </w:rPr>
        <w:t>H. Intentional Discrimination Cause of Action</w:t>
      </w:r>
    </w:p>
    <w:p w:rsidR="00E456CD" w:rsidRDefault="00000000">
      <w:pPr>
        <w:pStyle w:val="Normal16"/>
        <w:widowControl w:val="0"/>
        <w:spacing w:before="200" w:line="260" w:lineRule="atLeast"/>
        <w:jc w:val="both"/>
      </w:pPr>
      <w:bookmarkStart w:id="3293" w:name="Bookmark_para_163"/>
      <w:bookmarkEnd w:id="3293"/>
      <w:r>
        <w:rPr>
          <w:rFonts w:ascii="Arial" w:eastAsia="Arial" w:hAnsi="Arial" w:cs="Arial"/>
          <w:color w:val="000000"/>
          <w:sz w:val="20"/>
        </w:rPr>
        <w:t>We now turn to the district court's ruling that Count 1 of plaintiffs' complaints asserted only a cause of action for failure to make reasonable and necessary modifications under the ADA and did not contain a separate cause of action for intentional or disparate-impact discrimination under the ADA.</w:t>
      </w:r>
    </w:p>
    <w:p w:rsidR="00E456CD" w:rsidRDefault="00000000">
      <w:pPr>
        <w:pStyle w:val="Normal16"/>
        <w:widowControl w:val="0"/>
        <w:spacing w:before="200" w:line="260" w:lineRule="atLeast"/>
        <w:jc w:val="both"/>
      </w:pPr>
      <w:bookmarkStart w:id="3294" w:name="Bookmark_para_164"/>
      <w:bookmarkEnd w:id="3294"/>
      <w:r>
        <w:rPr>
          <w:rFonts w:ascii="Arial" w:eastAsia="Arial" w:hAnsi="Arial" w:cs="Arial"/>
          <w:color w:val="000000"/>
          <w:sz w:val="20"/>
        </w:rPr>
        <w:t xml:space="preserve">The factual allegations in each of the 30 complaints [**88]  started out with 60-plus similar paragraphs of "Facts Common to All Claims" about Disney's theme parks and its DAS Card. Each complaint then had separate counts which set forth the causes of action. Every plaintiff asserted a single ADA claim as Count 1, which charged that Disney violated "42 U.S.C. §§ 12131, </w:t>
      </w:r>
      <w:r>
        <w:rPr>
          <w:rFonts w:ascii="Arial" w:eastAsia="Arial" w:hAnsi="Arial" w:cs="Arial"/>
          <w:color w:val="000000"/>
          <w:sz w:val="20"/>
          <w:u w:val="single"/>
        </w:rPr>
        <w:t>et seq.</w:t>
      </w:r>
      <w:r>
        <w:rPr>
          <w:rFonts w:ascii="Arial" w:eastAsia="Arial" w:hAnsi="Arial" w:cs="Arial"/>
          <w:color w:val="000000"/>
          <w:sz w:val="20"/>
        </w:rPr>
        <w:t>" None of the other counts cited or involved the ADA, but rather asserted claims under state law.</w:t>
      </w:r>
    </w:p>
    <w:p w:rsidR="00E456CD" w:rsidRDefault="00000000">
      <w:pPr>
        <w:pStyle w:val="Normal16"/>
        <w:widowControl w:val="0"/>
        <w:spacing w:before="200" w:line="260" w:lineRule="atLeast"/>
        <w:jc w:val="both"/>
      </w:pPr>
      <w:bookmarkStart w:id="3295" w:name="Bookmark_para_165"/>
      <w:bookmarkEnd w:id="3295"/>
      <w:r>
        <w:rPr>
          <w:rFonts w:ascii="Arial" w:eastAsia="Arial" w:hAnsi="Arial" w:cs="Arial"/>
          <w:color w:val="000000"/>
          <w:sz w:val="20"/>
        </w:rPr>
        <w:t>Further, in every complaint, the ADA claim in Count 1 incorporated by reference all of the "Facts Common to All Claims" and added additional factual allegations about each plaintiff's individual experience with the DAS Card and the alleged failure of the DAS Card to address that particular plaintiff's autism and/or cognitive disabilities. As relief, the ADA claim in each Count 1 requested that the district court enter an injunction prohibiting Disney from further discrimination and requiring Disney "to reasonably modify its policies, practices, and procedures to afford Plaintiff with an opportunity to experience Disney's goods, services, facilities, privileges, advantages, and accommodations."</w:t>
      </w:r>
    </w:p>
    <w:p w:rsidR="00E456CD" w:rsidRDefault="00000000">
      <w:pPr>
        <w:pStyle w:val="Normal16"/>
        <w:widowControl w:val="0"/>
        <w:spacing w:before="200" w:line="260" w:lineRule="atLeast"/>
        <w:jc w:val="both"/>
      </w:pPr>
      <w:bookmarkStart w:id="3296" w:name="Bookmark_para_166"/>
      <w:bookmarkEnd w:id="3296"/>
      <w:r>
        <w:rPr>
          <w:rFonts w:ascii="Arial" w:eastAsia="Arial" w:hAnsi="Arial" w:cs="Arial"/>
          <w:color w:val="000000"/>
          <w:sz w:val="20"/>
        </w:rPr>
        <w:t>We agree with the district court that plaintiffs' complaints contained a cause of action for failure to make reasonable [**89]  and necessary modifications under the ADA but not a cause of action for intentional or disparate-impact discrimination. On appeal, plaintiffs' briefs primarily argue that the district court erred in its alternative ruling by reaching the merits and holding that even if plaintiffs properly had raised intentional or disparate-impact discrimination claims in their complaints, they did not make out a prima facie case. Plaintiffs challenge the district court's merits ruling that (1) plaintiffs' evidence did not show  [*1300]  that a motivating factor behind the DAS Card was to impose an adverse effect on severely autistic individuals (the alleged element of an intentional discrimination claim), and (2) the DAS Card applied specifically to guests with cognitive disabilities, and was not a facially neutral policy (the alleged element of a disparate-impact claim). Given that plaintiffs' complaints do not contain a cause of action for intentional or disparate-impact discrimination under the ADA, we need not, and do not, reach the issue of whether plaintiffs' evidence was sufficient to survive summary judgment.</w:t>
      </w:r>
      <w:r>
        <w:rPr>
          <w:rFonts w:ascii="Arial" w:eastAsia="Arial" w:hAnsi="Arial" w:cs="Arial"/>
          <w:vertAlign w:val="superscript"/>
        </w:rPr>
        <w:footnoteReference w:customMarkFollows="1" w:id="136"/>
        <w:t>15</w:t>
      </w:r>
    </w:p>
    <w:p w:rsidR="00E456CD" w:rsidRDefault="00000000">
      <w:pPr>
        <w:pStyle w:val="Normal16"/>
        <w:widowControl w:val="0"/>
        <w:spacing w:before="200" w:line="260" w:lineRule="atLeast"/>
        <w:jc w:val="both"/>
      </w:pPr>
      <w:bookmarkStart w:id="3298" w:name="Bookmark_para_167"/>
      <w:bookmarkEnd w:id="3298"/>
      <w:r>
        <w:rPr>
          <w:rFonts w:ascii="Arial" w:eastAsia="Arial" w:hAnsi="Arial" w:cs="Arial"/>
          <w:color w:val="000000"/>
          <w:sz w:val="20"/>
        </w:rPr>
        <w:t>Even if their complaints state no cause of action for intentional or disparate-impact discrimination, [**90]  plaintiffs stress they still wish to introduce evidence at the bench trial relating to Disney's discriminatory intent when it enacted the DAS Card, in order to show that Disney never intended the DAS Card to be an adequate accommodation for guests with autism and/or cognitive disabilities. Plaintiffs also argue that their evidence of Disney's intent is relevant to and supports their state law claims alleging California Unruh Act violations and intentional torts. Of course, nothing in this opinion addresses, or prevents plaintiffs on remand from presenting, intent evidence at trial that is admissible under the Federal Rules of Evidence. That issue is premature because evidentiary matters at trial are for the district court to decide in the first instance.</w:t>
      </w:r>
      <w:r>
        <w:rPr>
          <w:rFonts w:ascii="Arial" w:eastAsia="Arial" w:hAnsi="Arial" w:cs="Arial"/>
          <w:vertAlign w:val="superscript"/>
        </w:rPr>
        <w:footnoteReference w:customMarkFollows="1" w:id="137"/>
        <w:t>16</w:t>
      </w:r>
    </w:p>
    <w:p w:rsidR="00E456CD" w:rsidRDefault="00000000">
      <w:pPr>
        <w:pStyle w:val="Normal16"/>
        <w:widowControl w:val="0"/>
        <w:spacing w:before="240" w:line="260" w:lineRule="atLeast"/>
      </w:pPr>
      <w:r>
        <w:br/>
      </w:r>
      <w:r>
        <w:rPr>
          <w:rFonts w:ascii="Arial" w:eastAsia="Arial" w:hAnsi="Arial" w:cs="Arial"/>
          <w:b/>
          <w:color w:val="000000"/>
          <w:sz w:val="20"/>
        </w:rPr>
        <w:t>VIII. CONCLUSION</w:t>
      </w:r>
    </w:p>
    <w:p w:rsidR="00E456CD" w:rsidRDefault="00000000">
      <w:pPr>
        <w:pStyle w:val="Normal16"/>
        <w:widowControl w:val="0"/>
        <w:spacing w:before="200" w:line="260" w:lineRule="atLeast"/>
        <w:jc w:val="both"/>
      </w:pPr>
      <w:bookmarkStart w:id="3301" w:name="Bookmark_para_168"/>
      <w:bookmarkEnd w:id="3301"/>
      <w:r>
        <w:rPr>
          <w:rFonts w:ascii="Arial" w:eastAsia="Arial" w:hAnsi="Arial" w:cs="Arial"/>
          <w:color w:val="000000"/>
          <w:sz w:val="20"/>
        </w:rPr>
        <w:t>For all of the above reasons, we (1) affirm the district court's entry of summary judgment for Disney as to plaintiffs' claims of intentional and disparate-impact discrimination under the ADA, (2) reverse the district court's ruling as to plaintiffs' standing, (3) vacate the district court's entry of summary judgment for Disney as to the necessary-modification inquiry under § 12182(b)(2)(A)(ii) of the ADA, and remand for further proceedings consistent [**91]  with this opinion.</w:t>
      </w:r>
    </w:p>
    <w:p w:rsidR="00E456CD" w:rsidRDefault="00000000">
      <w:pPr>
        <w:pStyle w:val="Normal16"/>
        <w:widowControl w:val="0"/>
        <w:spacing w:before="200" w:line="260" w:lineRule="atLeast"/>
        <w:jc w:val="both"/>
        <w:sectPr w:rsidR="00E456CD">
          <w:type w:val="continuous"/>
          <w:pgSz w:w="12240" w:h="15840"/>
          <w:pgMar w:top="840" w:right="1000" w:bottom="840" w:left="1000" w:header="400" w:footer="400" w:gutter="0"/>
          <w:cols w:num="2" w:space="240"/>
        </w:sectPr>
      </w:pPr>
      <w:bookmarkStart w:id="3302" w:name="Bookmark_para_169"/>
      <w:bookmarkEnd w:id="3302"/>
      <w:r>
        <w:rPr>
          <w:rFonts w:ascii="Arial" w:eastAsia="Arial" w:hAnsi="Arial" w:cs="Arial"/>
          <w:b/>
          <w:color w:val="000000"/>
          <w:sz w:val="20"/>
        </w:rPr>
        <w:t>AFFIRMED IN PART; REVERSED IN PART; VACATED AND REMANDED IN PART</w:t>
      </w:r>
      <w:r>
        <w:rPr>
          <w:rFonts w:ascii="Arial" w:eastAsia="Arial" w:hAnsi="Arial" w:cs="Arial"/>
          <w:color w:val="000000"/>
          <w:sz w:val="20"/>
        </w:rPr>
        <w:t>.</w:t>
      </w:r>
    </w:p>
    <w:p w:rsidR="00E456CD" w:rsidRDefault="00000000">
      <w:pPr>
        <w:pStyle w:val="Normal16"/>
        <w:widowControl w:val="0"/>
        <w:spacing w:line="240" w:lineRule="atLeast"/>
        <w:jc w:val="both"/>
      </w:pPr>
      <w:r>
        <w:rPr>
          <w:rFonts w:ascii="Arial" w:eastAsia="Arial" w:hAnsi="Arial" w:cs="Arial"/>
          <w:b/>
          <w:sz w:val="20"/>
        </w:rPr>
        <w:t>Table1 (</w:t>
      </w:r>
      <w:hyperlink w:anchor="Table1_insert" w:history="1">
        <w:r>
          <w:rPr>
            <w:rFonts w:ascii="Arial" w:eastAsia="Arial" w:hAnsi="Arial" w:cs="Arial"/>
            <w:color w:val="0077CC"/>
            <w:sz w:val="20"/>
            <w:u w:val="single"/>
            <w:shd w:val="clear" w:color="auto" w:fill="FFFFFF"/>
          </w:rPr>
          <w:t>Return to related document text</w:t>
        </w:r>
      </w:hyperlink>
      <w:r>
        <w:rPr>
          <w:rFonts w:ascii="Arial" w:eastAsia="Arial" w:hAnsi="Arial" w:cs="Arial"/>
          <w:b/>
          <w:sz w:val="20"/>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640"/>
        <w:gridCol w:w="600"/>
      </w:tblGrid>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I. DISNEY THEME PARKS</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A. General Background</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B. FastPass System</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C. Re-admission Passes</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D. Disability Access Service Program (DAS)</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E. Individualized Accommodations</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F. Advance Planning</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II. AUTISM AS A DISABILITY</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III. PLAINTIFFS' EVIDENCE</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A. Testimony of Plaintiffs' Parents</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B. Day-in-the-Park Narratives for Plaintiffs A.L., A.B., S.M., and J.M.</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C. Expert Dr. Joette James</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D. Scientific Studies</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IV. DISNEY'S EVIDENCE</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A. Expert Dr. Jill Kelderman</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B. Expert Dr. Jack Spector</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V. PROCEDURAL HISTORY</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VI. STANDARD OF REVIEW</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VII. DISCUSSION</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A. Title III of the ADA</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B. Definition of Disability</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C. Blanket Policy</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D. Claims Based on § 12182(b)(2)(A)(ii)</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E. Necessary Modifications</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F. Analysis of "Necessary"</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G. Reasonableness and Fundamental Alteration [**23] </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bottom w:val="nil"/>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H. Intentional Discrimination Cause of Action</w:t>
            </w:r>
          </w:p>
        </w:tc>
        <w:tc>
          <w:tcPr>
            <w:tcW w:w="600" w:type="dxa"/>
            <w:tcBorders>
              <w:bottom w:val="nil"/>
            </w:tcBorders>
            <w:tcMar>
              <w:top w:w="20" w:type="dxa"/>
              <w:bottom w:w="20" w:type="dxa"/>
            </w:tcMar>
          </w:tcPr>
          <w:p w:rsidR="00E456CD" w:rsidRDefault="00E456CD">
            <w:pPr>
              <w:pStyle w:val="Normal16"/>
            </w:pPr>
          </w:p>
        </w:tc>
      </w:tr>
      <w:tr w:rsidR="00E456CD">
        <w:trPr>
          <w:jc w:val="center"/>
        </w:trPr>
        <w:tc>
          <w:tcPr>
            <w:tcW w:w="8640" w:type="dxa"/>
            <w:tcBorders>
              <w:right w:val="nil"/>
            </w:tcBorders>
            <w:tcMar>
              <w:top w:w="20" w:type="dxa"/>
              <w:bottom w:w="20" w:type="dxa"/>
            </w:tcMar>
          </w:tcPr>
          <w:p w:rsidR="00E456CD" w:rsidRDefault="00000000">
            <w:pPr>
              <w:pStyle w:val="Normal16"/>
              <w:spacing w:line="220" w:lineRule="atLeast"/>
            </w:pPr>
            <w:r>
              <w:rPr>
                <w:rFonts w:ascii="Arial" w:eastAsia="Arial" w:hAnsi="Arial" w:cs="Arial"/>
                <w:color w:val="000000"/>
                <w:sz w:val="18"/>
              </w:rPr>
              <w:t>VIII. CONCLUSION</w:t>
            </w:r>
          </w:p>
        </w:tc>
        <w:tc>
          <w:tcPr>
            <w:tcW w:w="600" w:type="dxa"/>
            <w:tcMar>
              <w:top w:w="20" w:type="dxa"/>
              <w:bottom w:w="20" w:type="dxa"/>
            </w:tcMar>
          </w:tcPr>
          <w:p w:rsidR="00E456CD" w:rsidRDefault="00E456CD">
            <w:pPr>
              <w:pStyle w:val="Normal16"/>
            </w:pPr>
          </w:p>
        </w:tc>
      </w:tr>
    </w:tbl>
    <w:p w:rsidR="00E456CD" w:rsidRDefault="00000000">
      <w:pPr>
        <w:pStyle w:val="Normal16"/>
        <w:widowControl w:val="0"/>
        <w:spacing w:before="120" w:line="240" w:lineRule="atLeast"/>
        <w:jc w:val="both"/>
      </w:pPr>
      <w:r>
        <w:rPr>
          <w:rFonts w:ascii="Arial" w:eastAsia="Arial" w:hAnsi="Arial" w:cs="Arial"/>
          <w:b/>
          <w:sz w:val="20"/>
        </w:rPr>
        <w:t>Table1 (</w:t>
      </w:r>
      <w:bookmarkStart w:id="3303" w:name="Table1"/>
      <w:r>
        <w:fldChar w:fldCharType="begin"/>
      </w:r>
      <w:r>
        <w:instrText>HYPERLINK \l "Table1_insert"</w:instrText>
      </w:r>
      <w:r>
        <w:fldChar w:fldCharType="separate"/>
      </w:r>
      <w:r>
        <w:rPr>
          <w:rFonts w:ascii="Arial" w:eastAsia="Arial" w:hAnsi="Arial" w:cs="Arial"/>
          <w:color w:val="0077CC"/>
          <w:sz w:val="20"/>
          <w:u w:val="single"/>
          <w:shd w:val="clear" w:color="auto" w:fill="FFFFFF"/>
        </w:rPr>
        <w:t>Return to related document text</w:t>
      </w:r>
      <w:r>
        <w:rPr>
          <w:rFonts w:ascii="Arial" w:eastAsia="Arial" w:hAnsi="Arial" w:cs="Arial"/>
          <w:color w:val="0077CC"/>
          <w:sz w:val="20"/>
          <w:u w:val="single"/>
          <w:shd w:val="clear" w:color="auto" w:fill="FFFFFF"/>
        </w:rPr>
        <w:fldChar w:fldCharType="end"/>
      </w:r>
      <w:bookmarkEnd w:id="3303"/>
      <w:r>
        <w:rPr>
          <w:rFonts w:ascii="Arial" w:eastAsia="Arial" w:hAnsi="Arial" w:cs="Arial"/>
          <w:b/>
          <w:sz w:val="20"/>
        </w:rPr>
        <w:t>)</w:t>
      </w:r>
    </w:p>
    <w:p w:rsidR="00E456CD" w:rsidRDefault="00E456CD">
      <w:pPr>
        <w:pStyle w:val="Normal16"/>
      </w:pPr>
    </w:p>
    <w:p w:rsidR="00E456CD" w:rsidRDefault="00000000">
      <w:pPr>
        <w:pStyle w:val="Normal16"/>
        <w:ind w:left="200"/>
        <w:sectPr w:rsidR="00E456CD">
          <w:pgSz w:w="12240" w:h="15840"/>
          <w:pgMar w:top="840" w:right="1000" w:bottom="840" w:left="1000" w:header="400" w:footer="400" w:gutter="0"/>
          <w:cols w:space="720"/>
        </w:sectPr>
      </w:pPr>
      <w:r>
        <w:br/>
      </w:r>
      <w:r w:rsidR="00E22289">
        <w:rPr>
          <w:noProof/>
        </w:rPr>
        <mc:AlternateContent>
          <mc:Choice Requires="wps">
            <w:drawing>
              <wp:anchor distT="0" distB="0" distL="114300" distR="114300" simplePos="0" relativeHeight="25169510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32153768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2FA9E" id="Line 38"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7"/>
        <w:sectPr w:rsidR="00E456CD">
          <w:headerReference w:type="even" r:id="rId109"/>
          <w:headerReference w:type="default" r:id="rId110"/>
          <w:footerReference w:type="even" r:id="rId111"/>
          <w:footerReference w:type="default" r:id="rId112"/>
          <w:headerReference w:type="first" r:id="rId113"/>
          <w:footerReference w:type="first" r:id="rId114"/>
          <w:pgSz w:w="12240" w:h="15840"/>
          <w:pgMar w:top="840" w:right="1000" w:bottom="840" w:left="1000" w:header="400" w:footer="400" w:gutter="0"/>
          <w:cols w:space="720"/>
          <w:titlePg/>
        </w:sectPr>
      </w:pPr>
    </w:p>
    <w:p w:rsidR="00E456CD" w:rsidRDefault="00E456CD">
      <w:pPr>
        <w:pStyle w:val="Normal17"/>
      </w:pPr>
    </w:p>
    <w:p w:rsidR="00E456CD" w:rsidRDefault="00000000">
      <w:pPr>
        <w:pStyle w:val="Heading116"/>
        <w:keepNext w:val="0"/>
        <w:widowControl w:val="0"/>
        <w:spacing w:after="200" w:line="340" w:lineRule="atLeast"/>
        <w:jc w:val="center"/>
      </w:pPr>
      <w:r>
        <w:rPr>
          <w:rFonts w:eastAsia="Arial"/>
          <w:color w:val="000000"/>
          <w:sz w:val="28"/>
        </w:rPr>
        <w:t>Berardelli v. Allied Servs. Inst. of Rehab. Med.</w:t>
      </w:r>
    </w:p>
    <w:p w:rsidR="00E456CD" w:rsidRDefault="00000000">
      <w:pPr>
        <w:pStyle w:val="Normal17"/>
        <w:widowControl w:val="0"/>
        <w:spacing w:before="120" w:line="260" w:lineRule="atLeast"/>
        <w:jc w:val="center"/>
      </w:pPr>
      <w:r>
        <w:rPr>
          <w:rFonts w:ascii="Arial" w:eastAsia="Arial" w:hAnsi="Arial" w:cs="Arial"/>
          <w:color w:val="000000"/>
          <w:sz w:val="20"/>
        </w:rPr>
        <w:t>United States Court of Appeals for the Third Circuit</w:t>
      </w:r>
    </w:p>
    <w:p w:rsidR="00E456CD" w:rsidRDefault="00000000">
      <w:pPr>
        <w:pStyle w:val="Normal17"/>
        <w:widowControl w:val="0"/>
        <w:spacing w:before="120" w:line="260" w:lineRule="atLeast"/>
        <w:jc w:val="center"/>
      </w:pPr>
      <w:r>
        <w:rPr>
          <w:rFonts w:ascii="Arial" w:eastAsia="Arial" w:hAnsi="Arial" w:cs="Arial"/>
          <w:color w:val="000000"/>
          <w:sz w:val="20"/>
        </w:rPr>
        <w:t>November 14, 2017, Argued; August 14, 2018, Opinion Filed</w:t>
      </w:r>
    </w:p>
    <w:p w:rsidR="00E456CD" w:rsidRDefault="00000000">
      <w:pPr>
        <w:pStyle w:val="Normal17"/>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17-1469</w:t>
      </w:r>
    </w:p>
    <w:p w:rsidR="00E456CD" w:rsidRDefault="00E456CD">
      <w:pPr>
        <w:pStyle w:val="Normal17"/>
        <w:widowControl w:val="0"/>
        <w:spacing w:line="240" w:lineRule="atLeast"/>
        <w:jc w:val="both"/>
      </w:pPr>
      <w:bookmarkStart w:id="3304" w:name="Bookmark_18"/>
      <w:bookmarkEnd w:id="3304"/>
    </w:p>
    <w:p w:rsidR="00E456CD" w:rsidRDefault="00000000">
      <w:pPr>
        <w:pStyle w:val="Normal17"/>
        <w:widowControl w:val="0"/>
        <w:spacing w:before="200" w:line="240" w:lineRule="atLeast"/>
      </w:pPr>
      <w:bookmarkStart w:id="3305" w:name="Reporter_16"/>
      <w:bookmarkEnd w:id="3305"/>
      <w:r>
        <w:rPr>
          <w:rFonts w:ascii="Arial" w:eastAsia="Arial" w:hAnsi="Arial" w:cs="Arial"/>
          <w:b/>
          <w:color w:val="000000"/>
          <w:sz w:val="18"/>
        </w:rPr>
        <w:t>Reporter</w:t>
      </w:r>
    </w:p>
    <w:p w:rsidR="00E456CD" w:rsidRDefault="00000000">
      <w:pPr>
        <w:pStyle w:val="Normal17"/>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900 F.3d 104 *; 2018 U.S. App. LEXIS 22489 **</w:t>
      </w:r>
    </w:p>
    <w:p w:rsidR="00E456CD" w:rsidRDefault="00000000">
      <w:pPr>
        <w:pStyle w:val="Normal17"/>
        <w:widowControl w:val="0"/>
        <w:spacing w:before="120" w:line="260" w:lineRule="atLeast"/>
      </w:pPr>
      <w:r>
        <w:rPr>
          <w:rFonts w:ascii="Arial" w:eastAsia="Arial" w:hAnsi="Arial" w:cs="Arial"/>
          <w:color w:val="000000"/>
          <w:sz w:val="20"/>
        </w:rPr>
        <w:t>TRACI BERARDELLI; JOSEPH BERARDELLI, on behalf of their daughter M.B., a minor, and individually on their own behalf, Appellants v. ALLIED SERVICES INSTITUTE OF REHABILITATION MEDICINE</w:t>
      </w:r>
    </w:p>
    <w:p w:rsidR="00E456CD" w:rsidRDefault="00000000">
      <w:pPr>
        <w:pStyle w:val="Normal17"/>
        <w:widowControl w:val="0"/>
        <w:spacing w:before="240" w:line="260" w:lineRule="atLeast"/>
        <w:jc w:val="both"/>
      </w:pPr>
      <w:bookmarkStart w:id="3306" w:name="Prior_History_16"/>
      <w:bookmarkEnd w:id="3306"/>
      <w:r>
        <w:rPr>
          <w:rFonts w:ascii="Arial" w:eastAsia="Arial" w:hAnsi="Arial" w:cs="Arial"/>
          <w:b/>
          <w:color w:val="000000"/>
          <w:sz w:val="20"/>
        </w:rPr>
        <w:t>Prior History:</w:t>
      </w:r>
      <w:r>
        <w:rPr>
          <w:rFonts w:ascii="Arial" w:eastAsia="Arial" w:hAnsi="Arial" w:cs="Arial"/>
          <w:color w:val="000000"/>
          <w:sz w:val="20"/>
        </w:rPr>
        <w:t> </w:t>
      </w:r>
      <w:bookmarkStart w:id="3307" w:name="Bookmark_para_1_16"/>
      <w:bookmarkEnd w:id="3307"/>
      <w:r>
        <w:rPr>
          <w:rFonts w:ascii="Arial" w:eastAsia="Arial" w:hAnsi="Arial" w:cs="Arial"/>
          <w:color w:val="000000"/>
          <w:sz w:val="20"/>
        </w:rPr>
        <w:t> [**1] On Appeal from the United States District Court for the Middle District of Pennsylvania. (M.D. Pa. No. 3-14-cv-00691). District Judge: Hon. Malachy E. Mannion.</w:t>
      </w:r>
    </w:p>
    <w:p w:rsidR="00E456CD" w:rsidRDefault="00000000">
      <w:pPr>
        <w:pStyle w:val="Normal17"/>
        <w:widowControl w:val="0"/>
        <w:spacing w:before="120" w:line="260" w:lineRule="atLeast"/>
      </w:pPr>
      <w:r>
        <w:rPr>
          <w:rFonts w:ascii="Arial" w:eastAsia="Arial" w:hAnsi="Arial" w:cs="Arial"/>
          <w:color w:val="000000"/>
          <w:sz w:val="20"/>
        </w:rPr>
        <w:t>Bardelli v. Allied Servs. Inst. of Rehab. Med., 2016 U.S. Dist. LEXIS 135358 (M.D. Pa., Sept. 30, 2016)</w:t>
      </w:r>
    </w:p>
    <w:p w:rsidR="00E456CD" w:rsidRDefault="00000000">
      <w:pPr>
        <w:pStyle w:val="Normal17"/>
        <w:widowControl w:val="0"/>
        <w:spacing w:before="240" w:line="260" w:lineRule="atLeast"/>
      </w:pPr>
      <w:bookmarkStart w:id="3308" w:name="Counsel_16"/>
      <w:bookmarkEnd w:id="3308"/>
      <w:r>
        <w:rPr>
          <w:rFonts w:ascii="Arial" w:eastAsia="Arial" w:hAnsi="Arial" w:cs="Arial"/>
          <w:b/>
          <w:color w:val="000000"/>
          <w:sz w:val="20"/>
        </w:rPr>
        <w:t>Counsel:</w:t>
      </w:r>
      <w:r>
        <w:rPr>
          <w:rFonts w:ascii="Arial" w:eastAsia="Arial" w:hAnsi="Arial" w:cs="Arial"/>
          <w:color w:val="000000"/>
          <w:sz w:val="20"/>
        </w:rPr>
        <w:t> For Appellants: Leah S. Batchis, Arleigh P. Helfer, III, Nancy Winkelman, Schnader Harrison Segal &amp; Lewis, Philadelphia, PA; Nicole M. Reimann, Esq., Batchis Nestle &amp; Reimann, Bala Cynwyd, PA.</w:t>
      </w:r>
    </w:p>
    <w:p w:rsidR="00E456CD" w:rsidRDefault="00000000">
      <w:pPr>
        <w:pStyle w:val="Normal17"/>
        <w:widowControl w:val="0"/>
        <w:spacing w:before="120" w:line="260" w:lineRule="atLeast"/>
      </w:pPr>
      <w:r>
        <w:rPr>
          <w:rFonts w:ascii="Arial" w:eastAsia="Arial" w:hAnsi="Arial" w:cs="Arial"/>
          <w:color w:val="000000"/>
          <w:sz w:val="20"/>
        </w:rPr>
        <w:t>For Appellee: Edwin A. Abrahamsen, Jr., James J. Conaboy, Abrahamsen Conaboy &amp; Abrahamsen, Scranton, PA.</w:t>
      </w:r>
    </w:p>
    <w:p w:rsidR="00E456CD" w:rsidRDefault="00000000">
      <w:pPr>
        <w:pStyle w:val="Normal17"/>
        <w:widowControl w:val="0"/>
        <w:spacing w:before="120" w:line="260" w:lineRule="atLeast"/>
      </w:pPr>
      <w:r>
        <w:rPr>
          <w:rFonts w:ascii="Arial" w:eastAsia="Arial" w:hAnsi="Arial" w:cs="Arial"/>
          <w:color w:val="000000"/>
          <w:sz w:val="20"/>
        </w:rPr>
        <w:t>For Amicus Curiae The Public Interest Law Center of Philadelphia: Amanda L. Nelson, Cozen O'Connor, New York, NY.</w:t>
      </w:r>
    </w:p>
    <w:p w:rsidR="00E456CD" w:rsidRDefault="00000000">
      <w:pPr>
        <w:pStyle w:val="Normal17"/>
        <w:widowControl w:val="0"/>
        <w:spacing w:before="240" w:line="260" w:lineRule="atLeast"/>
      </w:pPr>
      <w:bookmarkStart w:id="3309" w:name="Judges_16"/>
      <w:bookmarkEnd w:id="3309"/>
      <w:r>
        <w:rPr>
          <w:rFonts w:ascii="Arial" w:eastAsia="Arial" w:hAnsi="Arial" w:cs="Arial"/>
          <w:b/>
          <w:color w:val="000000"/>
          <w:sz w:val="20"/>
        </w:rPr>
        <w:t>Judges:</w:t>
      </w:r>
      <w:r>
        <w:rPr>
          <w:rFonts w:ascii="Arial" w:eastAsia="Arial" w:hAnsi="Arial" w:cs="Arial"/>
          <w:color w:val="000000"/>
          <w:sz w:val="20"/>
        </w:rPr>
        <w:t> Before: AMBRO, KRAUSE, and RENDELL, Circuit Judges.</w:t>
      </w:r>
    </w:p>
    <w:p w:rsidR="00E456CD" w:rsidRDefault="00000000">
      <w:pPr>
        <w:pStyle w:val="Normal17"/>
        <w:widowControl w:val="0"/>
        <w:spacing w:before="240" w:line="260" w:lineRule="atLeast"/>
      </w:pPr>
      <w:bookmarkStart w:id="3310" w:name="Opinion_by_12"/>
      <w:bookmarkEnd w:id="3310"/>
      <w:r>
        <w:rPr>
          <w:rFonts w:ascii="Arial" w:eastAsia="Arial" w:hAnsi="Arial" w:cs="Arial"/>
          <w:b/>
          <w:color w:val="000000"/>
          <w:sz w:val="20"/>
        </w:rPr>
        <w:t>Opinion by:</w:t>
      </w:r>
      <w:r>
        <w:rPr>
          <w:rFonts w:ascii="Arial" w:eastAsia="Arial" w:hAnsi="Arial" w:cs="Arial"/>
          <w:color w:val="000000"/>
          <w:sz w:val="20"/>
        </w:rPr>
        <w:t> KRAUSE</w:t>
      </w:r>
    </w:p>
    <w:p w:rsidR="00E456CD" w:rsidRDefault="00000000">
      <w:pPr>
        <w:pStyle w:val="Normal17"/>
        <w:keepNext/>
        <w:widowControl w:val="0"/>
        <w:spacing w:before="240" w:line="340" w:lineRule="atLeast"/>
      </w:pPr>
      <w:bookmarkStart w:id="3311" w:name="Opinion_16"/>
      <w:bookmarkEnd w:id="3311"/>
      <w:r>
        <w:rPr>
          <w:rFonts w:ascii="Arial" w:eastAsia="Arial" w:hAnsi="Arial" w:cs="Arial"/>
          <w:b/>
          <w:color w:val="000000"/>
          <w:sz w:val="28"/>
        </w:rPr>
        <w:t>Opinion</w:t>
      </w:r>
    </w:p>
    <w:p w:rsidR="00E456CD" w:rsidRDefault="00E22289">
      <w:pPr>
        <w:pStyle w:val="Normal17"/>
        <w:spacing w:line="60" w:lineRule="exact"/>
      </w:pPr>
      <w:r>
        <w:rPr>
          <w:noProof/>
        </w:rPr>
        <mc:AlternateContent>
          <mc:Choice Requires="wps">
            <w:drawing>
              <wp:anchor distT="0" distB="0" distL="114300" distR="114300" simplePos="0" relativeHeight="25169612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45312864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A7DEC9" id="Line 39"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7"/>
      </w:pPr>
    </w:p>
    <w:p w:rsidR="00E456CD" w:rsidRDefault="00000000">
      <w:pPr>
        <w:pStyle w:val="Normal17"/>
        <w:widowControl w:val="0"/>
        <w:spacing w:before="200" w:line="260" w:lineRule="atLeast"/>
        <w:jc w:val="both"/>
      </w:pPr>
      <w:bookmarkStart w:id="3312" w:name="Bookmark_para_2_16"/>
      <w:bookmarkEnd w:id="3312"/>
      <w:r>
        <w:rPr>
          <w:rFonts w:ascii="Arial" w:eastAsia="Arial" w:hAnsi="Arial" w:cs="Arial"/>
          <w:color w:val="000000"/>
          <w:sz w:val="20"/>
        </w:rPr>
        <w:t xml:space="preserve"> [*109]  KRAUSE, </w:t>
      </w:r>
      <w:r>
        <w:rPr>
          <w:rFonts w:ascii="Arial" w:eastAsia="Arial" w:hAnsi="Arial" w:cs="Arial"/>
          <w:i/>
          <w:color w:val="000000"/>
          <w:sz w:val="20"/>
        </w:rPr>
        <w:t>Circuit Judge</w:t>
      </w:r>
      <w:r>
        <w:rPr>
          <w:rFonts w:ascii="Arial" w:eastAsia="Arial" w:hAnsi="Arial" w:cs="Arial"/>
          <w:color w:val="000000"/>
          <w:sz w:val="20"/>
        </w:rPr>
        <w:t>.</w:t>
      </w:r>
    </w:p>
    <w:p w:rsidR="00E456CD" w:rsidRDefault="00000000">
      <w:pPr>
        <w:pStyle w:val="Normal17"/>
        <w:widowControl w:val="0"/>
        <w:spacing w:before="200" w:line="260" w:lineRule="atLeast"/>
        <w:jc w:val="both"/>
      </w:pPr>
      <w:bookmarkStart w:id="3313" w:name="Bookmark_para_3_16"/>
      <w:bookmarkStart w:id="3314" w:name="Bookmark_I5T6WYM02N1RCC0020000400"/>
      <w:bookmarkStart w:id="3315" w:name="Bookmark_I5T6WYM02N1RCC0040000400"/>
      <w:bookmarkEnd w:id="3313"/>
      <w:bookmarkEnd w:id="3314"/>
      <w:bookmarkEnd w:id="3315"/>
      <w:r>
        <w:rPr>
          <w:rFonts w:ascii="Arial" w:eastAsia="Arial" w:hAnsi="Arial" w:cs="Arial"/>
          <w:color w:val="000000"/>
          <w:sz w:val="20"/>
        </w:rPr>
        <w:t xml:space="preserve">For decades, the Rehabilitation Act (RA) and its progeny, the Americans with Disabilities Act (ADA), have served as twin pillars of federal disability discrimination law. Both statutes secure the rights  [*110]  of individuals with disabilities to independence and full inclusion in American society and, unsurprisingly, have been constant companions in our case law as it has developed to effect those rights. The RA assures "meaningful access" to federally funded programs, </w:t>
      </w:r>
      <w:bookmarkStart w:id="3316" w:name="Bookmark_I5T6WYM02N1RCC0010000400"/>
      <w:bookmarkEnd w:id="3316"/>
      <w:r>
        <w:rPr>
          <w:rFonts w:ascii="Arial" w:eastAsia="Arial" w:hAnsi="Arial" w:cs="Arial"/>
          <w:i/>
          <w:color w:val="000000"/>
          <w:sz w:val="20"/>
        </w:rPr>
        <w:t>Alexander v. Choate</w:t>
      </w:r>
      <w:r>
        <w:rPr>
          <w:rFonts w:ascii="Arial" w:eastAsia="Arial" w:hAnsi="Arial" w:cs="Arial"/>
          <w:color w:val="000000"/>
          <w:sz w:val="20"/>
        </w:rPr>
        <w:t xml:space="preserve">, 469 U.S. 287, 301, 105 S. Ct. 712, 83 L. Ed. 2d 661 (1985), on the one hand, and the ADA provides for "full and equal enjoyment" of public accommodations, [**2]  42 U.S.C § 12182(a), on the other, to people with disabilities. When necessary to realize that access and enjoyment, the statutes require "reasonable accommodations," </w:t>
      </w:r>
      <w:bookmarkStart w:id="3317" w:name="Bookmark_I5T6WYM02N1RCC0030000400"/>
      <w:bookmarkEnd w:id="3317"/>
      <w:r>
        <w:rPr>
          <w:rFonts w:ascii="Arial" w:eastAsia="Arial" w:hAnsi="Arial" w:cs="Arial"/>
          <w:i/>
          <w:color w:val="000000"/>
          <w:sz w:val="20"/>
        </w:rPr>
        <w:t>Choate</w:t>
      </w:r>
      <w:r>
        <w:rPr>
          <w:rFonts w:ascii="Arial" w:eastAsia="Arial" w:hAnsi="Arial" w:cs="Arial"/>
          <w:color w:val="000000"/>
          <w:sz w:val="20"/>
        </w:rPr>
        <w:t>, 469 U.S. at 301, or "reasonable modifications," 42 U.S.C. § 12182(b)(2)(A)(ii), to be made by actors within the statutes' reach.</w:t>
      </w:r>
    </w:p>
    <w:p w:rsidR="00E456CD" w:rsidRDefault="00000000">
      <w:pPr>
        <w:pStyle w:val="Normal17"/>
        <w:widowControl w:val="0"/>
        <w:spacing w:before="200" w:line="260" w:lineRule="atLeast"/>
        <w:jc w:val="both"/>
      </w:pPr>
      <w:bookmarkStart w:id="3318" w:name="Bookmark_para_4_16"/>
      <w:bookmarkStart w:id="3319" w:name="Bookmark_LNHNREFclscc1_14"/>
      <w:bookmarkEnd w:id="3318"/>
      <w:bookmarkEnd w:id="3319"/>
      <w:r>
        <w:rPr>
          <w:rFonts w:ascii="Arial" w:eastAsia="Arial" w:hAnsi="Arial" w:cs="Arial"/>
          <w:color w:val="000000"/>
          <w:sz w:val="20"/>
        </w:rPr>
        <w:t xml:space="preserve">The Department of Justice (DOJ) has promulgated regulations interpreting the ADA's "reasonable modification" requirement to mean that covered actors generally must "modify policies, practices, or procedures to permit the use of a service animal by an individual with a disability," 28 C.F.R. § 36.302(c)(1); </w:t>
      </w:r>
      <w:r>
        <w:rPr>
          <w:rFonts w:ascii="Arial" w:eastAsia="Arial" w:hAnsi="Arial" w:cs="Arial"/>
          <w:i/>
          <w:color w:val="000000"/>
          <w:sz w:val="20"/>
        </w:rPr>
        <w:t>see also id.</w:t>
      </w:r>
      <w:r>
        <w:rPr>
          <w:rFonts w:ascii="Arial" w:eastAsia="Arial" w:hAnsi="Arial" w:cs="Arial"/>
          <w:color w:val="000000"/>
          <w:sz w:val="20"/>
        </w:rPr>
        <w:t xml:space="preserve"> § 35.136(a), and must "permit[] [such individuals] to be accompanied by their service animals in all areas of [the covered actor's facilities] where . . . program participants . . . are allowed to go," </w:t>
      </w:r>
      <w:r>
        <w:rPr>
          <w:rFonts w:ascii="Arial" w:eastAsia="Arial" w:hAnsi="Arial" w:cs="Arial"/>
          <w:i/>
          <w:color w:val="000000"/>
          <w:sz w:val="20"/>
        </w:rPr>
        <w:t>id.</w:t>
      </w:r>
      <w:r>
        <w:rPr>
          <w:rFonts w:ascii="Arial" w:eastAsia="Arial" w:hAnsi="Arial" w:cs="Arial"/>
          <w:color w:val="000000"/>
          <w:sz w:val="20"/>
        </w:rPr>
        <w:t xml:space="preserve"> § 36.302(c)(7); </w:t>
      </w:r>
      <w:r>
        <w:rPr>
          <w:rFonts w:ascii="Arial" w:eastAsia="Arial" w:hAnsi="Arial" w:cs="Arial"/>
          <w:i/>
          <w:color w:val="000000"/>
          <w:sz w:val="20"/>
        </w:rPr>
        <w:t>see also id.</w:t>
      </w:r>
      <w:r>
        <w:rPr>
          <w:rFonts w:ascii="Arial" w:eastAsia="Arial" w:hAnsi="Arial" w:cs="Arial"/>
          <w:color w:val="000000"/>
          <w:sz w:val="20"/>
        </w:rPr>
        <w:t xml:space="preserve"> § 35.136(g). The question presented by this case is one of first impression in the Courts of Appeals: whether, in the absence of a similar regulation specifically interpreting the RA, its mandate of "reasonable accommodations," consistent with the mandate of "reasonable modifications" under the ADA, generally requires that individuals with disabilities be permitted to be accompanied by their service animals and, thus, renders such requested accommodations </w:t>
      </w:r>
      <w:r>
        <w:rPr>
          <w:rFonts w:ascii="Arial" w:eastAsia="Arial" w:hAnsi="Arial" w:cs="Arial"/>
          <w:i/>
          <w:color w:val="000000"/>
          <w:sz w:val="20"/>
        </w:rPr>
        <w:t>per se</w:t>
      </w:r>
      <w:r>
        <w:rPr>
          <w:rFonts w:ascii="Arial" w:eastAsia="Arial" w:hAnsi="Arial" w:cs="Arial"/>
          <w:color w:val="000000"/>
          <w:sz w:val="20"/>
        </w:rPr>
        <w:t xml:space="preserve"> reasonable [**3]  in the ordinary course.</w:t>
      </w:r>
    </w:p>
    <w:p w:rsidR="00E456CD" w:rsidRDefault="00000000">
      <w:pPr>
        <w:pStyle w:val="Normal17"/>
        <w:widowControl w:val="0"/>
        <w:spacing w:before="200" w:line="260" w:lineRule="atLeast"/>
        <w:jc w:val="both"/>
      </w:pPr>
      <w:bookmarkStart w:id="3320" w:name="Bookmark_para_5_16"/>
      <w:bookmarkEnd w:id="3320"/>
      <w:r>
        <w:rPr>
          <w:rFonts w:ascii="Arial" w:eastAsia="Arial" w:hAnsi="Arial" w:cs="Arial"/>
          <w:color w:val="000000"/>
          <w:sz w:val="20"/>
        </w:rPr>
        <w:t>For the reasons set forth below, we hold that it does and that the District Court's contrary jury instructions constitute reversible error. Accordingly, we will vacate the judgment and remand for further proceedings consistent with this opinion.</w:t>
      </w:r>
    </w:p>
    <w:p w:rsidR="00E456CD" w:rsidRDefault="00000000">
      <w:pPr>
        <w:pStyle w:val="Normal17"/>
        <w:widowControl w:val="0"/>
        <w:spacing w:before="240" w:line="260" w:lineRule="atLeast"/>
      </w:pPr>
      <w:r>
        <w:br/>
      </w:r>
      <w:r>
        <w:rPr>
          <w:rFonts w:ascii="Arial" w:eastAsia="Arial" w:hAnsi="Arial" w:cs="Arial"/>
          <w:b/>
          <w:color w:val="000000"/>
          <w:sz w:val="20"/>
        </w:rPr>
        <w:t>I. Factual Background</w:t>
      </w:r>
    </w:p>
    <w:p w:rsidR="00E456CD" w:rsidRDefault="00000000">
      <w:pPr>
        <w:pStyle w:val="Normal17"/>
        <w:widowControl w:val="0"/>
        <w:spacing w:before="200" w:line="260" w:lineRule="atLeast"/>
        <w:jc w:val="both"/>
      </w:pPr>
      <w:bookmarkStart w:id="3321" w:name="Bookmark_para_6_16"/>
      <w:bookmarkEnd w:id="3321"/>
      <w:r>
        <w:rPr>
          <w:rFonts w:ascii="Arial" w:eastAsia="Arial" w:hAnsi="Arial" w:cs="Arial"/>
          <w:color w:val="000000"/>
          <w:sz w:val="20"/>
        </w:rPr>
        <w:t>This case centers on an elementary school student with dyslexia and epilepsy, M.B., and her rebuffed attempts to be accompanied by her service dog to school. When M.B. was a young child, her mother had to monitor her constantly and care for her during epileptic seizures, the onset of which could be subtle or sudden. As M.B. grew older and became more independent, though, her pediatric neurologist recommended that she obtain a service dog to take over this function.</w:t>
      </w:r>
      <w:r>
        <w:rPr>
          <w:rFonts w:ascii="Arial" w:eastAsia="Arial" w:hAnsi="Arial" w:cs="Arial"/>
          <w:vertAlign w:val="superscript"/>
        </w:rPr>
        <w:footnoteReference w:customMarkFollows="1" w:id="138"/>
        <w:t>1</w:t>
      </w:r>
      <w:r>
        <w:rPr>
          <w:rFonts w:ascii="Arial" w:eastAsia="Arial" w:hAnsi="Arial" w:cs="Arial"/>
          <w:color w:val="000000"/>
          <w:sz w:val="20"/>
        </w:rPr>
        <w:t xml:space="preserve"> M.B.'s mother therefore arranged to acquire a service dog, which accompanied M.B. to school during second grade and helped her cope with her epilepsy by alerting during a seizure and providing safety and comfort until the seizure had passed.</w:t>
      </w:r>
    </w:p>
    <w:p w:rsidR="00E456CD" w:rsidRDefault="00000000">
      <w:pPr>
        <w:pStyle w:val="Normal17"/>
        <w:widowControl w:val="0"/>
        <w:spacing w:before="200" w:line="260" w:lineRule="atLeast"/>
        <w:jc w:val="both"/>
      </w:pPr>
      <w:bookmarkStart w:id="3323" w:name="Bookmark_para_7_16"/>
      <w:bookmarkEnd w:id="3323"/>
      <w:r>
        <w:rPr>
          <w:rFonts w:ascii="Arial" w:eastAsia="Arial" w:hAnsi="Arial" w:cs="Arial"/>
          <w:color w:val="000000"/>
          <w:sz w:val="20"/>
        </w:rPr>
        <w:t>In third grade, M.B. switched to the dePaul School,</w:t>
      </w:r>
      <w:r>
        <w:rPr>
          <w:rFonts w:ascii="Arial" w:eastAsia="Arial" w:hAnsi="Arial" w:cs="Arial"/>
          <w:vertAlign w:val="superscript"/>
        </w:rPr>
        <w:footnoteReference w:customMarkFollows="1" w:id="139"/>
        <w:t>2</w:t>
      </w:r>
      <w:r>
        <w:rPr>
          <w:rFonts w:ascii="Arial" w:eastAsia="Arial" w:hAnsi="Arial" w:cs="Arial"/>
          <w:color w:val="000000"/>
          <w:sz w:val="20"/>
        </w:rPr>
        <w:t xml:space="preserve"> which had a specialized program for dyslexic students. Before enrolling M.B. there, M.B.'s mother met with the principal and explained that, in addition [**4]  to dyslexia, M.B. also had epilepsy  [*111]  and that the service dog, who had recently died, had accompanied M.B. to her previous school. M.B.'s mother also explained that M.B. was on the waiting list for a new service dog that likewise would need to accompany her to school. After receiving assurances from the principal that M.B. was a "very good fit" for the School, M.B.'s mother enrolled her that fall as a third grader. JA 501.</w:t>
      </w:r>
    </w:p>
    <w:p w:rsidR="00E456CD" w:rsidRDefault="00000000">
      <w:pPr>
        <w:pStyle w:val="Normal17"/>
        <w:widowControl w:val="0"/>
        <w:spacing w:before="200" w:line="260" w:lineRule="atLeast"/>
        <w:jc w:val="both"/>
      </w:pPr>
      <w:bookmarkStart w:id="3325" w:name="Bookmark_para_8_16"/>
      <w:bookmarkEnd w:id="3325"/>
      <w:r>
        <w:rPr>
          <w:rFonts w:ascii="Arial" w:eastAsia="Arial" w:hAnsi="Arial" w:cs="Arial"/>
          <w:color w:val="000000"/>
          <w:sz w:val="20"/>
        </w:rPr>
        <w:t>That winter, M.B. came off the waiting list and was paired with a new service dog, Buddy. But when M.B.'s mother asked the principal for permission to send Buddy to school with M.B., the principal refused, asserting for the first time that Buddy would be "too much of a distraction" to other children. JA 673. Because Buddy was not allowed to accompany her, M.B. missed the next two weeks of school to be with Buddy 24 hours a day for an initial intensive bonding period. And after M.B. returned to school, because the principal continued to deny permission for Buddy to accompany her throughout the remainder of third grade, Buddy was not available to alert school staff during seizure activity or to support her recovery. As a result, M.B.'s mother kept M.B. home when her [**5]  seizures were more severe.</w:t>
      </w:r>
    </w:p>
    <w:p w:rsidR="00E456CD" w:rsidRDefault="00000000">
      <w:pPr>
        <w:pStyle w:val="Normal17"/>
        <w:widowControl w:val="0"/>
        <w:spacing w:before="200" w:line="260" w:lineRule="atLeast"/>
        <w:jc w:val="both"/>
      </w:pPr>
      <w:bookmarkStart w:id="3326" w:name="Bookmark_para_9_16"/>
      <w:bookmarkEnd w:id="3326"/>
      <w:r>
        <w:rPr>
          <w:rFonts w:ascii="Arial" w:eastAsia="Arial" w:hAnsi="Arial" w:cs="Arial"/>
          <w:color w:val="000000"/>
          <w:sz w:val="20"/>
        </w:rPr>
        <w:t>In an effort to avoid these interruptions to M.B.'s education, M.B.'s mother met with the principal again before fourth grade to request that Buddy be permitted to accompany M.B. in the new school year. By that time, Buddy not only could alert during M.B.'s seizures, but also could predict and alert to them minutes before they even began. But the principal still refused, once more asserting that Buddy might distract other students. Yet again, M.B. attempted to attend without Buddy, but that year she missed 65 days of school—more than one-third of the school year—with seizure activity accounting for about half of her absences.</w:t>
      </w:r>
    </w:p>
    <w:p w:rsidR="00E456CD" w:rsidRDefault="00000000">
      <w:pPr>
        <w:pStyle w:val="Normal17"/>
        <w:widowControl w:val="0"/>
        <w:spacing w:before="200" w:line="260" w:lineRule="atLeast"/>
        <w:jc w:val="both"/>
      </w:pPr>
      <w:bookmarkStart w:id="3327" w:name="Bookmark_para_10_16"/>
      <w:bookmarkEnd w:id="3327"/>
      <w:r>
        <w:rPr>
          <w:rFonts w:ascii="Arial" w:eastAsia="Arial" w:hAnsi="Arial" w:cs="Arial"/>
          <w:color w:val="000000"/>
          <w:sz w:val="20"/>
        </w:rPr>
        <w:t>A devoted advocate, M.B.'s mother sought permission again on the eve of fifth grade for Buddy to accompany M.B. to school, pointing out that M.B.'s seizures were increasing in frequency, which exacerbated the concerns about her attending without Buddy's assistance. But again the principal refused, citing possible distraction, and so once more M.B. started the school year unaccompanied by Buddy. Without her service animal, however, M.B. became anxious and distracted at school, afraid of enduring the increased seizure activity. Her mother [**6]  therefore met again with the principal to renew her request for Buddy to accompany M.B. to school and to advise the principal that M.B.'s pediatric neurologist had recommended that Buddy "should be at school with her." JA 530. The principal promised to "look into" the request. JA 531.</w:t>
      </w:r>
    </w:p>
    <w:p w:rsidR="00E456CD" w:rsidRDefault="00000000">
      <w:pPr>
        <w:pStyle w:val="Normal17"/>
        <w:widowControl w:val="0"/>
        <w:spacing w:before="200" w:line="260" w:lineRule="atLeast"/>
        <w:jc w:val="both"/>
      </w:pPr>
      <w:bookmarkStart w:id="3328" w:name="Bookmark_para_11_16"/>
      <w:bookmarkEnd w:id="3328"/>
      <w:r>
        <w:rPr>
          <w:rFonts w:ascii="Arial" w:eastAsia="Arial" w:hAnsi="Arial" w:cs="Arial"/>
          <w:color w:val="000000"/>
          <w:sz w:val="20"/>
        </w:rPr>
        <w:t>Unsatisfied with that answer, M.B.'s mother simply began bringing Buddy to school with M.B. in the morning. Each day she did so, however, the principal stopped them at the entrance of the School and refused to allow Buddy to enter. The principal also offered a new explanation: Instead of pointing to the possibility of distraction, the principal said she had discovered that another student in the School was allergic to dogs.</w:t>
      </w:r>
    </w:p>
    <w:p w:rsidR="00E456CD" w:rsidRDefault="00000000">
      <w:pPr>
        <w:pStyle w:val="Normal17"/>
        <w:widowControl w:val="0"/>
        <w:spacing w:before="200" w:line="260" w:lineRule="atLeast"/>
        <w:jc w:val="both"/>
      </w:pPr>
      <w:bookmarkStart w:id="3329" w:name="Bookmark_para_12_15"/>
      <w:bookmarkEnd w:id="3329"/>
      <w:r>
        <w:rPr>
          <w:rFonts w:ascii="Arial" w:eastAsia="Arial" w:hAnsi="Arial" w:cs="Arial"/>
          <w:color w:val="000000"/>
          <w:sz w:val="20"/>
        </w:rPr>
        <w:t>At that point, given M.B.'s growing anxiety and distraction and the medical risks associated with attending school without Buddy, M.B. stayed home from school for more than two months while her mother continued her efforts to obtain an accommodation from the School. Those efforts included leaving telephone messages, having her attorney send letters, and forwarding a note she obtained from M.B.'s pediatrician that explained that, because M.B.'s "seizure activity has escalated and is not [**7]  always obvious, it is medically necessary for 'Buddy,' [her] trained seizure dog, to  [*112]  be with her 24 hours [a day] / 7 days a week." JA 1396. A teacher at the School also provided the principal with an informational article about seizure alert dogs that detailed how they are able to predict and alert to seizures and give their owners time to move to a safe place, take medication, call for help, and notify others about the impending seizure for later monitoring. And the parents of the student who was allergic to dogs, for their part, informed the principal that they had arranged for allergy treatments for their son and did not want M.B. to be excluded from the School on his behalf.</w:t>
      </w:r>
    </w:p>
    <w:p w:rsidR="00E456CD" w:rsidRDefault="00000000">
      <w:pPr>
        <w:pStyle w:val="Normal17"/>
        <w:widowControl w:val="0"/>
        <w:spacing w:before="200" w:line="260" w:lineRule="atLeast"/>
        <w:jc w:val="both"/>
      </w:pPr>
      <w:bookmarkStart w:id="3330" w:name="Bookmark_para_13_14"/>
      <w:bookmarkEnd w:id="3330"/>
      <w:r>
        <w:rPr>
          <w:rFonts w:ascii="Arial" w:eastAsia="Arial" w:hAnsi="Arial" w:cs="Arial"/>
          <w:color w:val="000000"/>
          <w:sz w:val="20"/>
        </w:rPr>
        <w:t>After weeks of back-and-forth effort, the principal finally agreed that M.B. could return with Buddy, but only on the condition that Buddy at all times wear a special therapeutic shirt designed to decrease allergens. Thus, in January of fifth grade, M.B. finally returned to school, this time with Buddy. But her return was short-lived. The special hypo-allergenic shirt made Buddy overheated, causing him to pant and to fail to alert or respond when M.B. had seizures. After two weeks of these conditions, M.B.'s [**8]  mother learned that M.B had slept on the floor of the principal's office for hours after seizing without Buddy's intervention. The next day, she withdrew M.B. from the School permanently.</w:t>
      </w:r>
    </w:p>
    <w:p w:rsidR="00E456CD" w:rsidRDefault="00000000">
      <w:pPr>
        <w:pStyle w:val="Normal17"/>
        <w:widowControl w:val="0"/>
        <w:spacing w:before="200" w:line="260" w:lineRule="atLeast"/>
        <w:jc w:val="both"/>
      </w:pPr>
      <w:bookmarkStart w:id="3331" w:name="Bookmark_para_14_14"/>
      <w:bookmarkEnd w:id="3331"/>
      <w:r>
        <w:rPr>
          <w:rFonts w:ascii="Arial" w:eastAsia="Arial" w:hAnsi="Arial" w:cs="Arial"/>
          <w:color w:val="000000"/>
          <w:sz w:val="20"/>
        </w:rPr>
        <w:t>Eventually, M.B. was enrolled in the local public school, which allowed Buddy to accompany her. By that point, however, M.B.'s testing showed that she had fallen too far behind to resume or even to repeat fifth grade. Instead, she was required to enter as a fourth grader.</w:t>
      </w:r>
    </w:p>
    <w:p w:rsidR="00E456CD" w:rsidRDefault="00000000">
      <w:pPr>
        <w:pStyle w:val="Normal17"/>
        <w:widowControl w:val="0"/>
        <w:spacing w:before="240" w:line="260" w:lineRule="atLeast"/>
      </w:pPr>
      <w:r>
        <w:br/>
      </w:r>
      <w:r>
        <w:rPr>
          <w:rFonts w:ascii="Arial" w:eastAsia="Arial" w:hAnsi="Arial" w:cs="Arial"/>
          <w:b/>
          <w:color w:val="000000"/>
          <w:sz w:val="20"/>
        </w:rPr>
        <w:t>II. Procedural Background</w:t>
      </w:r>
    </w:p>
    <w:p w:rsidR="00E456CD" w:rsidRDefault="00000000">
      <w:pPr>
        <w:pStyle w:val="Normal17"/>
        <w:widowControl w:val="0"/>
        <w:spacing w:before="200" w:line="260" w:lineRule="atLeast"/>
        <w:jc w:val="both"/>
      </w:pPr>
      <w:bookmarkStart w:id="3332" w:name="Bookmark_para_15_14"/>
      <w:bookmarkEnd w:id="3332"/>
      <w:r>
        <w:rPr>
          <w:rFonts w:ascii="Arial" w:eastAsia="Arial" w:hAnsi="Arial" w:cs="Arial"/>
          <w:color w:val="000000"/>
          <w:sz w:val="20"/>
        </w:rPr>
        <w:t>M.B.'s parents sued the School, asserting that it had failed to accommodate M.B. in violation of § 504 of the Rehabilitation Act (RA), Title III of the Americans with Disabilities Act (ADA), and the Pennsylvania Human Relations Act (PHRA).</w:t>
      </w:r>
      <w:r>
        <w:rPr>
          <w:rFonts w:ascii="Arial" w:eastAsia="Arial" w:hAnsi="Arial" w:cs="Arial"/>
          <w:vertAlign w:val="superscript"/>
        </w:rPr>
        <w:footnoteReference w:customMarkFollows="1" w:id="140"/>
        <w:t>3</w:t>
      </w:r>
      <w:r>
        <w:rPr>
          <w:rFonts w:ascii="Arial" w:eastAsia="Arial" w:hAnsi="Arial" w:cs="Arial"/>
          <w:color w:val="000000"/>
          <w:sz w:val="20"/>
        </w:rPr>
        <w:t xml:space="preserve"> After discovery, the School moved for summary judgment on all claims, and the District Court granted that motion as to the ADA and PHRA claims.</w:t>
      </w:r>
    </w:p>
    <w:p w:rsidR="00E456CD" w:rsidRDefault="00000000">
      <w:pPr>
        <w:pStyle w:val="Normal17"/>
        <w:widowControl w:val="0"/>
        <w:spacing w:before="200" w:line="260" w:lineRule="atLeast"/>
        <w:jc w:val="both"/>
      </w:pPr>
      <w:bookmarkStart w:id="3334" w:name="Bookmark_para_16_13"/>
      <w:bookmarkEnd w:id="3334"/>
      <w:r>
        <w:rPr>
          <w:rFonts w:ascii="Arial" w:eastAsia="Arial" w:hAnsi="Arial" w:cs="Arial"/>
          <w:color w:val="000000"/>
          <w:sz w:val="20"/>
        </w:rPr>
        <w:t>Regarding the ADA claim, the Court noted that M.B.'s parents only sought damages and explained that damages are not an available form of relief under Title III of the ADA. As for the PHRA claim, the District Court summarily stated, "the analysis of an ADA claim applies equally to a PHRA claim," JA 23, and dismissed it on that basis.</w:t>
      </w:r>
    </w:p>
    <w:p w:rsidR="00E456CD" w:rsidRDefault="00000000">
      <w:pPr>
        <w:pStyle w:val="Normal17"/>
        <w:widowControl w:val="0"/>
        <w:spacing w:before="200" w:line="260" w:lineRule="atLeast"/>
        <w:jc w:val="both"/>
      </w:pPr>
      <w:bookmarkStart w:id="3335" w:name="Bookmark_para_17_12"/>
      <w:bookmarkEnd w:id="3335"/>
      <w:r>
        <w:rPr>
          <w:rFonts w:ascii="Arial" w:eastAsia="Arial" w:hAnsi="Arial" w:cs="Arial"/>
          <w:color w:val="000000"/>
          <w:sz w:val="20"/>
        </w:rPr>
        <w:t xml:space="preserve">The [**9]  District Court then turned to the RA claim. Observing that the substantive standard of liability to prove discrimination under § 504 of the RA was "materially identical" to the standard under the ADA, JA 27 (citation omitted), the Court looked for guidance to the DOJ's regulations implementing the ADA, which require that "reasonable modifications" be made when necessary to avoid disability discrimination, 28 C.F.R. §§ 35.130(b)(7)(i), 36.302(a). It identified two particular ADA regulations pertaining to service animals—one applicable to public entities, </w:t>
      </w:r>
      <w:r>
        <w:rPr>
          <w:rFonts w:ascii="Arial" w:eastAsia="Arial" w:hAnsi="Arial" w:cs="Arial"/>
          <w:i/>
          <w:color w:val="000000"/>
          <w:sz w:val="20"/>
        </w:rPr>
        <w:t>id.</w:t>
      </w:r>
      <w:r>
        <w:rPr>
          <w:rFonts w:ascii="Arial" w:eastAsia="Arial" w:hAnsi="Arial" w:cs="Arial"/>
          <w:color w:val="000000"/>
          <w:sz w:val="20"/>
        </w:rPr>
        <w:t xml:space="preserve"> § 35.136, and one applicable to public accommodations, </w:t>
      </w:r>
      <w:r>
        <w:rPr>
          <w:rFonts w:ascii="Arial" w:eastAsia="Arial" w:hAnsi="Arial" w:cs="Arial"/>
          <w:i/>
          <w:color w:val="000000"/>
          <w:sz w:val="20"/>
        </w:rPr>
        <w:t>id.</w:t>
      </w:r>
      <w:r>
        <w:rPr>
          <w:rFonts w:ascii="Arial" w:eastAsia="Arial" w:hAnsi="Arial" w:cs="Arial"/>
          <w:color w:val="000000"/>
          <w:sz w:val="20"/>
        </w:rPr>
        <w:t xml:space="preserve"> § 36.302.</w:t>
      </w:r>
      <w:r>
        <w:rPr>
          <w:rFonts w:ascii="Arial" w:eastAsia="Arial" w:hAnsi="Arial" w:cs="Arial"/>
          <w:vertAlign w:val="superscript"/>
        </w:rPr>
        <w:footnoteReference w:customMarkFollows="1" w:id="141"/>
        <w:t>4</w:t>
      </w:r>
      <w:r>
        <w:rPr>
          <w:rFonts w:ascii="Arial" w:eastAsia="Arial" w:hAnsi="Arial" w:cs="Arial"/>
          <w:color w:val="000000"/>
          <w:sz w:val="20"/>
        </w:rPr>
        <w:t xml:space="preserve"> In both, the DOJ interprets  [*113]  "reasonable modifications" to mean that covered actors "shall modify [their] policies, practices, or procedures to permit the use of a service animal by an individual with a disability." </w:t>
      </w:r>
      <w:r>
        <w:rPr>
          <w:rFonts w:ascii="Arial" w:eastAsia="Arial" w:hAnsi="Arial" w:cs="Arial"/>
          <w:i/>
          <w:color w:val="000000"/>
          <w:sz w:val="20"/>
        </w:rPr>
        <w:t>Id.</w:t>
      </w:r>
      <w:r>
        <w:rPr>
          <w:rFonts w:ascii="Arial" w:eastAsia="Arial" w:hAnsi="Arial" w:cs="Arial"/>
          <w:color w:val="000000"/>
          <w:sz w:val="20"/>
        </w:rPr>
        <w:t xml:space="preserve"> §§ 35.136(a), 36.302(c)(1). Determining that the DOJ's interpretation of the ADA was equally applicable to the RA and was therefore "enforceable against [the School] in deciding whether it violated federal law," JA 29, the District Court concluded that there were genuine disputes of material fact as to whether the School failed to accommodate M.B. under the RA and denied its summary judgment motion as to that claim. The parties [**10]  then proceeded to a jury trial, with the District Court continuing to indicate that the ADA service animal regulations were controlling by, for example, excluding testimony from Buddy's trainer about whether it was reasonable for Buddy to wear the hypo-allergenic shirt on the ground that "[r]easonableness has already been determined by D.O.J. regulations." JA 262.</w:t>
      </w:r>
    </w:p>
    <w:p w:rsidR="00E456CD" w:rsidRDefault="00000000">
      <w:pPr>
        <w:pStyle w:val="Normal17"/>
        <w:widowControl w:val="0"/>
        <w:spacing w:before="200" w:line="260" w:lineRule="atLeast"/>
        <w:jc w:val="both"/>
      </w:pPr>
      <w:bookmarkStart w:id="3337" w:name="Bookmark_para_18_12"/>
      <w:bookmarkEnd w:id="3337"/>
      <w:r>
        <w:rPr>
          <w:rFonts w:ascii="Arial" w:eastAsia="Arial" w:hAnsi="Arial" w:cs="Arial"/>
          <w:color w:val="000000"/>
          <w:sz w:val="20"/>
        </w:rPr>
        <w:t>Three days later, however, the District Court sharply reversed course. First, it disallowed deposition testimony about the service animal regulations on the ground that "the A.D.A. is not in this case." JA 810. And second, when it came time for jury instructions and M.B.'s counsel proposed an instruction that mirrored the regulations that the District Court had found enforceable at the summary judgment phase,</w:t>
      </w:r>
      <w:r>
        <w:rPr>
          <w:rFonts w:ascii="Arial" w:eastAsia="Arial" w:hAnsi="Arial" w:cs="Arial"/>
          <w:vertAlign w:val="superscript"/>
        </w:rPr>
        <w:footnoteReference w:customMarkFollows="1" w:id="142"/>
        <w:t>5</w:t>
      </w:r>
      <w:r>
        <w:rPr>
          <w:rFonts w:ascii="Arial" w:eastAsia="Arial" w:hAnsi="Arial" w:cs="Arial"/>
          <w:color w:val="000000"/>
          <w:sz w:val="20"/>
        </w:rPr>
        <w:t xml:space="preserve"> the Court rejected it, asserting that, at trial, "the standard is different."</w:t>
      </w:r>
      <w:r>
        <w:rPr>
          <w:rFonts w:ascii="Arial" w:eastAsia="Arial" w:hAnsi="Arial" w:cs="Arial"/>
          <w:vertAlign w:val="superscript"/>
        </w:rPr>
        <w:footnoteReference w:customMarkFollows="1" w:id="143"/>
        <w:t>6</w:t>
      </w:r>
      <w:r>
        <w:rPr>
          <w:rFonts w:ascii="Arial" w:eastAsia="Arial" w:hAnsi="Arial" w:cs="Arial"/>
          <w:color w:val="000000"/>
          <w:sz w:val="20"/>
        </w:rPr>
        <w:t xml:space="preserve"> JA 984.</w:t>
      </w:r>
    </w:p>
    <w:p w:rsidR="00E456CD" w:rsidRDefault="00000000">
      <w:pPr>
        <w:pStyle w:val="Normal17"/>
        <w:widowControl w:val="0"/>
        <w:spacing w:before="200" w:line="260" w:lineRule="atLeast"/>
        <w:jc w:val="both"/>
      </w:pPr>
      <w:bookmarkStart w:id="3340" w:name="Bookmark_para_19_12"/>
      <w:bookmarkEnd w:id="3340"/>
      <w:r>
        <w:rPr>
          <w:rFonts w:ascii="Arial" w:eastAsia="Arial" w:hAnsi="Arial" w:cs="Arial"/>
          <w:color w:val="000000"/>
          <w:sz w:val="20"/>
        </w:rPr>
        <w:t>Instead, the District Court instructed the jury that, to prevail on a claim for failure to accommodate, plaintiffs were required to "prov[e] by a preponderance of the evidence that the requested accommodations" were "reasonable," and further defined that term as meaning "necessary to avoid discrimination on the basis of a disability," [**11]  or, "[i]n other words . . . necessary to permit [M.B.] meaningful participation." JA 1007. Only if the plaintiffs proved the accommodations were "necessary to avoid discrimination . . . on the basis of [M.B.]'s disability," the Court advised, would "the burden shift[] to [the School] to prove by a preponderance of the evidence that the requested accommodations were unreasonable." JA 1008.</w:t>
      </w:r>
    </w:p>
    <w:p w:rsidR="00E456CD" w:rsidRDefault="00000000">
      <w:pPr>
        <w:pStyle w:val="Normal17"/>
        <w:widowControl w:val="0"/>
        <w:spacing w:before="200" w:line="260" w:lineRule="atLeast"/>
        <w:jc w:val="both"/>
      </w:pPr>
      <w:bookmarkStart w:id="3341" w:name="Bookmark_para_20_12"/>
      <w:bookmarkEnd w:id="3341"/>
      <w:r>
        <w:rPr>
          <w:rFonts w:ascii="Arial" w:eastAsia="Arial" w:hAnsi="Arial" w:cs="Arial"/>
          <w:color w:val="000000"/>
          <w:sz w:val="20"/>
        </w:rPr>
        <w:t>Apparently confused as to how these instructions related to the need to accommodate service animals, the jury sent the Court a question the same day requesting "up to date specific information re: service dogs pertaining to act #504/ADA." JA 1998. At that point, M.B.'s counsel again urged the Court to instruct the jury on the ADA service animal regulations, but the Court again declined, stating that it had already "g[iven] them the law that relates to this case" and would not "go look for some new law to tell them about or some different law or something that's not been already submitted or given to them." JA  [*114]  1089. The jury then returned a verdict for the School.</w:t>
      </w:r>
    </w:p>
    <w:p w:rsidR="00E456CD" w:rsidRDefault="00000000">
      <w:pPr>
        <w:pStyle w:val="Normal17"/>
        <w:widowControl w:val="0"/>
        <w:spacing w:before="200" w:line="260" w:lineRule="atLeast"/>
        <w:jc w:val="both"/>
      </w:pPr>
      <w:bookmarkStart w:id="3342" w:name="Bookmark_para_21_12"/>
      <w:bookmarkEnd w:id="3342"/>
      <w:r>
        <w:rPr>
          <w:rFonts w:ascii="Arial" w:eastAsia="Arial" w:hAnsi="Arial" w:cs="Arial"/>
          <w:color w:val="000000"/>
          <w:sz w:val="20"/>
        </w:rPr>
        <w:t>M.B.'s parents timely appealed, seeking reversal of the dismissal of their PHRA claim as well as a new trial on their RA claim on the ground [**12]  that the District Court did not properly instruct the jury on the applicable law.</w:t>
      </w:r>
    </w:p>
    <w:p w:rsidR="00E456CD" w:rsidRDefault="00000000">
      <w:pPr>
        <w:pStyle w:val="Normal17"/>
        <w:widowControl w:val="0"/>
        <w:spacing w:before="240" w:line="260" w:lineRule="atLeast"/>
      </w:pPr>
      <w:r>
        <w:br/>
      </w:r>
      <w:r>
        <w:rPr>
          <w:rFonts w:ascii="Arial" w:eastAsia="Arial" w:hAnsi="Arial" w:cs="Arial"/>
          <w:b/>
          <w:color w:val="000000"/>
          <w:sz w:val="20"/>
        </w:rPr>
        <w:t>III. Jurisdiction and Standard of Review</w:t>
      </w:r>
    </w:p>
    <w:p w:rsidR="00E456CD" w:rsidRDefault="00000000">
      <w:pPr>
        <w:pStyle w:val="Normal17"/>
        <w:widowControl w:val="0"/>
        <w:spacing w:before="200" w:line="260" w:lineRule="atLeast"/>
        <w:jc w:val="both"/>
      </w:pPr>
      <w:bookmarkStart w:id="3343" w:name="Bookmark_para_22_12"/>
      <w:bookmarkStart w:id="3344" w:name="Bookmark_I5T6WYM02SF8BF0010000400"/>
      <w:bookmarkEnd w:id="3343"/>
      <w:bookmarkEnd w:id="3344"/>
      <w:r>
        <w:rPr>
          <w:rFonts w:ascii="Arial" w:eastAsia="Arial" w:hAnsi="Arial" w:cs="Arial"/>
          <w:color w:val="000000"/>
          <w:sz w:val="20"/>
        </w:rPr>
        <w:t xml:space="preserve">The District Court had jurisdiction pursuant to 28 U.S.C. §§ 1331 and 1367, and we have jurisdiction under 28 U.S.C. § 1291. </w:t>
      </w:r>
      <w:bookmarkStart w:id="3345" w:name="Bookmark_I5T6WYM02SF8BF0030000400"/>
      <w:bookmarkStart w:id="3346" w:name="Bookmark_LNHNREFclscc2_14"/>
      <w:bookmarkEnd w:id="3345"/>
      <w:bookmarkEnd w:id="3346"/>
      <w:r>
        <w:rPr>
          <w:rFonts w:ascii="Arial" w:eastAsia="Arial" w:hAnsi="Arial" w:cs="Arial"/>
          <w:color w:val="000000"/>
          <w:sz w:val="20"/>
        </w:rPr>
        <w:t xml:space="preserve">We review de novo the District Court's decision to grant summary judgment, which "is appropriate only where there is no genuine issue of material fact and the moving party is entitled to judgment as a matter of law." </w:t>
      </w:r>
      <w:bookmarkStart w:id="3347" w:name="Bookmark_I5T6WYM02N1RCC0050000400"/>
      <w:bookmarkEnd w:id="3347"/>
      <w:r>
        <w:rPr>
          <w:rFonts w:ascii="Arial" w:eastAsia="Arial" w:hAnsi="Arial" w:cs="Arial"/>
          <w:i/>
          <w:color w:val="000000"/>
          <w:sz w:val="20"/>
        </w:rPr>
        <w:t>Gonzalez v. AMR</w:t>
      </w:r>
      <w:r>
        <w:rPr>
          <w:rFonts w:ascii="Arial" w:eastAsia="Arial" w:hAnsi="Arial" w:cs="Arial"/>
          <w:color w:val="000000"/>
          <w:sz w:val="20"/>
        </w:rPr>
        <w:t xml:space="preserve">, 549 F.3d 219, 223, 50 V.I. 1150 (3d Cir. 2008). Whether jury instructions state the proper legal standard is a legal question over which we exercise plenary review. </w:t>
      </w:r>
      <w:bookmarkStart w:id="3348" w:name="Bookmark_I5T6WYM02SF8BF0030000400_2"/>
      <w:bookmarkStart w:id="3349" w:name="Bookmark_I5T6WYM02SF8BF0020000400"/>
      <w:bookmarkEnd w:id="3348"/>
      <w:bookmarkEnd w:id="3349"/>
      <w:r>
        <w:rPr>
          <w:rFonts w:ascii="Arial" w:eastAsia="Arial" w:hAnsi="Arial" w:cs="Arial"/>
          <w:i/>
          <w:color w:val="000000"/>
          <w:sz w:val="20"/>
        </w:rPr>
        <w:t>United States v. Coyle</w:t>
      </w:r>
      <w:r>
        <w:rPr>
          <w:rFonts w:ascii="Arial" w:eastAsia="Arial" w:hAnsi="Arial" w:cs="Arial"/>
          <w:color w:val="000000"/>
          <w:sz w:val="20"/>
        </w:rPr>
        <w:t>, 63 F.3d 1239, 1245 (3d Cir. 1995).</w:t>
      </w:r>
    </w:p>
    <w:p w:rsidR="00E456CD" w:rsidRDefault="00000000">
      <w:pPr>
        <w:pStyle w:val="Normal17"/>
        <w:widowControl w:val="0"/>
        <w:spacing w:before="240" w:line="260" w:lineRule="atLeast"/>
      </w:pPr>
      <w:r>
        <w:br/>
      </w:r>
      <w:r>
        <w:rPr>
          <w:rFonts w:ascii="Arial" w:eastAsia="Arial" w:hAnsi="Arial" w:cs="Arial"/>
          <w:b/>
          <w:color w:val="000000"/>
          <w:sz w:val="20"/>
        </w:rPr>
        <w:t>IV. Analysis</w:t>
      </w:r>
    </w:p>
    <w:p w:rsidR="00E456CD" w:rsidRDefault="00000000">
      <w:pPr>
        <w:pStyle w:val="Normal17"/>
        <w:widowControl w:val="0"/>
        <w:spacing w:before="200" w:line="260" w:lineRule="atLeast"/>
        <w:jc w:val="both"/>
      </w:pPr>
      <w:bookmarkStart w:id="3350" w:name="Bookmark_para_23_12"/>
      <w:bookmarkEnd w:id="3350"/>
      <w:r>
        <w:rPr>
          <w:rFonts w:ascii="Arial" w:eastAsia="Arial" w:hAnsi="Arial" w:cs="Arial"/>
          <w:color w:val="000000"/>
          <w:sz w:val="20"/>
        </w:rPr>
        <w:t>Focusing primarily on their RA claim, Appellants argue that because the substantive standards for liability under the RA and the ADA are the same, the service animal regulations interpreting "reasonable modifications" under the ADA apply equally to "reasonable accommodations" under the RA. Therefore, according to Appellants, actors covered by the RA must modify their policies to allow for the use of service animals by individuals with disabilities to the same extent as actors covered by the ADA. For the reasons we explain below, we agree.</w:t>
      </w:r>
    </w:p>
    <w:p w:rsidR="00E456CD" w:rsidRDefault="00000000">
      <w:pPr>
        <w:pStyle w:val="Normal17"/>
        <w:widowControl w:val="0"/>
        <w:spacing w:before="200" w:line="260" w:lineRule="atLeast"/>
        <w:jc w:val="both"/>
      </w:pPr>
      <w:bookmarkStart w:id="3351" w:name="Bookmark_para_24_11"/>
      <w:bookmarkEnd w:id="3351"/>
      <w:r>
        <w:rPr>
          <w:rFonts w:ascii="Arial" w:eastAsia="Arial" w:hAnsi="Arial" w:cs="Arial"/>
          <w:color w:val="000000"/>
          <w:sz w:val="20"/>
        </w:rPr>
        <w:t>First, we explain why we conclude—based on (1) the interplay between the two statutes, (2) case law [**13]  interpreting them to have identical substantive standards of liability, (3) the DOJ's interpretation of the "reasonable modification" requirement in the ADA service animal regulations, and (4) consonant guidance from the Department of Education (DOE) in the RA context—that the "reasonableness" of an accommodation or a modification under either statute must be interpreted the same way. Thus, it constitutes discrimination under the RA, to the same extent as under the ADA, to refuse to permit disabled individuals to be accompanied by service animals. Second, we address the School's arguments to the contrary. And finally, we consider the ramifications of our holding for the judgment on the RA claim and briefly explain why the dismissal of the PHRA claim must be reversed.</w:t>
      </w:r>
    </w:p>
    <w:p w:rsidR="00E456CD" w:rsidRDefault="00000000">
      <w:pPr>
        <w:pStyle w:val="Normal17"/>
        <w:widowControl w:val="0"/>
        <w:spacing w:before="240" w:line="260" w:lineRule="atLeast"/>
      </w:pPr>
      <w:r>
        <w:br/>
      </w:r>
      <w:r>
        <w:rPr>
          <w:rFonts w:ascii="Arial" w:eastAsia="Arial" w:hAnsi="Arial" w:cs="Arial"/>
          <w:b/>
          <w:color w:val="000000"/>
          <w:sz w:val="20"/>
        </w:rPr>
        <w:t>A. The Relationship Between the RA and the ADA</w:t>
      </w:r>
    </w:p>
    <w:p w:rsidR="00E456CD" w:rsidRDefault="00000000">
      <w:pPr>
        <w:pStyle w:val="Normal17"/>
        <w:widowControl w:val="0"/>
        <w:spacing w:before="240" w:line="260" w:lineRule="atLeast"/>
      </w:pPr>
      <w:r>
        <w:br/>
      </w:r>
      <w:r>
        <w:rPr>
          <w:rFonts w:ascii="Arial" w:eastAsia="Arial" w:hAnsi="Arial" w:cs="Arial"/>
          <w:b/>
          <w:color w:val="000000"/>
          <w:sz w:val="20"/>
        </w:rPr>
        <w:t>1. Statutory History</w:t>
      </w:r>
    </w:p>
    <w:p w:rsidR="00E456CD" w:rsidRDefault="00000000">
      <w:pPr>
        <w:pStyle w:val="Normal17"/>
        <w:widowControl w:val="0"/>
        <w:spacing w:before="200" w:line="260" w:lineRule="atLeast"/>
        <w:jc w:val="both"/>
      </w:pPr>
      <w:bookmarkStart w:id="3352" w:name="Bookmark_para_25_11"/>
      <w:bookmarkEnd w:id="3352"/>
      <w:r>
        <w:rPr>
          <w:rFonts w:ascii="Arial" w:eastAsia="Arial" w:hAnsi="Arial" w:cs="Arial"/>
          <w:color w:val="000000"/>
          <w:sz w:val="20"/>
        </w:rPr>
        <w:t>To understand the interplay between the RA's "reasonable accommodation" requirement and the ADA's "reasonable modification" requirement, and therefore to determine the relevance of the ADA service animal regulations for actors covered by the RA, we must first understand the relationship between the two statutes.</w:t>
      </w:r>
    </w:p>
    <w:p w:rsidR="00E456CD" w:rsidRDefault="00000000">
      <w:pPr>
        <w:pStyle w:val="Normal17"/>
        <w:widowControl w:val="0"/>
        <w:spacing w:before="200" w:line="260" w:lineRule="atLeast"/>
        <w:jc w:val="both"/>
      </w:pPr>
      <w:bookmarkStart w:id="3353" w:name="Bookmark_para_26_11"/>
      <w:bookmarkStart w:id="3354" w:name="Bookmark_I5T6WYM02SF8BF0050000400"/>
      <w:bookmarkStart w:id="3355" w:name="Bookmark_I5T6WYM02SF8BG0020000400"/>
      <w:bookmarkEnd w:id="3353"/>
      <w:bookmarkEnd w:id="3354"/>
      <w:bookmarkEnd w:id="3355"/>
      <w:r>
        <w:rPr>
          <w:rFonts w:ascii="Arial" w:eastAsia="Arial" w:hAnsi="Arial" w:cs="Arial"/>
          <w:color w:val="000000"/>
          <w:sz w:val="20"/>
        </w:rPr>
        <w:t xml:space="preserve">The Rehabilitation Act of 1973 "was the first [**14]  broad federal statute aimed at eradicating discrimination against individuals with disabilities." </w:t>
      </w:r>
      <w:bookmarkStart w:id="3356" w:name="Bookmark_I5T6WYM02SF8BF0040000400"/>
      <w:bookmarkEnd w:id="3356"/>
      <w:r>
        <w:rPr>
          <w:rFonts w:ascii="Arial" w:eastAsia="Arial" w:hAnsi="Arial" w:cs="Arial"/>
          <w:i/>
          <w:color w:val="000000"/>
          <w:sz w:val="20"/>
        </w:rPr>
        <w:t>Helen L. v. DiDario</w:t>
      </w:r>
      <w:r>
        <w:rPr>
          <w:rFonts w:ascii="Arial" w:eastAsia="Arial" w:hAnsi="Arial" w:cs="Arial"/>
          <w:color w:val="000000"/>
          <w:sz w:val="20"/>
        </w:rPr>
        <w:t xml:space="preserve">, 46 F.3d 325, 330 (3d Cir. 1995), </w:t>
      </w:r>
      <w:r>
        <w:rPr>
          <w:rFonts w:ascii="Arial" w:eastAsia="Arial" w:hAnsi="Arial" w:cs="Arial"/>
          <w:i/>
          <w:color w:val="000000"/>
          <w:sz w:val="20"/>
        </w:rPr>
        <w:t>as amended</w:t>
      </w:r>
      <w:r>
        <w:rPr>
          <w:rFonts w:ascii="Arial" w:eastAsia="Arial" w:hAnsi="Arial" w:cs="Arial"/>
          <w:color w:val="000000"/>
          <w:sz w:val="20"/>
        </w:rPr>
        <w:t xml:space="preserve"> (Feb. 2, 1995). The heart of the statute, § 504, established that "[n]o otherwise qualified individual with a disability . . . shall, solely by reason of her or his disability, be excluded from the participation in, be denied the benefits of, or be subjected to discrimination under any program or activity receiving Federal financial assistance." 29 U.S.C. § 794(a). This  [*115]  prohibition of discrimination on the basis of a disability included an affirmative obligation, recognized by the Supreme Court in </w:t>
      </w:r>
      <w:r>
        <w:rPr>
          <w:rFonts w:ascii="Arial" w:eastAsia="Arial" w:hAnsi="Arial" w:cs="Arial"/>
          <w:i/>
          <w:color w:val="000000"/>
          <w:sz w:val="20"/>
        </w:rPr>
        <w:t>Alexander v. Choate</w:t>
      </w:r>
      <w:r>
        <w:rPr>
          <w:rFonts w:ascii="Arial" w:eastAsia="Arial" w:hAnsi="Arial" w:cs="Arial"/>
          <w:color w:val="000000"/>
          <w:sz w:val="20"/>
        </w:rPr>
        <w:t xml:space="preserve">, that "an otherwise qualified handicapped individual must be provided with meaningful access to the benefit that the grantee offers" and that federally funded programs were required to make "reasonable accommodations" or "reasonable modifications," although not "fundamental or substantial" ones, when necessary to assure such "meaningful access." </w:t>
      </w:r>
      <w:bookmarkStart w:id="3357" w:name="Bookmark_I5T6WYM02SF8BG0010000400"/>
      <w:bookmarkEnd w:id="3357"/>
      <w:r>
        <w:rPr>
          <w:rFonts w:ascii="Arial" w:eastAsia="Arial" w:hAnsi="Arial" w:cs="Arial"/>
          <w:color w:val="000000"/>
          <w:sz w:val="20"/>
        </w:rPr>
        <w:t xml:space="preserve">469 U.S. at 300-01 (citation omitted); </w:t>
      </w:r>
      <w:r>
        <w:rPr>
          <w:rFonts w:ascii="Arial" w:eastAsia="Arial" w:hAnsi="Arial" w:cs="Arial"/>
          <w:i/>
          <w:color w:val="000000"/>
          <w:sz w:val="20"/>
        </w:rPr>
        <w:t xml:space="preserve">see also </w:t>
      </w:r>
      <w:bookmarkStart w:id="3358" w:name="Bookmark_I5T6WYM02SF8BG0030000400"/>
      <w:bookmarkEnd w:id="3358"/>
      <w:r>
        <w:rPr>
          <w:rFonts w:ascii="Arial" w:eastAsia="Arial" w:hAnsi="Arial" w:cs="Arial"/>
          <w:i/>
          <w:color w:val="000000"/>
          <w:sz w:val="20"/>
        </w:rPr>
        <w:t>Ams. Disabled for Accessible Pub. Transp. (ADAPT) v. Skinner</w:t>
      </w:r>
      <w:r>
        <w:rPr>
          <w:rFonts w:ascii="Arial" w:eastAsia="Arial" w:hAnsi="Arial" w:cs="Arial"/>
          <w:color w:val="000000"/>
          <w:sz w:val="20"/>
        </w:rPr>
        <w:t xml:space="preserve">, 881 F.2d 1184, 1192 (3d Cir. 1989) (en banc) (explaining that </w:t>
      </w:r>
      <w:r>
        <w:rPr>
          <w:rFonts w:ascii="Arial" w:eastAsia="Arial" w:hAnsi="Arial" w:cs="Arial"/>
          <w:i/>
          <w:color w:val="000000"/>
          <w:sz w:val="20"/>
        </w:rPr>
        <w:t>Choate</w:t>
      </w:r>
      <w:r>
        <w:rPr>
          <w:rFonts w:ascii="Arial" w:eastAsia="Arial" w:hAnsi="Arial" w:cs="Arial"/>
          <w:color w:val="000000"/>
          <w:sz w:val="20"/>
        </w:rPr>
        <w:t xml:space="preserve"> established under the RA a requirement of "reasonable modifications to accommodate the disabled" or a "duty to accommodate").</w:t>
      </w:r>
    </w:p>
    <w:p w:rsidR="00E456CD" w:rsidRDefault="00000000">
      <w:pPr>
        <w:pStyle w:val="Normal17"/>
        <w:widowControl w:val="0"/>
        <w:spacing w:before="200" w:line="260" w:lineRule="atLeast"/>
        <w:jc w:val="both"/>
      </w:pPr>
      <w:bookmarkStart w:id="3359" w:name="Bookmark_para_27_11"/>
      <w:bookmarkStart w:id="3360" w:name="Bookmark_I5T6WYM028T41W0010000400"/>
      <w:bookmarkStart w:id="3361" w:name="Bookmark_I5T6WYM028T41W0030000400"/>
      <w:bookmarkEnd w:id="3359"/>
      <w:bookmarkEnd w:id="3360"/>
      <w:bookmarkEnd w:id="3361"/>
      <w:r>
        <w:rPr>
          <w:rFonts w:ascii="Arial" w:eastAsia="Arial" w:hAnsi="Arial" w:cs="Arial"/>
          <w:color w:val="000000"/>
          <w:sz w:val="20"/>
        </w:rPr>
        <w:t xml:space="preserve">After nearly two decades of experience with the statute, [**15]  Congress acknowledged that the RA had "shortcomings and deficiencies," such as "the limited extent of its coverage," that were impeding its effectiveness in eliminating disability discrimination. </w:t>
      </w:r>
      <w:bookmarkStart w:id="3362" w:name="Bookmark_I5T6WYM028T41W0050000400"/>
      <w:bookmarkStart w:id="3363" w:name="Bookmark_I5T6WYM02SF8BG0050000400"/>
      <w:bookmarkEnd w:id="3362"/>
      <w:bookmarkEnd w:id="3363"/>
      <w:r>
        <w:rPr>
          <w:rFonts w:ascii="Arial" w:eastAsia="Arial" w:hAnsi="Arial" w:cs="Arial"/>
          <w:i/>
          <w:color w:val="000000"/>
          <w:sz w:val="20"/>
        </w:rPr>
        <w:t>Helen L.</w:t>
      </w:r>
      <w:r>
        <w:rPr>
          <w:rFonts w:ascii="Arial" w:eastAsia="Arial" w:hAnsi="Arial" w:cs="Arial"/>
          <w:color w:val="000000"/>
          <w:sz w:val="20"/>
        </w:rPr>
        <w:t xml:space="preserve">, 46 F.3d at 331. Consequently, in 1990, Congress enacted the ADA "as a 'clear and comprehensive national mandate' designed to eliminate discrimination against individuals with physical and mental disabilities across the United States." </w:t>
      </w:r>
      <w:bookmarkStart w:id="3364" w:name="Bookmark_I5T6WYM028T41W0020000400"/>
      <w:bookmarkEnd w:id="3364"/>
      <w:r>
        <w:rPr>
          <w:rFonts w:ascii="Arial" w:eastAsia="Arial" w:hAnsi="Arial" w:cs="Arial"/>
          <w:i/>
          <w:color w:val="000000"/>
          <w:sz w:val="20"/>
        </w:rPr>
        <w:t>McGann v. Cinemark USA, Inc.</w:t>
      </w:r>
      <w:r>
        <w:rPr>
          <w:rFonts w:ascii="Arial" w:eastAsia="Arial" w:hAnsi="Arial" w:cs="Arial"/>
          <w:color w:val="000000"/>
          <w:sz w:val="20"/>
        </w:rPr>
        <w:t xml:space="preserve">, 873 F.3d 218, 221 (3d Cir. 2017) (quoting 42 U.S.C. § 12101(b)(1)). </w:t>
      </w:r>
      <w:bookmarkStart w:id="3365" w:name="Bookmark_I5T6WYM028T41W0050000400_2"/>
      <w:bookmarkEnd w:id="3365"/>
      <w:r>
        <w:rPr>
          <w:rFonts w:ascii="Arial" w:eastAsia="Arial" w:hAnsi="Arial" w:cs="Arial"/>
          <w:color w:val="000000"/>
          <w:sz w:val="20"/>
        </w:rPr>
        <w:t xml:space="preserve">"To effectuate its sweeping purpose," </w:t>
      </w:r>
      <w:bookmarkStart w:id="3366" w:name="Bookmark_I5T6WYM028T41W0040000400"/>
      <w:bookmarkEnd w:id="3366"/>
      <w:r>
        <w:rPr>
          <w:rFonts w:ascii="Arial" w:eastAsia="Arial" w:hAnsi="Arial" w:cs="Arial"/>
          <w:i/>
          <w:color w:val="000000"/>
          <w:sz w:val="20"/>
        </w:rPr>
        <w:t>PGA Tour, Inc. v. Martin</w:t>
      </w:r>
      <w:r>
        <w:rPr>
          <w:rFonts w:ascii="Arial" w:eastAsia="Arial" w:hAnsi="Arial" w:cs="Arial"/>
          <w:color w:val="000000"/>
          <w:sz w:val="20"/>
        </w:rPr>
        <w:t xml:space="preserve">, 532 U.S. 661, 675, 121 S. Ct. 1879, 149 L. Ed. 2d 904 (2001), Congress designed the ADA to fit hand in glove with the RA, leaving intact the "scope of protection . . . under the [RA]," </w:t>
      </w:r>
      <w:bookmarkStart w:id="3367" w:name="Bookmark_I5T6WYM028T41X0010000400"/>
      <w:bookmarkEnd w:id="3367"/>
      <w:r>
        <w:rPr>
          <w:rFonts w:ascii="Arial" w:eastAsia="Arial" w:hAnsi="Arial" w:cs="Arial"/>
          <w:i/>
          <w:color w:val="000000"/>
          <w:sz w:val="20"/>
        </w:rPr>
        <w:t>Menkowitz v. Pottstown Mem'l Med. Ctr.</w:t>
      </w:r>
      <w:r>
        <w:rPr>
          <w:rFonts w:ascii="Arial" w:eastAsia="Arial" w:hAnsi="Arial" w:cs="Arial"/>
          <w:color w:val="000000"/>
          <w:sz w:val="20"/>
        </w:rPr>
        <w:t xml:space="preserve">, 154 F.3d 113, 120 (3d Cir. 1998), but extending its reach beyond federally funded programs to three "major areas of public life," </w:t>
      </w:r>
      <w:bookmarkStart w:id="3368" w:name="Bookmark_I5T6WYM028T41X0030000400"/>
      <w:bookmarkEnd w:id="3368"/>
      <w:r>
        <w:rPr>
          <w:rFonts w:ascii="Arial" w:eastAsia="Arial" w:hAnsi="Arial" w:cs="Arial"/>
          <w:i/>
          <w:color w:val="000000"/>
          <w:sz w:val="20"/>
        </w:rPr>
        <w:t>PGA Tour</w:t>
      </w:r>
      <w:r>
        <w:rPr>
          <w:rFonts w:ascii="Arial" w:eastAsia="Arial" w:hAnsi="Arial" w:cs="Arial"/>
          <w:color w:val="000000"/>
          <w:sz w:val="20"/>
        </w:rPr>
        <w:t xml:space="preserve">, 532 U.S. at 675, including employment (Title I), </w:t>
      </w:r>
      <w:r>
        <w:rPr>
          <w:rFonts w:ascii="Arial" w:eastAsia="Arial" w:hAnsi="Arial" w:cs="Arial"/>
          <w:i/>
          <w:color w:val="000000"/>
          <w:sz w:val="20"/>
        </w:rPr>
        <w:t>see</w:t>
      </w:r>
      <w:r>
        <w:rPr>
          <w:rFonts w:ascii="Arial" w:eastAsia="Arial" w:hAnsi="Arial" w:cs="Arial"/>
          <w:color w:val="000000"/>
          <w:sz w:val="20"/>
        </w:rPr>
        <w:t xml:space="preserve"> 42 U.S.C. §§ 12111-12117; public entities, i.e., state and local governments and their programs (Title II), </w:t>
      </w:r>
      <w:r>
        <w:rPr>
          <w:rFonts w:ascii="Arial" w:eastAsia="Arial" w:hAnsi="Arial" w:cs="Arial"/>
          <w:i/>
          <w:color w:val="000000"/>
          <w:sz w:val="20"/>
        </w:rPr>
        <w:t>see id.</w:t>
      </w:r>
      <w:r>
        <w:rPr>
          <w:rFonts w:ascii="Arial" w:eastAsia="Arial" w:hAnsi="Arial" w:cs="Arial"/>
          <w:color w:val="000000"/>
          <w:sz w:val="20"/>
        </w:rPr>
        <w:t xml:space="preserve"> §§ 12131-12165; and public accommodations (Title III), </w:t>
      </w:r>
      <w:r>
        <w:rPr>
          <w:rFonts w:ascii="Arial" w:eastAsia="Arial" w:hAnsi="Arial" w:cs="Arial"/>
          <w:i/>
          <w:color w:val="000000"/>
          <w:sz w:val="20"/>
        </w:rPr>
        <w:t>see id.</w:t>
      </w:r>
      <w:r>
        <w:rPr>
          <w:rFonts w:ascii="Arial" w:eastAsia="Arial" w:hAnsi="Arial" w:cs="Arial"/>
          <w:color w:val="000000"/>
          <w:sz w:val="20"/>
        </w:rPr>
        <w:t xml:space="preserve"> §§ 12181-12189.</w:t>
      </w:r>
    </w:p>
    <w:p w:rsidR="00E456CD" w:rsidRDefault="00000000">
      <w:pPr>
        <w:pStyle w:val="Normal17"/>
        <w:widowControl w:val="0"/>
        <w:spacing w:before="200" w:line="260" w:lineRule="atLeast"/>
        <w:jc w:val="both"/>
      </w:pPr>
      <w:bookmarkStart w:id="3369" w:name="Bookmark_para_28_11"/>
      <w:bookmarkStart w:id="3370" w:name="Bookmark_I5T6WYM02HM6BD0010000400"/>
      <w:bookmarkEnd w:id="3369"/>
      <w:bookmarkEnd w:id="3370"/>
      <w:r>
        <w:rPr>
          <w:rFonts w:ascii="Arial" w:eastAsia="Arial" w:hAnsi="Arial" w:cs="Arial"/>
          <w:color w:val="000000"/>
          <w:sz w:val="20"/>
        </w:rPr>
        <w:t xml:space="preserve">As relevant here, the extension of these protections in Title III to "public accommodations" was the most far-reaching, as it prohibited discrimination on the basis of a disability in "the full and equal enjoyment of the goods, services, facilities, privileges, advantages, or accommodations of any place of public accommodation" [**16]  by its owner or operator. 42 U.S.C. § 12182(a). In this way, the ADA brought within its sweep "the wide variety of establishments available to the nondisabled," </w:t>
      </w:r>
      <w:bookmarkStart w:id="3371" w:name="Bookmark_I5T6WYM028T41X0050000400"/>
      <w:bookmarkEnd w:id="3371"/>
      <w:r>
        <w:rPr>
          <w:rFonts w:ascii="Arial" w:eastAsia="Arial" w:hAnsi="Arial" w:cs="Arial"/>
          <w:i/>
          <w:color w:val="000000"/>
          <w:sz w:val="20"/>
        </w:rPr>
        <w:t>PGA Tour</w:t>
      </w:r>
      <w:r>
        <w:rPr>
          <w:rFonts w:ascii="Arial" w:eastAsia="Arial" w:hAnsi="Arial" w:cs="Arial"/>
          <w:color w:val="000000"/>
          <w:sz w:val="20"/>
        </w:rPr>
        <w:t>, 532 U.S. at 677, including private schools regardless of whether they receive federal funding,</w:t>
      </w:r>
      <w:r>
        <w:rPr>
          <w:rFonts w:ascii="Arial" w:eastAsia="Arial" w:hAnsi="Arial" w:cs="Arial"/>
          <w:vertAlign w:val="superscript"/>
        </w:rPr>
        <w:footnoteReference w:customMarkFollows="1" w:id="144"/>
        <w:t>7</w:t>
      </w:r>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42 U.S.C. § 12181(7)(J).</w:t>
      </w:r>
    </w:p>
    <w:p w:rsidR="00E456CD" w:rsidRDefault="00000000">
      <w:pPr>
        <w:pStyle w:val="Normal17"/>
        <w:widowControl w:val="0"/>
        <w:spacing w:before="200" w:line="260" w:lineRule="atLeast"/>
        <w:jc w:val="both"/>
      </w:pPr>
      <w:bookmarkStart w:id="3373" w:name="Bookmark_para_29_11"/>
      <w:bookmarkStart w:id="3374" w:name="Bookmark_I5T6WYM02HM6BD0030000400"/>
      <w:bookmarkEnd w:id="3373"/>
      <w:bookmarkEnd w:id="3374"/>
      <w:r>
        <w:rPr>
          <w:rFonts w:ascii="Arial" w:eastAsia="Arial" w:hAnsi="Arial" w:cs="Arial"/>
          <w:color w:val="000000"/>
          <w:sz w:val="20"/>
        </w:rPr>
        <w:t xml:space="preserve">Crucially, Title III of the ADA also codified the concept of "reasonable accommodations" that the Supreme Court had recognized for the RA in </w:t>
      </w:r>
      <w:r>
        <w:rPr>
          <w:rFonts w:ascii="Arial" w:eastAsia="Arial" w:hAnsi="Arial" w:cs="Arial"/>
          <w:i/>
          <w:color w:val="000000"/>
          <w:sz w:val="20"/>
        </w:rPr>
        <w:t>Choate</w:t>
      </w:r>
      <w:r>
        <w:rPr>
          <w:rFonts w:ascii="Arial" w:eastAsia="Arial" w:hAnsi="Arial" w:cs="Arial"/>
          <w:color w:val="000000"/>
          <w:sz w:val="20"/>
        </w:rPr>
        <w:t xml:space="preserve">. There, the Court established that liability could be premised on a failure to make "reasonable accommodations," a standard that turned on (1) whether the requested accommodation to the program was "reasonable"; (2) whether it was necessary "to assure meaningful access"; and (3) whether it would represent "a fundamental alteration in the nature of [the] program." </w:t>
      </w:r>
      <w:bookmarkStart w:id="3375" w:name="Bookmark_I5T6WYM02HM6BD0020000400"/>
      <w:bookmarkEnd w:id="3375"/>
      <w:r>
        <w:rPr>
          <w:rFonts w:ascii="Arial" w:eastAsia="Arial" w:hAnsi="Arial" w:cs="Arial"/>
          <w:i/>
          <w:color w:val="000000"/>
          <w:sz w:val="20"/>
        </w:rPr>
        <w:t>Choate</w:t>
      </w:r>
      <w:r>
        <w:rPr>
          <w:rFonts w:ascii="Arial" w:eastAsia="Arial" w:hAnsi="Arial" w:cs="Arial"/>
          <w:color w:val="000000"/>
          <w:sz w:val="20"/>
        </w:rPr>
        <w:t xml:space="preserve">, 469 U.S. at 300-01 (citation omitted); </w:t>
      </w:r>
      <w:r>
        <w:rPr>
          <w:rFonts w:ascii="Arial" w:eastAsia="Arial" w:hAnsi="Arial" w:cs="Arial"/>
          <w:i/>
          <w:color w:val="000000"/>
          <w:sz w:val="20"/>
        </w:rPr>
        <w:t xml:space="preserve">see also </w:t>
      </w:r>
      <w:bookmarkStart w:id="3376" w:name="Bookmark_I5T6WYM02HM6BD0040000400"/>
      <w:bookmarkEnd w:id="3376"/>
      <w:r>
        <w:rPr>
          <w:rFonts w:ascii="Arial" w:eastAsia="Arial" w:hAnsi="Arial" w:cs="Arial"/>
          <w:i/>
          <w:color w:val="000000"/>
          <w:sz w:val="20"/>
        </w:rPr>
        <w:t>Ridley Sch. Dist. v. M.R.</w:t>
      </w:r>
      <w:r>
        <w:rPr>
          <w:rFonts w:ascii="Arial" w:eastAsia="Arial" w:hAnsi="Arial" w:cs="Arial"/>
          <w:color w:val="000000"/>
          <w:sz w:val="20"/>
        </w:rPr>
        <w:t>, 680 F.3d 260, 280 (3d Cir. 2012) (identifying these elements). Mirroring this language, Congress used the same three criteria to  [*116]  define one type of "discrimination" under the ADA as:</w:t>
      </w:r>
    </w:p>
    <w:p w:rsidR="00E456CD" w:rsidRDefault="00000000">
      <w:pPr>
        <w:pStyle w:val="Normal17"/>
        <w:widowControl w:val="0"/>
        <w:spacing w:before="200" w:line="260" w:lineRule="atLeast"/>
        <w:ind w:left="400"/>
        <w:jc w:val="both"/>
      </w:pPr>
      <w:bookmarkStart w:id="3377" w:name="Bookmark_para_30_11"/>
      <w:bookmarkEnd w:id="3377"/>
      <w:r>
        <w:rPr>
          <w:rFonts w:ascii="Arial" w:eastAsia="Arial" w:hAnsi="Arial" w:cs="Arial"/>
          <w:color w:val="000000"/>
          <w:sz w:val="20"/>
        </w:rPr>
        <w:t>[1] a failure to make reasonable modifications in policies, practices, or procedures, when [2] such modifications are necessary to afford such goods, services, facilities, privileges, advantages, or accommodations to individuals with disabilities, unless [3] the entity can demonstrate [**17]  that making such modifications would fundamentally alter the nature of such goods, services, facilities, privileges, advantages, or accommodations.</w:t>
      </w:r>
    </w:p>
    <w:p w:rsidR="00E456CD" w:rsidRDefault="00000000">
      <w:pPr>
        <w:pStyle w:val="Normal17"/>
        <w:widowControl w:val="0"/>
        <w:spacing w:line="260" w:lineRule="atLeast"/>
        <w:jc w:val="both"/>
      </w:pPr>
      <w:r>
        <w:rPr>
          <w:rFonts w:ascii="Arial" w:eastAsia="Arial" w:hAnsi="Arial" w:cs="Arial"/>
          <w:color w:val="000000"/>
          <w:sz w:val="20"/>
        </w:rPr>
        <w:t>42 U.S.C. § 12182(b)(2)(A)(ii).</w:t>
      </w:r>
    </w:p>
    <w:p w:rsidR="00E456CD" w:rsidRDefault="00000000">
      <w:pPr>
        <w:pStyle w:val="Normal17"/>
        <w:widowControl w:val="0"/>
        <w:spacing w:before="200" w:line="260" w:lineRule="atLeast"/>
        <w:jc w:val="both"/>
      </w:pPr>
      <w:bookmarkStart w:id="3378" w:name="Bookmark_para_31_11"/>
      <w:bookmarkStart w:id="3379" w:name="Bookmark_I5T6WYM02D6N7B0020000400"/>
      <w:bookmarkEnd w:id="3378"/>
      <w:bookmarkEnd w:id="3379"/>
      <w:r>
        <w:rPr>
          <w:rFonts w:ascii="Arial" w:eastAsia="Arial" w:hAnsi="Arial" w:cs="Arial"/>
          <w:color w:val="000000"/>
          <w:sz w:val="20"/>
        </w:rPr>
        <w:t xml:space="preserve">Also of note, although Congress here used the term "reasonable modifications," it used the term "reasonable accommodations" elsewhere in the ADA without apparent distinction. While Titles II and III defined discrimination to include the failure to make "reasonable modifications," </w:t>
      </w:r>
      <w:r>
        <w:rPr>
          <w:rFonts w:ascii="Arial" w:eastAsia="Arial" w:hAnsi="Arial" w:cs="Arial"/>
          <w:i/>
          <w:color w:val="000000"/>
          <w:sz w:val="20"/>
        </w:rPr>
        <w:t>id.</w:t>
      </w:r>
      <w:r>
        <w:rPr>
          <w:rFonts w:ascii="Arial" w:eastAsia="Arial" w:hAnsi="Arial" w:cs="Arial"/>
          <w:color w:val="000000"/>
          <w:sz w:val="20"/>
        </w:rPr>
        <w:t xml:space="preserve"> §§ 12131(2), 12182(b)(2)(A)(ii), Title I, which applied to employers, defined "discrimination" to include "not making reasonable accommodations," </w:t>
      </w:r>
      <w:r>
        <w:rPr>
          <w:rFonts w:ascii="Arial" w:eastAsia="Arial" w:hAnsi="Arial" w:cs="Arial"/>
          <w:i/>
          <w:color w:val="000000"/>
          <w:sz w:val="20"/>
        </w:rPr>
        <w:t>id.</w:t>
      </w:r>
      <w:r>
        <w:rPr>
          <w:rFonts w:ascii="Arial" w:eastAsia="Arial" w:hAnsi="Arial" w:cs="Arial"/>
          <w:color w:val="000000"/>
          <w:sz w:val="20"/>
        </w:rPr>
        <w:t xml:space="preserve"> § 12112(b)(5)(A). </w:t>
      </w:r>
      <w:r>
        <w:rPr>
          <w:rFonts w:ascii="Arial" w:eastAsia="Arial" w:hAnsi="Arial" w:cs="Arial"/>
          <w:i/>
          <w:color w:val="000000"/>
          <w:sz w:val="20"/>
        </w:rPr>
        <w:t xml:space="preserve">See </w:t>
      </w:r>
      <w:bookmarkStart w:id="3380" w:name="Bookmark_I5T6WYM02D6N7B0010000400"/>
      <w:bookmarkEnd w:id="3380"/>
      <w:r>
        <w:rPr>
          <w:rFonts w:ascii="Arial" w:eastAsia="Arial" w:hAnsi="Arial" w:cs="Arial"/>
          <w:i/>
          <w:color w:val="000000"/>
          <w:sz w:val="20"/>
        </w:rPr>
        <w:t>Robertson v. Las Animas Cty. Sheriff's Dep't</w:t>
      </w:r>
      <w:r>
        <w:rPr>
          <w:rFonts w:ascii="Arial" w:eastAsia="Arial" w:hAnsi="Arial" w:cs="Arial"/>
          <w:color w:val="000000"/>
          <w:sz w:val="20"/>
        </w:rPr>
        <w:t xml:space="preserve">, 500 F.3d 1185, 1195 n.8 (10th Cir. 2007) (observing that "Title II's use of the term 'reasonable modifications' is essentially equivalent to Title I's use of the term 'reasonable accommodation[s]'"); </w:t>
      </w:r>
      <w:r>
        <w:rPr>
          <w:rFonts w:ascii="Arial" w:eastAsia="Arial" w:hAnsi="Arial" w:cs="Arial"/>
          <w:i/>
          <w:color w:val="000000"/>
          <w:sz w:val="20"/>
        </w:rPr>
        <w:t xml:space="preserve">accord </w:t>
      </w:r>
      <w:bookmarkStart w:id="3381" w:name="Bookmark_I5T6WYM02D6N7B0030000400"/>
      <w:bookmarkEnd w:id="3381"/>
      <w:r>
        <w:rPr>
          <w:rFonts w:ascii="Arial" w:eastAsia="Arial" w:hAnsi="Arial" w:cs="Arial"/>
          <w:i/>
          <w:color w:val="000000"/>
          <w:sz w:val="20"/>
        </w:rPr>
        <w:t>McElwee v. County of Orange</w:t>
      </w:r>
      <w:r>
        <w:rPr>
          <w:rFonts w:ascii="Arial" w:eastAsia="Arial" w:hAnsi="Arial" w:cs="Arial"/>
          <w:color w:val="000000"/>
          <w:sz w:val="20"/>
        </w:rPr>
        <w:t>, 700 F.3d 635, 640 n.2 (2d Cir. 2012) (noting that "courts use the terms 'reasonable modifications' in Title II and 'reasonable accommodations' in Title I interchangeably") (collecting cases).</w:t>
      </w:r>
    </w:p>
    <w:p w:rsidR="00E456CD" w:rsidRDefault="00000000">
      <w:pPr>
        <w:pStyle w:val="Normal17"/>
        <w:widowControl w:val="0"/>
        <w:spacing w:before="200" w:line="260" w:lineRule="atLeast"/>
        <w:jc w:val="both"/>
      </w:pPr>
      <w:bookmarkStart w:id="3382" w:name="Bookmark_para_32_11"/>
      <w:bookmarkEnd w:id="3382"/>
      <w:r>
        <w:rPr>
          <w:rFonts w:ascii="Arial" w:eastAsia="Arial" w:hAnsi="Arial" w:cs="Arial"/>
          <w:color w:val="000000"/>
          <w:sz w:val="20"/>
        </w:rPr>
        <w:t xml:space="preserve">Shortly after enacting the ADA, Congress also undertook to amend the RA "to ensure that the precepts and values embedded in the [ADA] [we]re reflected in the [RA]," S. Rep. No. 102-357, at 2 (1992), to specify "congressional findings, purpose, and policy" for the RA, </w:t>
      </w:r>
      <w:r>
        <w:rPr>
          <w:rFonts w:ascii="Arial" w:eastAsia="Arial" w:hAnsi="Arial" w:cs="Arial"/>
          <w:i/>
          <w:color w:val="000000"/>
          <w:sz w:val="20"/>
        </w:rPr>
        <w:t>id.</w:t>
      </w:r>
      <w:r>
        <w:rPr>
          <w:rFonts w:ascii="Arial" w:eastAsia="Arial" w:hAnsi="Arial" w:cs="Arial"/>
          <w:color w:val="000000"/>
          <w:sz w:val="20"/>
        </w:rPr>
        <w:t xml:space="preserve"> at 14, and to "reaffirm[] . . . the precepts of the [ADA]"—intending [**18]  such principles to "guide the policies, practices, and procedures developed under all titles of the [RA]," </w:t>
      </w:r>
      <w:r>
        <w:rPr>
          <w:rFonts w:ascii="Arial" w:eastAsia="Arial" w:hAnsi="Arial" w:cs="Arial"/>
          <w:i/>
          <w:color w:val="000000"/>
          <w:sz w:val="20"/>
        </w:rPr>
        <w:t>id.</w:t>
      </w:r>
      <w:r>
        <w:rPr>
          <w:rFonts w:ascii="Arial" w:eastAsia="Arial" w:hAnsi="Arial" w:cs="Arial"/>
          <w:color w:val="000000"/>
          <w:sz w:val="20"/>
        </w:rPr>
        <w:t xml:space="preserve"> To those ends, Congress enacted the Rehabilitation Act Amendments of 1992, Pub. L. No. 102-569, 106 Stat. 4344 (codified as amended in various sections of Title 29), which set forth certain threshold findings, purposes, and policy applicable to the entire act, echoing the ADA.</w:t>
      </w:r>
    </w:p>
    <w:p w:rsidR="00E456CD" w:rsidRDefault="00000000">
      <w:pPr>
        <w:pStyle w:val="Normal17"/>
        <w:widowControl w:val="0"/>
        <w:spacing w:before="200" w:line="260" w:lineRule="atLeast"/>
        <w:jc w:val="both"/>
      </w:pPr>
      <w:bookmarkStart w:id="3383" w:name="Bookmark_para_33_10"/>
      <w:bookmarkEnd w:id="3383"/>
      <w:r>
        <w:rPr>
          <w:rFonts w:ascii="Arial" w:eastAsia="Arial" w:hAnsi="Arial" w:cs="Arial"/>
          <w:color w:val="000000"/>
          <w:sz w:val="20"/>
        </w:rPr>
        <w:t xml:space="preserve">As a result, the RA, like the ADA, recognizes that disabilities do not diminish the right to full inclusion in American society. </w:t>
      </w:r>
      <w:r>
        <w:rPr>
          <w:rFonts w:ascii="Arial" w:eastAsia="Arial" w:hAnsi="Arial" w:cs="Arial"/>
          <w:i/>
          <w:color w:val="000000"/>
          <w:sz w:val="20"/>
        </w:rPr>
        <w:t>Compare</w:t>
      </w:r>
      <w:r>
        <w:rPr>
          <w:rFonts w:ascii="Arial" w:eastAsia="Arial" w:hAnsi="Arial" w:cs="Arial"/>
          <w:color w:val="000000"/>
          <w:sz w:val="20"/>
        </w:rPr>
        <w:t xml:space="preserve"> 29 U.S.C. § 701(a)(3)(F) (finding that "disability . . . in no way diminishes the right of individuals" to "enjoy full inclusion and integration" in the "mainstream of American society"), </w:t>
      </w:r>
      <w:r>
        <w:rPr>
          <w:rFonts w:ascii="Arial" w:eastAsia="Arial" w:hAnsi="Arial" w:cs="Arial"/>
          <w:i/>
          <w:color w:val="000000"/>
          <w:sz w:val="20"/>
        </w:rPr>
        <w:t>with</w:t>
      </w:r>
      <w:r>
        <w:rPr>
          <w:rFonts w:ascii="Arial" w:eastAsia="Arial" w:hAnsi="Arial" w:cs="Arial"/>
          <w:color w:val="000000"/>
          <w:sz w:val="20"/>
        </w:rPr>
        <w:t xml:space="preserve"> 42 U.S.C. § 12101(a)(1) (finding that "disabilities in no way diminish a person's right to fully participate in all aspects of society"). Both statutes aim to secure "full participation." </w:t>
      </w:r>
      <w:r>
        <w:rPr>
          <w:rFonts w:ascii="Arial" w:eastAsia="Arial" w:hAnsi="Arial" w:cs="Arial"/>
          <w:i/>
          <w:color w:val="000000"/>
          <w:sz w:val="20"/>
        </w:rPr>
        <w:t>Compare</w:t>
      </w:r>
      <w:r>
        <w:rPr>
          <w:rFonts w:ascii="Arial" w:eastAsia="Arial" w:hAnsi="Arial" w:cs="Arial"/>
          <w:color w:val="000000"/>
          <w:sz w:val="20"/>
        </w:rPr>
        <w:t xml:space="preserve"> 29 U.S.C. § 701(c)(3) (affirming the principles of "inclusion, integration, and full participation"), </w:t>
      </w:r>
      <w:r>
        <w:rPr>
          <w:rFonts w:ascii="Arial" w:eastAsia="Arial" w:hAnsi="Arial" w:cs="Arial"/>
          <w:i/>
          <w:color w:val="000000"/>
          <w:sz w:val="20"/>
        </w:rPr>
        <w:t>with</w:t>
      </w:r>
      <w:r>
        <w:rPr>
          <w:rFonts w:ascii="Arial" w:eastAsia="Arial" w:hAnsi="Arial" w:cs="Arial"/>
          <w:color w:val="000000"/>
          <w:sz w:val="20"/>
        </w:rPr>
        <w:t xml:space="preserve"> 42 U.S.C. § 12101(a)(7) (seeking "to assure equality of opportunity" and "full participation"). And both statutes target the same "critical areas" where discrimination persists, including education. </w:t>
      </w:r>
      <w:r>
        <w:rPr>
          <w:rFonts w:ascii="Arial" w:eastAsia="Arial" w:hAnsi="Arial" w:cs="Arial"/>
          <w:i/>
          <w:color w:val="000000"/>
          <w:sz w:val="20"/>
        </w:rPr>
        <w:t>Compare</w:t>
      </w:r>
      <w:r>
        <w:rPr>
          <w:rFonts w:ascii="Arial" w:eastAsia="Arial" w:hAnsi="Arial" w:cs="Arial"/>
          <w:color w:val="000000"/>
          <w:sz w:val="20"/>
        </w:rPr>
        <w:t xml:space="preserve"> 29 U.S.C. § 701(a)(5) (finding that "individuals with disabilities continually encounter various forms of discrimination" in eleven "critical areas," including [**19]  education), </w:t>
      </w:r>
      <w:r>
        <w:rPr>
          <w:rFonts w:ascii="Arial" w:eastAsia="Arial" w:hAnsi="Arial" w:cs="Arial"/>
          <w:i/>
          <w:color w:val="000000"/>
          <w:sz w:val="20"/>
        </w:rPr>
        <w:t>with</w:t>
      </w:r>
      <w:r>
        <w:rPr>
          <w:rFonts w:ascii="Arial" w:eastAsia="Arial" w:hAnsi="Arial" w:cs="Arial"/>
          <w:color w:val="000000"/>
          <w:sz w:val="20"/>
        </w:rPr>
        <w:t xml:space="preserve"> 42 U.S.C. § 12101(a)(3) (finding that "discrimination against individuals with disabilities persists" in the same eleven "critical areas").</w:t>
      </w:r>
    </w:p>
    <w:p w:rsidR="00E456CD" w:rsidRDefault="00000000">
      <w:pPr>
        <w:pStyle w:val="Normal17"/>
        <w:widowControl w:val="0"/>
        <w:spacing w:before="200" w:line="260" w:lineRule="atLeast"/>
        <w:jc w:val="both"/>
      </w:pPr>
      <w:bookmarkStart w:id="3384" w:name="Bookmark_para_34_9"/>
      <w:bookmarkStart w:id="3385" w:name="Bookmark_I5T6WYM02HM6BF0010000400"/>
      <w:bookmarkStart w:id="3386" w:name="Bookmark_I5T6WYM02HM6BF0030000400"/>
      <w:bookmarkStart w:id="3387" w:name="Bookmark_I5T6WYM02HM6BF0050000400"/>
      <w:bookmarkStart w:id="3388" w:name="Bookmark_I5T6WYM02D6N7C0030000400"/>
      <w:bookmarkStart w:id="3389" w:name="Bookmark_I5T6WYM02SF8BH0020000400"/>
      <w:bookmarkEnd w:id="3384"/>
      <w:bookmarkEnd w:id="3385"/>
      <w:bookmarkEnd w:id="3386"/>
      <w:bookmarkEnd w:id="3387"/>
      <w:bookmarkEnd w:id="3388"/>
      <w:bookmarkEnd w:id="3389"/>
      <w:r>
        <w:rPr>
          <w:rFonts w:ascii="Arial" w:eastAsia="Arial" w:hAnsi="Arial" w:cs="Arial"/>
          <w:color w:val="000000"/>
          <w:sz w:val="20"/>
        </w:rPr>
        <w:t xml:space="preserve">This history teaches that both statutes "aim to root out disability-based discrimination, enabling each covered person (sometimes by means of reasonable accommodations) to participate equally to all others," </w:t>
      </w:r>
      <w:bookmarkStart w:id="3390" w:name="Bookmark_I5T6WYM02D6N7B0050000400"/>
      <w:bookmarkEnd w:id="3390"/>
      <w:r>
        <w:rPr>
          <w:rFonts w:ascii="Arial" w:eastAsia="Arial" w:hAnsi="Arial" w:cs="Arial"/>
          <w:i/>
          <w:color w:val="000000"/>
          <w:sz w:val="20"/>
        </w:rPr>
        <w:t>Fry v. Napoleon Cmty. Sch.</w:t>
      </w:r>
      <w:r>
        <w:rPr>
          <w:rFonts w:ascii="Arial" w:eastAsia="Arial" w:hAnsi="Arial" w:cs="Arial"/>
          <w:color w:val="000000"/>
          <w:sz w:val="20"/>
        </w:rPr>
        <w:t>, 137 S. Ct. 743, 756, 197  [*117]  L. Ed. 2d 46 (2017),</w:t>
      </w:r>
      <w:r>
        <w:rPr>
          <w:rFonts w:ascii="Arial" w:eastAsia="Arial" w:hAnsi="Arial" w:cs="Arial"/>
          <w:vertAlign w:val="superscript"/>
        </w:rPr>
        <w:footnoteReference w:customMarkFollows="1" w:id="145"/>
        <w:t>8</w:t>
      </w:r>
      <w:r>
        <w:rPr>
          <w:rFonts w:ascii="Arial" w:eastAsia="Arial" w:hAnsi="Arial" w:cs="Arial"/>
          <w:color w:val="000000"/>
          <w:sz w:val="20"/>
        </w:rPr>
        <w:t xml:space="preserve"> and their requirements of "reasonable accommodations" and "reasonable modifications" are inextricably intertwined. As a general rule, "repetition of the same language in a new statute indicates . . . the intent to incorporate its . . . judicial interpretations as well." </w:t>
      </w:r>
      <w:bookmarkStart w:id="3394" w:name="Bookmark_I5T6WYM02HM6BF0020000400"/>
      <w:bookmarkEnd w:id="3394"/>
      <w:r>
        <w:rPr>
          <w:rFonts w:ascii="Arial" w:eastAsia="Arial" w:hAnsi="Arial" w:cs="Arial"/>
          <w:i/>
          <w:color w:val="000000"/>
          <w:sz w:val="20"/>
        </w:rPr>
        <w:t>Bragdon v. Abbott</w:t>
      </w:r>
      <w:r>
        <w:rPr>
          <w:rFonts w:ascii="Arial" w:eastAsia="Arial" w:hAnsi="Arial" w:cs="Arial"/>
          <w:color w:val="000000"/>
          <w:sz w:val="20"/>
        </w:rPr>
        <w:t xml:space="preserve">, 524 U.S. 624, 645, 118 S. Ct. 2196, 141 L. Ed. 2d 540 (1998). And here, the terms "reasonable accommodations" and "reasonable modifications" were used interchangeably in RA case law, </w:t>
      </w:r>
      <w:r>
        <w:rPr>
          <w:rFonts w:ascii="Arial" w:eastAsia="Arial" w:hAnsi="Arial" w:cs="Arial"/>
          <w:i/>
          <w:color w:val="000000"/>
          <w:sz w:val="20"/>
        </w:rPr>
        <w:t xml:space="preserve">see </w:t>
      </w:r>
      <w:bookmarkStart w:id="3395" w:name="Bookmark_I5T6WYM02HM6BF0040000400"/>
      <w:bookmarkEnd w:id="3395"/>
      <w:r>
        <w:rPr>
          <w:rFonts w:ascii="Arial" w:eastAsia="Arial" w:hAnsi="Arial" w:cs="Arial"/>
          <w:i/>
          <w:color w:val="000000"/>
          <w:sz w:val="20"/>
        </w:rPr>
        <w:t>Choate</w:t>
      </w:r>
      <w:r>
        <w:rPr>
          <w:rFonts w:ascii="Arial" w:eastAsia="Arial" w:hAnsi="Arial" w:cs="Arial"/>
          <w:color w:val="000000"/>
          <w:sz w:val="20"/>
        </w:rPr>
        <w:t xml:space="preserve">, 469 U.S. at 300-01; </w:t>
      </w:r>
      <w:r>
        <w:rPr>
          <w:rFonts w:ascii="Arial" w:eastAsia="Arial" w:hAnsi="Arial" w:cs="Arial"/>
          <w:i/>
          <w:color w:val="000000"/>
          <w:sz w:val="20"/>
        </w:rPr>
        <w:t xml:space="preserve">cf. </w:t>
      </w:r>
      <w:bookmarkStart w:id="3396" w:name="Bookmark_I5T6WYM02N1RCD0010000400"/>
      <w:bookmarkEnd w:id="3396"/>
      <w:r>
        <w:rPr>
          <w:rFonts w:ascii="Arial" w:eastAsia="Arial" w:hAnsi="Arial" w:cs="Arial"/>
          <w:i/>
          <w:color w:val="000000"/>
          <w:sz w:val="20"/>
        </w:rPr>
        <w:t>Se. Cmty. Coll. v. Davis</w:t>
      </w:r>
      <w:r>
        <w:rPr>
          <w:rFonts w:ascii="Arial" w:eastAsia="Arial" w:hAnsi="Arial" w:cs="Arial"/>
          <w:color w:val="000000"/>
          <w:sz w:val="20"/>
        </w:rPr>
        <w:t xml:space="preserve">, 442 U.S. 397, 409-10, 412-13, 99 S. Ct. 2361, 60 L. Ed. 2d 980 (1979) (employing similar variations); Congress then codified the requirements of </w:t>
      </w:r>
      <w:r>
        <w:rPr>
          <w:rFonts w:ascii="Arial" w:eastAsia="Arial" w:hAnsi="Arial" w:cs="Arial"/>
          <w:i/>
          <w:color w:val="000000"/>
          <w:sz w:val="20"/>
        </w:rPr>
        <w:t>Choate</w:t>
      </w:r>
      <w:r>
        <w:rPr>
          <w:rFonts w:ascii="Arial" w:eastAsia="Arial" w:hAnsi="Arial" w:cs="Arial"/>
          <w:color w:val="000000"/>
          <w:sz w:val="20"/>
        </w:rPr>
        <w:t xml:space="preserve"> in the ADA,</w:t>
      </w:r>
      <w:r>
        <w:rPr>
          <w:rFonts w:ascii="Arial" w:eastAsia="Arial" w:hAnsi="Arial" w:cs="Arial"/>
          <w:vertAlign w:val="superscript"/>
        </w:rPr>
        <w:footnoteReference w:customMarkFollows="1" w:id="146"/>
        <w:t>9</w:t>
      </w:r>
      <w:r>
        <w:rPr>
          <w:rFonts w:ascii="Arial" w:eastAsia="Arial" w:hAnsi="Arial" w:cs="Arial"/>
          <w:color w:val="000000"/>
          <w:sz w:val="20"/>
        </w:rPr>
        <w:t xml:space="preserve"> 42 U.S.C. § 12182(b)(2)(A)(ii); and Congress itself used the terms "reasonable modifications" and "reasonable accommodations" in the ADA without apparent distinction, </w:t>
      </w:r>
      <w:r>
        <w:rPr>
          <w:rFonts w:ascii="Arial" w:eastAsia="Arial" w:hAnsi="Arial" w:cs="Arial"/>
          <w:i/>
          <w:color w:val="000000"/>
          <w:sz w:val="20"/>
        </w:rPr>
        <w:t xml:space="preserve">see </w:t>
      </w:r>
      <w:bookmarkStart w:id="3399" w:name="Bookmark_I5T6WYM02N1RCD0030000400"/>
      <w:bookmarkEnd w:id="3399"/>
      <w:r>
        <w:rPr>
          <w:rFonts w:ascii="Arial" w:eastAsia="Arial" w:hAnsi="Arial" w:cs="Arial"/>
          <w:i/>
          <w:color w:val="000000"/>
          <w:sz w:val="20"/>
        </w:rPr>
        <w:t>Robertson</w:t>
      </w:r>
      <w:r>
        <w:rPr>
          <w:rFonts w:ascii="Arial" w:eastAsia="Arial" w:hAnsi="Arial" w:cs="Arial"/>
          <w:color w:val="000000"/>
          <w:sz w:val="20"/>
        </w:rPr>
        <w:t xml:space="preserve">, 500 F.3d at 1195 n.8; </w:t>
      </w:r>
      <w:bookmarkStart w:id="3400" w:name="Bookmark_I5T6WYM02N1RCD0050000400"/>
      <w:bookmarkEnd w:id="3400"/>
      <w:r>
        <w:rPr>
          <w:rFonts w:ascii="Arial" w:eastAsia="Arial" w:hAnsi="Arial" w:cs="Arial"/>
          <w:i/>
          <w:color w:val="000000"/>
          <w:sz w:val="20"/>
        </w:rPr>
        <w:t>McElwee</w:t>
      </w:r>
      <w:r>
        <w:rPr>
          <w:rFonts w:ascii="Arial" w:eastAsia="Arial" w:hAnsi="Arial" w:cs="Arial"/>
          <w:color w:val="000000"/>
          <w:sz w:val="20"/>
        </w:rPr>
        <w:t>, 700 F.3d at 640 n.2. We conclude that, although the statutes may diverge as to the entities they cover and remedies they provide, they impose the same substantive liability standard and require a unified approach to the "reasonableness" [**20]  of accommodations and modifications.</w:t>
      </w:r>
    </w:p>
    <w:p w:rsidR="00E456CD" w:rsidRDefault="00000000">
      <w:pPr>
        <w:pStyle w:val="Normal17"/>
        <w:widowControl w:val="0"/>
        <w:spacing w:before="240" w:line="260" w:lineRule="atLeast"/>
      </w:pPr>
      <w:r>
        <w:br/>
      </w:r>
      <w:r>
        <w:rPr>
          <w:rFonts w:ascii="Arial" w:eastAsia="Arial" w:hAnsi="Arial" w:cs="Arial"/>
          <w:b/>
          <w:color w:val="000000"/>
          <w:sz w:val="20"/>
        </w:rPr>
        <w:t>2. Case Law</w:t>
      </w:r>
    </w:p>
    <w:p w:rsidR="00E456CD" w:rsidRDefault="00000000">
      <w:pPr>
        <w:pStyle w:val="Normal17"/>
        <w:widowControl w:val="0"/>
        <w:spacing w:before="200" w:line="260" w:lineRule="atLeast"/>
        <w:jc w:val="both"/>
      </w:pPr>
      <w:bookmarkStart w:id="3401" w:name="Bookmark_para_35_8"/>
      <w:bookmarkEnd w:id="3401"/>
      <w:r>
        <w:rPr>
          <w:rFonts w:ascii="Arial" w:eastAsia="Arial" w:hAnsi="Arial" w:cs="Arial"/>
          <w:color w:val="000000"/>
          <w:sz w:val="20"/>
        </w:rPr>
        <w:t>Our conclusion that the RA and the ADA apply the same standard of reasonableness is further compelled by the body of case law interpreting the two statutes.</w:t>
      </w:r>
    </w:p>
    <w:p w:rsidR="00E456CD" w:rsidRDefault="00000000">
      <w:pPr>
        <w:pStyle w:val="Normal17"/>
        <w:widowControl w:val="0"/>
        <w:spacing w:before="200" w:line="260" w:lineRule="atLeast"/>
        <w:jc w:val="both"/>
      </w:pPr>
      <w:bookmarkStart w:id="3402" w:name="Bookmark_para_36_8"/>
      <w:bookmarkStart w:id="3403" w:name="Bookmark_I4SRB8NV5MD000063JX001F2"/>
      <w:bookmarkStart w:id="3404" w:name="Bookmark_I4SRB8NV6YV000063JX001F3"/>
      <w:bookmarkStart w:id="3405" w:name="Bookmark_I5T6WYM02SF8BH0040000400"/>
      <w:bookmarkStart w:id="3406" w:name="Bookmark_I4SRB8NV89Y000063JX001F4"/>
      <w:bookmarkStart w:id="3407" w:name="Bookmark_I5T6WYM028T41Y0050000400"/>
      <w:bookmarkEnd w:id="3402"/>
      <w:bookmarkEnd w:id="3403"/>
      <w:bookmarkEnd w:id="3404"/>
      <w:bookmarkEnd w:id="3405"/>
      <w:bookmarkEnd w:id="3406"/>
      <w:bookmarkEnd w:id="3407"/>
      <w:r>
        <w:rPr>
          <w:rFonts w:ascii="Arial" w:eastAsia="Arial" w:hAnsi="Arial" w:cs="Arial"/>
          <w:color w:val="000000"/>
          <w:sz w:val="20"/>
        </w:rPr>
        <w:t xml:space="preserve">To begin, </w:t>
      </w:r>
      <w:bookmarkStart w:id="3408" w:name="Bookmark_LNHNREFclscc3_13"/>
      <w:bookmarkEnd w:id="3408"/>
      <w:r>
        <w:rPr>
          <w:rFonts w:ascii="Arial" w:eastAsia="Arial" w:hAnsi="Arial" w:cs="Arial"/>
          <w:color w:val="000000"/>
          <w:sz w:val="20"/>
        </w:rPr>
        <w:t xml:space="preserve">when a plaintiff sues under both the RA and the ADA, we often "address both claims in the same breath," </w:t>
      </w:r>
      <w:bookmarkStart w:id="3409" w:name="Bookmark_I5T6WYM02SF8BH0030000400"/>
      <w:bookmarkEnd w:id="3409"/>
      <w:r>
        <w:rPr>
          <w:rFonts w:ascii="Arial" w:eastAsia="Arial" w:hAnsi="Arial" w:cs="Arial"/>
          <w:i/>
          <w:color w:val="000000"/>
          <w:sz w:val="20"/>
        </w:rPr>
        <w:t>Chambers ex rel. Chambers v. Sch. Dist. of Phila. Bd. of Educ.</w:t>
      </w:r>
      <w:r>
        <w:rPr>
          <w:rFonts w:ascii="Arial" w:eastAsia="Arial" w:hAnsi="Arial" w:cs="Arial"/>
          <w:color w:val="000000"/>
          <w:sz w:val="20"/>
        </w:rPr>
        <w:t xml:space="preserve">, 587 F.3d 176, 189 (3d Cir. 2009) (reversing summary judgment as to both RA and ADA claims), "constru[ing] the provisions of [both statutes] in light of their close similarity of language and purpose," </w:t>
      </w:r>
      <w:bookmarkStart w:id="3410" w:name="Bookmark_I5T6WYM02SF8BH0050000400"/>
      <w:bookmarkEnd w:id="3410"/>
      <w:r>
        <w:rPr>
          <w:rFonts w:ascii="Arial" w:eastAsia="Arial" w:hAnsi="Arial" w:cs="Arial"/>
          <w:i/>
          <w:color w:val="000000"/>
          <w:sz w:val="20"/>
        </w:rPr>
        <w:t>Addiction Specialists, Inc. v. Twp. of Hampton</w:t>
      </w:r>
      <w:r>
        <w:rPr>
          <w:rFonts w:ascii="Arial" w:eastAsia="Arial" w:hAnsi="Arial" w:cs="Arial"/>
          <w:color w:val="000000"/>
          <w:sz w:val="20"/>
        </w:rPr>
        <w:t xml:space="preserve">, 411 F.3d 399, 406 n.4 (3d Cir. 2005) (citation omitted); </w:t>
      </w:r>
      <w:r>
        <w:rPr>
          <w:rFonts w:ascii="Arial" w:eastAsia="Arial" w:hAnsi="Arial" w:cs="Arial"/>
          <w:i/>
          <w:color w:val="000000"/>
          <w:sz w:val="20"/>
        </w:rPr>
        <w:t xml:space="preserve">accord </w:t>
      </w:r>
      <w:bookmarkStart w:id="3411" w:name="Bookmark_I5T6WYM028T41Y0020000400"/>
      <w:bookmarkEnd w:id="3411"/>
      <w:r>
        <w:rPr>
          <w:rFonts w:ascii="Arial" w:eastAsia="Arial" w:hAnsi="Arial" w:cs="Arial"/>
          <w:i/>
          <w:color w:val="000000"/>
          <w:sz w:val="20"/>
        </w:rPr>
        <w:t>Frame v. City of Arlington</w:t>
      </w:r>
      <w:r>
        <w:rPr>
          <w:rFonts w:ascii="Arial" w:eastAsia="Arial" w:hAnsi="Arial" w:cs="Arial"/>
          <w:color w:val="000000"/>
          <w:sz w:val="20"/>
        </w:rPr>
        <w:t xml:space="preserve">, 657 F.3d 215, 223-24 (5th Cir. 2011) (en banc) (recognizing that, as the statutes "generally are interpreted </w:t>
      </w:r>
      <w:r>
        <w:rPr>
          <w:rFonts w:ascii="Arial" w:eastAsia="Arial" w:hAnsi="Arial" w:cs="Arial"/>
          <w:i/>
          <w:color w:val="000000"/>
          <w:sz w:val="20"/>
        </w:rPr>
        <w:t>in pari materia</w:t>
      </w:r>
      <w:r>
        <w:rPr>
          <w:rFonts w:ascii="Arial" w:eastAsia="Arial" w:hAnsi="Arial" w:cs="Arial"/>
          <w:color w:val="000000"/>
          <w:sz w:val="20"/>
        </w:rPr>
        <w:t xml:space="preserve">," its "holding applie[d] to both"). Although we may depart from this approach on questions of reach and remedies, we generally apply "the same standard for determination of liability," </w:t>
      </w:r>
      <w:bookmarkStart w:id="3412" w:name="Bookmark_I5T6WYM028T41Y0040000400"/>
      <w:bookmarkEnd w:id="3412"/>
      <w:r>
        <w:rPr>
          <w:rFonts w:ascii="Arial" w:eastAsia="Arial" w:hAnsi="Arial" w:cs="Arial"/>
          <w:i/>
          <w:color w:val="000000"/>
          <w:sz w:val="20"/>
        </w:rPr>
        <w:t>Macfarlan v. Ivy Hill SNF, LLC</w:t>
      </w:r>
      <w:r>
        <w:rPr>
          <w:rFonts w:ascii="Arial" w:eastAsia="Arial" w:hAnsi="Arial" w:cs="Arial"/>
          <w:color w:val="000000"/>
          <w:sz w:val="20"/>
        </w:rPr>
        <w:t xml:space="preserve">, 675 F.3d 266, 274 (3d Cir. 2012); </w:t>
      </w:r>
      <w:r>
        <w:rPr>
          <w:rFonts w:ascii="Arial" w:eastAsia="Arial" w:hAnsi="Arial" w:cs="Arial"/>
          <w:i/>
          <w:color w:val="000000"/>
          <w:sz w:val="20"/>
        </w:rPr>
        <w:t xml:space="preserve">accord </w:t>
      </w:r>
      <w:bookmarkStart w:id="3413" w:name="Bookmark_I5T6WYM02N1RCF0010000400"/>
      <w:bookmarkEnd w:id="3413"/>
      <w:r>
        <w:rPr>
          <w:rFonts w:ascii="Arial" w:eastAsia="Arial" w:hAnsi="Arial" w:cs="Arial"/>
          <w:i/>
          <w:color w:val="000000"/>
          <w:sz w:val="20"/>
        </w:rPr>
        <w:t>S.H. ex rel. Durrell v. Lower Merion Sch. Dist.</w:t>
      </w:r>
      <w:r>
        <w:rPr>
          <w:rFonts w:ascii="Arial" w:eastAsia="Arial" w:hAnsi="Arial" w:cs="Arial"/>
          <w:color w:val="000000"/>
          <w:sz w:val="20"/>
        </w:rPr>
        <w:t xml:space="preserve">, 729 F.3d 248, 260 (3d Cir. 2013); </w:t>
      </w:r>
      <w:bookmarkStart w:id="3414" w:name="Bookmark_I5T6WYM02N1RCF0030000400"/>
      <w:bookmarkEnd w:id="3414"/>
      <w:r>
        <w:rPr>
          <w:rFonts w:ascii="Arial" w:eastAsia="Arial" w:hAnsi="Arial" w:cs="Arial"/>
          <w:i/>
          <w:color w:val="000000"/>
          <w:sz w:val="20"/>
        </w:rPr>
        <w:t>Argenyi v. Creighton Univ.</w:t>
      </w:r>
      <w:r>
        <w:rPr>
          <w:rFonts w:ascii="Arial" w:eastAsia="Arial" w:hAnsi="Arial" w:cs="Arial"/>
          <w:color w:val="000000"/>
          <w:sz w:val="20"/>
        </w:rPr>
        <w:t xml:space="preserve">, 703 F.3d 441, 447-51 (8th Cir. 2013), in recognition that "the scope of protection afforded" under both statutes, i.e., the "general prohibition[] against discrimination," is materially the same, </w:t>
      </w:r>
      <w:bookmarkStart w:id="3415" w:name="Bookmark_I5T6WYM02N1RCF0050000400"/>
      <w:bookmarkEnd w:id="3415"/>
      <w:r>
        <w:rPr>
          <w:rFonts w:ascii="Arial" w:eastAsia="Arial" w:hAnsi="Arial" w:cs="Arial"/>
          <w:i/>
          <w:color w:val="000000"/>
          <w:sz w:val="20"/>
        </w:rPr>
        <w:t>Menkowitz</w:t>
      </w:r>
      <w:r>
        <w:rPr>
          <w:rFonts w:ascii="Arial" w:eastAsia="Arial" w:hAnsi="Arial" w:cs="Arial"/>
          <w:color w:val="000000"/>
          <w:sz w:val="20"/>
        </w:rPr>
        <w:t>, 154 F.3d at 120.</w:t>
      </w:r>
    </w:p>
    <w:p w:rsidR="00E456CD" w:rsidRDefault="00000000">
      <w:pPr>
        <w:pStyle w:val="Normal17"/>
        <w:widowControl w:val="0"/>
        <w:spacing w:before="200" w:line="260" w:lineRule="atLeast"/>
        <w:jc w:val="both"/>
      </w:pPr>
      <w:bookmarkStart w:id="3416" w:name="Bookmark_para_37_7"/>
      <w:bookmarkStart w:id="3417" w:name="Bookmark_I4SRB8NV9NK000063JX001F5"/>
      <w:bookmarkStart w:id="3418" w:name="Bookmark_I4SRB8NVC0M000063JX001F6"/>
      <w:bookmarkStart w:id="3419" w:name="Bookmark_I5T6WYM02SF8BJ0030000400"/>
      <w:bookmarkEnd w:id="3416"/>
      <w:bookmarkEnd w:id="3417"/>
      <w:bookmarkEnd w:id="3418"/>
      <w:bookmarkEnd w:id="3419"/>
      <w:r>
        <w:rPr>
          <w:rFonts w:ascii="Arial" w:eastAsia="Arial" w:hAnsi="Arial" w:cs="Arial"/>
          <w:color w:val="000000"/>
          <w:sz w:val="20"/>
        </w:rPr>
        <w:t xml:space="preserve">An essential feature of this "prohibition against discrimination" is, of course, the duty to make "reasonable accommodations" and "reasonable modifications," and while we have not explicitly held that [**21]  those terms are synonymous, we have assumed  [*118]  as much. </w:t>
      </w:r>
      <w:r>
        <w:rPr>
          <w:rFonts w:ascii="Arial" w:eastAsia="Arial" w:hAnsi="Arial" w:cs="Arial"/>
          <w:i/>
          <w:color w:val="000000"/>
          <w:sz w:val="20"/>
        </w:rPr>
        <w:t xml:space="preserve">See </w:t>
      </w:r>
      <w:bookmarkStart w:id="3420" w:name="Bookmark_I5T6WYM02SF8BJ0020000400"/>
      <w:bookmarkEnd w:id="3420"/>
      <w:r>
        <w:rPr>
          <w:rFonts w:ascii="Arial" w:eastAsia="Arial" w:hAnsi="Arial" w:cs="Arial"/>
          <w:i/>
          <w:color w:val="000000"/>
          <w:sz w:val="20"/>
        </w:rPr>
        <w:t>Haberle v. Troxell</w:t>
      </w:r>
      <w:r>
        <w:rPr>
          <w:rFonts w:ascii="Arial" w:eastAsia="Arial" w:hAnsi="Arial" w:cs="Arial"/>
          <w:color w:val="000000"/>
          <w:sz w:val="20"/>
        </w:rPr>
        <w:t xml:space="preserve">, 885 F.3d 171, 181 n.11 (3d Cir. 2018) (using the phrases "reasonable accommodations" and "reasonable modifications" interchangeably as to the ADA); </w:t>
      </w:r>
      <w:bookmarkStart w:id="3421" w:name="Bookmark_I5T6WYM02SF8BJ0040000400"/>
      <w:bookmarkEnd w:id="3421"/>
      <w:r>
        <w:rPr>
          <w:rFonts w:ascii="Arial" w:eastAsia="Arial" w:hAnsi="Arial" w:cs="Arial"/>
          <w:i/>
          <w:color w:val="000000"/>
          <w:sz w:val="20"/>
        </w:rPr>
        <w:t>Skinner</w:t>
      </w:r>
      <w:r>
        <w:rPr>
          <w:rFonts w:ascii="Arial" w:eastAsia="Arial" w:hAnsi="Arial" w:cs="Arial"/>
          <w:color w:val="000000"/>
          <w:sz w:val="20"/>
        </w:rPr>
        <w:t>, 881 F.2d at 1192 (describing the RA as requiring "reasonable modifications to accommodate the disabled" or a "duty to accommodate").</w:t>
      </w:r>
    </w:p>
    <w:p w:rsidR="00E456CD" w:rsidRDefault="00000000">
      <w:pPr>
        <w:pStyle w:val="Normal17"/>
        <w:widowControl w:val="0"/>
        <w:spacing w:before="200" w:line="260" w:lineRule="atLeast"/>
        <w:jc w:val="both"/>
      </w:pPr>
      <w:bookmarkStart w:id="3422" w:name="Bookmark_para_38_7"/>
      <w:bookmarkStart w:id="3423" w:name="Bookmark_I4SRB8NVDBK000063JX001F7"/>
      <w:bookmarkStart w:id="3424" w:name="Bookmark_I5T6WYM02HM6BG0020000400"/>
      <w:bookmarkStart w:id="3425" w:name="Bookmark_I4SRB8NVFNT000063JX001F8"/>
      <w:bookmarkStart w:id="3426" w:name="Bookmark_I4SRB8NVH1M000063JX001F9"/>
      <w:bookmarkStart w:id="3427" w:name="Bookmark_I5T6WYM02D6N7D0010000400"/>
      <w:bookmarkEnd w:id="3422"/>
      <w:bookmarkEnd w:id="3423"/>
      <w:bookmarkEnd w:id="3424"/>
      <w:bookmarkEnd w:id="3425"/>
      <w:bookmarkEnd w:id="3426"/>
      <w:bookmarkEnd w:id="3427"/>
      <w:r>
        <w:rPr>
          <w:rFonts w:ascii="Arial" w:eastAsia="Arial" w:hAnsi="Arial" w:cs="Arial"/>
          <w:color w:val="000000"/>
          <w:sz w:val="20"/>
        </w:rPr>
        <w:t xml:space="preserve">The Supreme Court has done the same. For example, in </w:t>
      </w:r>
      <w:r>
        <w:rPr>
          <w:rFonts w:ascii="Arial" w:eastAsia="Arial" w:hAnsi="Arial" w:cs="Arial"/>
          <w:i/>
          <w:color w:val="000000"/>
          <w:sz w:val="20"/>
        </w:rPr>
        <w:t>Southeastern Community College v. Davis</w:t>
      </w:r>
      <w:r>
        <w:rPr>
          <w:rFonts w:ascii="Arial" w:eastAsia="Arial" w:hAnsi="Arial" w:cs="Arial"/>
          <w:color w:val="000000"/>
          <w:sz w:val="20"/>
        </w:rPr>
        <w:t xml:space="preserve">, the precursor to </w:t>
      </w:r>
      <w:r>
        <w:rPr>
          <w:rFonts w:ascii="Arial" w:eastAsia="Arial" w:hAnsi="Arial" w:cs="Arial"/>
          <w:i/>
          <w:color w:val="000000"/>
          <w:sz w:val="20"/>
        </w:rPr>
        <w:t>Choate</w:t>
      </w:r>
      <w:r>
        <w:rPr>
          <w:rFonts w:ascii="Arial" w:eastAsia="Arial" w:hAnsi="Arial" w:cs="Arial"/>
          <w:color w:val="000000"/>
          <w:sz w:val="20"/>
        </w:rPr>
        <w:t xml:space="preserve">, the Court discussed as actionable under the RA both the "refusal to modify" and the "refusal to accommodate," </w:t>
      </w:r>
      <w:bookmarkStart w:id="3428" w:name="Bookmark_I5T6WYM02HM6BG0010000400"/>
      <w:bookmarkEnd w:id="3428"/>
      <w:r>
        <w:rPr>
          <w:rFonts w:ascii="Arial" w:eastAsia="Arial" w:hAnsi="Arial" w:cs="Arial"/>
          <w:color w:val="000000"/>
          <w:sz w:val="20"/>
        </w:rPr>
        <w:t xml:space="preserve">442 U.S. at 413, and in </w:t>
      </w:r>
      <w:r>
        <w:rPr>
          <w:rFonts w:ascii="Arial" w:eastAsia="Arial" w:hAnsi="Arial" w:cs="Arial"/>
          <w:i/>
          <w:color w:val="000000"/>
          <w:sz w:val="20"/>
        </w:rPr>
        <w:t>Choate</w:t>
      </w:r>
      <w:r>
        <w:rPr>
          <w:rFonts w:ascii="Arial" w:eastAsia="Arial" w:hAnsi="Arial" w:cs="Arial"/>
          <w:color w:val="000000"/>
          <w:sz w:val="20"/>
        </w:rPr>
        <w:t xml:space="preserve"> itself, the Court referenced both "reasonable accommodations" and "reasonable modifications," </w:t>
      </w:r>
      <w:bookmarkStart w:id="3429" w:name="Bookmark_I5T6WYM02HM6BG0030000400"/>
      <w:bookmarkEnd w:id="3429"/>
      <w:r>
        <w:rPr>
          <w:rFonts w:ascii="Arial" w:eastAsia="Arial" w:hAnsi="Arial" w:cs="Arial"/>
          <w:color w:val="000000"/>
          <w:sz w:val="20"/>
        </w:rPr>
        <w:t xml:space="preserve">469 U.S. at 300-01. Likewise, the Court has recognized that </w:t>
      </w:r>
      <w:bookmarkStart w:id="3430" w:name="Bookmark_LNHNREFclscc4_13"/>
      <w:bookmarkEnd w:id="3430"/>
      <w:r>
        <w:rPr>
          <w:rFonts w:ascii="Arial" w:eastAsia="Arial" w:hAnsi="Arial" w:cs="Arial"/>
          <w:color w:val="000000"/>
          <w:sz w:val="20"/>
        </w:rPr>
        <w:t xml:space="preserve">the RA operates "[i]n [a] similar vein" to the ADA, requiring "certain 'reasonable' modifications to existing practices in order to 'accommodate' persons with disabilities." </w:t>
      </w:r>
      <w:bookmarkStart w:id="3431" w:name="Bookmark_I5T6WYM02HM6BG0050000400"/>
      <w:bookmarkEnd w:id="3431"/>
      <w:r>
        <w:rPr>
          <w:rFonts w:ascii="Arial" w:eastAsia="Arial" w:hAnsi="Arial" w:cs="Arial"/>
          <w:i/>
          <w:color w:val="000000"/>
          <w:sz w:val="20"/>
        </w:rPr>
        <w:t>Fry</w:t>
      </w:r>
      <w:r>
        <w:rPr>
          <w:rFonts w:ascii="Arial" w:eastAsia="Arial" w:hAnsi="Arial" w:cs="Arial"/>
          <w:color w:val="000000"/>
          <w:sz w:val="20"/>
        </w:rPr>
        <w:t xml:space="preserve">, 137 S. Ct. at 749 (quoting </w:t>
      </w:r>
      <w:bookmarkStart w:id="3432" w:name="Bookmark_I5T6WYM02D6N7D0020000400"/>
      <w:bookmarkEnd w:id="3432"/>
      <w:r>
        <w:rPr>
          <w:rFonts w:ascii="Arial" w:eastAsia="Arial" w:hAnsi="Arial" w:cs="Arial"/>
          <w:i/>
          <w:color w:val="000000"/>
          <w:sz w:val="20"/>
        </w:rPr>
        <w:t>Choate</w:t>
      </w:r>
      <w:r>
        <w:rPr>
          <w:rFonts w:ascii="Arial" w:eastAsia="Arial" w:hAnsi="Arial" w:cs="Arial"/>
          <w:color w:val="000000"/>
          <w:sz w:val="20"/>
        </w:rPr>
        <w:t>, 469 U.S. at 299-300).</w:t>
      </w:r>
    </w:p>
    <w:p w:rsidR="00E456CD" w:rsidRDefault="00000000">
      <w:pPr>
        <w:pStyle w:val="Normal17"/>
        <w:widowControl w:val="0"/>
        <w:spacing w:before="200" w:line="260" w:lineRule="atLeast"/>
        <w:jc w:val="both"/>
      </w:pPr>
      <w:bookmarkStart w:id="3433" w:name="Bookmark_para_39_7"/>
      <w:bookmarkStart w:id="3434" w:name="Bookmark_I4SRB8NVJCP000063JX001FB"/>
      <w:bookmarkStart w:id="3435" w:name="Bookmark_I5T6WYM02D6N7D0050000400"/>
      <w:bookmarkEnd w:id="3433"/>
      <w:bookmarkEnd w:id="3434"/>
      <w:bookmarkEnd w:id="3435"/>
      <w:r>
        <w:rPr>
          <w:rFonts w:ascii="Arial" w:eastAsia="Arial" w:hAnsi="Arial" w:cs="Arial"/>
          <w:color w:val="000000"/>
          <w:sz w:val="20"/>
        </w:rPr>
        <w:t xml:space="preserve">Other Courts of Appeals also have recognized that </w:t>
      </w:r>
      <w:bookmarkStart w:id="3436" w:name="Bookmark_LNHNREFclscc5_13"/>
      <w:bookmarkEnd w:id="3436"/>
      <w:r>
        <w:rPr>
          <w:rFonts w:ascii="Arial" w:eastAsia="Arial" w:hAnsi="Arial" w:cs="Arial"/>
          <w:color w:val="000000"/>
          <w:sz w:val="20"/>
        </w:rPr>
        <w:t xml:space="preserve">"[a]lthough Title III of the ADA uses the term 'reasonable modification[s]' rather than 'reasonable accommodation[s],' these terms do not differ in the standards they create." </w:t>
      </w:r>
      <w:bookmarkStart w:id="3437" w:name="Bookmark_I5T6WYM02D6N7D0040000400"/>
      <w:bookmarkEnd w:id="3437"/>
      <w:r>
        <w:rPr>
          <w:rFonts w:ascii="Arial" w:eastAsia="Arial" w:hAnsi="Arial" w:cs="Arial"/>
          <w:i/>
          <w:color w:val="000000"/>
          <w:sz w:val="20"/>
        </w:rPr>
        <w:t>Fortyune v. Am. Multi-Cinema, Inc.</w:t>
      </w:r>
      <w:r>
        <w:rPr>
          <w:rFonts w:ascii="Arial" w:eastAsia="Arial" w:hAnsi="Arial" w:cs="Arial"/>
          <w:color w:val="000000"/>
          <w:sz w:val="20"/>
        </w:rPr>
        <w:t xml:space="preserve">, 364 F.3d 1075, 1083 (9th Cir. 2004) (citation and alteration omitted); </w:t>
      </w:r>
      <w:r>
        <w:rPr>
          <w:rFonts w:ascii="Arial" w:eastAsia="Arial" w:hAnsi="Arial" w:cs="Arial"/>
          <w:i/>
          <w:color w:val="000000"/>
          <w:sz w:val="20"/>
        </w:rPr>
        <w:t xml:space="preserve">see also </w:t>
      </w:r>
      <w:bookmarkStart w:id="3438" w:name="Bookmark_I5T6WYM02N1RCG0010000400"/>
      <w:bookmarkEnd w:id="3438"/>
      <w:r>
        <w:rPr>
          <w:rFonts w:ascii="Arial" w:eastAsia="Arial" w:hAnsi="Arial" w:cs="Arial"/>
          <w:i/>
          <w:color w:val="000000"/>
          <w:sz w:val="20"/>
        </w:rPr>
        <w:t>Nunes v. Mass. Dep't of Corr.</w:t>
      </w:r>
      <w:r>
        <w:rPr>
          <w:rFonts w:ascii="Arial" w:eastAsia="Arial" w:hAnsi="Arial" w:cs="Arial"/>
          <w:color w:val="000000"/>
          <w:sz w:val="20"/>
        </w:rPr>
        <w:t xml:space="preserve">, 766 F.3d 136, 145 n.6 (1st Cir. 2014) (stating that "there is no material difference between the terms"); </w:t>
      </w:r>
      <w:bookmarkStart w:id="3439" w:name="Bookmark_I5T6WYM02N1RCG0030000400"/>
      <w:bookmarkEnd w:id="3439"/>
      <w:r>
        <w:rPr>
          <w:rFonts w:ascii="Arial" w:eastAsia="Arial" w:hAnsi="Arial" w:cs="Arial"/>
          <w:i/>
          <w:color w:val="000000"/>
          <w:sz w:val="20"/>
        </w:rPr>
        <w:t>Halpern v. Wake Forest Univ. Health Scis.</w:t>
      </w:r>
      <w:r>
        <w:rPr>
          <w:rFonts w:ascii="Arial" w:eastAsia="Arial" w:hAnsi="Arial" w:cs="Arial"/>
          <w:color w:val="000000"/>
          <w:sz w:val="20"/>
        </w:rPr>
        <w:t xml:space="preserve">, 669 F.3d 454, 462 n.5 (4th Cir. 2012) (finding [**22]  that "[t]he standard for reasonableness under the ADA does not differ from the one employed under the [RA]" and therefore analyzing failure to accommodate claims under both statutes together (quoting </w:t>
      </w:r>
      <w:bookmarkStart w:id="3440" w:name="Bookmark_I5T6WYM02N1RCG0050000400"/>
      <w:bookmarkEnd w:id="3440"/>
      <w:r>
        <w:rPr>
          <w:rFonts w:ascii="Arial" w:eastAsia="Arial" w:hAnsi="Arial" w:cs="Arial"/>
          <w:i/>
          <w:color w:val="000000"/>
          <w:sz w:val="20"/>
        </w:rPr>
        <w:t>Fortyune</w:t>
      </w:r>
      <w:r>
        <w:rPr>
          <w:rFonts w:ascii="Arial" w:eastAsia="Arial" w:hAnsi="Arial" w:cs="Arial"/>
          <w:color w:val="000000"/>
          <w:sz w:val="20"/>
        </w:rPr>
        <w:t>, 364 F.3d at 1083)).</w:t>
      </w:r>
      <w:r>
        <w:rPr>
          <w:rFonts w:ascii="Arial" w:eastAsia="Arial" w:hAnsi="Arial" w:cs="Arial"/>
          <w:vertAlign w:val="superscript"/>
        </w:rPr>
        <w:footnoteReference w:customMarkFollows="1" w:id="147"/>
        <w:t>10</w:t>
      </w:r>
    </w:p>
    <w:p w:rsidR="00E456CD" w:rsidRDefault="00000000">
      <w:pPr>
        <w:pStyle w:val="Normal17"/>
        <w:widowControl w:val="0"/>
        <w:spacing w:before="200" w:line="260" w:lineRule="atLeast"/>
        <w:jc w:val="both"/>
      </w:pPr>
      <w:bookmarkStart w:id="3446" w:name="Bookmark_para_40_6"/>
      <w:bookmarkEnd w:id="3446"/>
      <w:r>
        <w:rPr>
          <w:rFonts w:ascii="Arial" w:eastAsia="Arial" w:hAnsi="Arial" w:cs="Arial"/>
          <w:color w:val="000000"/>
          <w:sz w:val="20"/>
        </w:rPr>
        <w:t>In short, the case law reinforces the conclusion we draw from the statutes' intertwined histories: The reasonableness of an accommodation or modification is the same under the RA and the ADA. Accordingly, while the text of the RA does not, by itself, resolve whether accommodating the use of service animals by individuals with disabilities is generally reasonable, it is appropriate to consider the regulations and guidance applicable to the ADA's "reasonable modification" requirement in answering that question. With these principles in mind, we turn to the ADA service animal regulations.</w:t>
      </w:r>
    </w:p>
    <w:p w:rsidR="00E456CD" w:rsidRDefault="00000000">
      <w:pPr>
        <w:pStyle w:val="Normal17"/>
        <w:widowControl w:val="0"/>
        <w:spacing w:before="240" w:line="260" w:lineRule="atLeast"/>
      </w:pPr>
      <w:r>
        <w:br/>
      </w:r>
      <w:r>
        <w:rPr>
          <w:rFonts w:ascii="Arial" w:eastAsia="Arial" w:hAnsi="Arial" w:cs="Arial"/>
          <w:b/>
          <w:color w:val="000000"/>
          <w:sz w:val="20"/>
        </w:rPr>
        <w:t>3. The Service Animal Regulations</w:t>
      </w:r>
    </w:p>
    <w:p w:rsidR="00E456CD" w:rsidRDefault="00000000">
      <w:pPr>
        <w:pStyle w:val="Normal17"/>
        <w:widowControl w:val="0"/>
        <w:spacing w:before="200" w:line="260" w:lineRule="atLeast"/>
        <w:jc w:val="both"/>
      </w:pPr>
      <w:bookmarkStart w:id="3447" w:name="Bookmark_para_41_6"/>
      <w:bookmarkStart w:id="3448" w:name="Bookmark_I5T6WYM028T4200020000400"/>
      <w:bookmarkEnd w:id="3447"/>
      <w:bookmarkEnd w:id="3448"/>
      <w:r>
        <w:rPr>
          <w:rFonts w:ascii="Arial" w:eastAsia="Arial" w:hAnsi="Arial" w:cs="Arial"/>
          <w:color w:val="000000"/>
          <w:sz w:val="20"/>
        </w:rPr>
        <w:t xml:space="preserve">A year after the ADA's enactment, the DOJ, its administering agency, promulgated a regulation that made accommodation of the use of service animals generally reasonable under the "reasonable modification" requirement. </w:t>
      </w:r>
      <w:r>
        <w:rPr>
          <w:rFonts w:ascii="Arial" w:eastAsia="Arial" w:hAnsi="Arial" w:cs="Arial"/>
          <w:i/>
          <w:color w:val="000000"/>
          <w:sz w:val="20"/>
        </w:rPr>
        <w:t>See</w:t>
      </w:r>
      <w:r>
        <w:rPr>
          <w:rFonts w:ascii="Arial" w:eastAsia="Arial" w:hAnsi="Arial" w:cs="Arial"/>
          <w:color w:val="000000"/>
          <w:sz w:val="20"/>
        </w:rPr>
        <w:t xml:space="preserve"> </w:t>
      </w:r>
      <w:bookmarkStart w:id="3449" w:name="Bookmark_I5T6WYM028T4200010000400"/>
      <w:bookmarkEnd w:id="3449"/>
      <w:r>
        <w:rPr>
          <w:rFonts w:ascii="Arial" w:eastAsia="Arial" w:hAnsi="Arial" w:cs="Arial"/>
          <w:color w:val="000000"/>
          <w:sz w:val="20"/>
        </w:rPr>
        <w:t xml:space="preserve">56 Fed. Reg. 35,544, 35,565 (July 26, 1991).  [*119]  This regulation, which applied only to public accommodations under Title III, imported the "reasonable modifications" language from the text [**23]  of the ADA, </w:t>
      </w:r>
      <w:r>
        <w:rPr>
          <w:rFonts w:ascii="Arial" w:eastAsia="Arial" w:hAnsi="Arial" w:cs="Arial"/>
          <w:i/>
          <w:color w:val="000000"/>
          <w:sz w:val="20"/>
        </w:rPr>
        <w:t>see</w:t>
      </w:r>
      <w:r>
        <w:rPr>
          <w:rFonts w:ascii="Arial" w:eastAsia="Arial" w:hAnsi="Arial" w:cs="Arial"/>
          <w:color w:val="000000"/>
          <w:sz w:val="20"/>
        </w:rPr>
        <w:t xml:space="preserve"> 42 U.S.C. § 12182(b)(2)(A)(ii), and further provided that </w:t>
      </w:r>
      <w:bookmarkStart w:id="3450" w:name="Bookmark_LNHNREFclscc6_13"/>
      <w:bookmarkEnd w:id="3450"/>
      <w:r>
        <w:rPr>
          <w:rFonts w:ascii="Arial" w:eastAsia="Arial" w:hAnsi="Arial" w:cs="Arial"/>
          <w:color w:val="000000"/>
          <w:sz w:val="20"/>
        </w:rPr>
        <w:t>public accommodations "[g]enerally . . . shall modify policies, practices, or procedures to permit the use of a service animal by an individual with a disability," 28 C.F.R. § 36.302(c)(1) (1992).</w:t>
      </w:r>
    </w:p>
    <w:p w:rsidR="00E456CD" w:rsidRDefault="00000000">
      <w:pPr>
        <w:pStyle w:val="Normal17"/>
        <w:widowControl w:val="0"/>
        <w:spacing w:before="200" w:line="260" w:lineRule="atLeast"/>
        <w:jc w:val="both"/>
      </w:pPr>
      <w:bookmarkStart w:id="3451" w:name="Bookmark_para_42_5"/>
      <w:bookmarkStart w:id="3452" w:name="Bookmark_I5T6WYM028T4200040000400"/>
      <w:bookmarkEnd w:id="3451"/>
      <w:bookmarkEnd w:id="3452"/>
      <w:r>
        <w:rPr>
          <w:rFonts w:ascii="Arial" w:eastAsia="Arial" w:hAnsi="Arial" w:cs="Arial"/>
          <w:color w:val="000000"/>
          <w:sz w:val="20"/>
        </w:rPr>
        <w:t xml:space="preserve">Two decades later, the DOJ spoke to the subject again. Recognizing that "there [was] no specific language in the 1991 title II regulation [applicable to public entities] concerning service animals," </w:t>
      </w:r>
      <w:bookmarkStart w:id="3453" w:name="Bookmark_I5T6WYM028T4200030000400"/>
      <w:bookmarkEnd w:id="3453"/>
      <w:r>
        <w:rPr>
          <w:rFonts w:ascii="Arial" w:eastAsia="Arial" w:hAnsi="Arial" w:cs="Arial"/>
          <w:color w:val="000000"/>
          <w:sz w:val="20"/>
        </w:rPr>
        <w:t xml:space="preserve">75 Fed. Reg. 56,164, 56,191 (Sept. 15, 2010), the DOJ promulgated a regulation for that context, using materially identical language to provide that </w:t>
      </w:r>
      <w:bookmarkStart w:id="3454" w:name="Bookmark_LNHNREFclscc7_13"/>
      <w:bookmarkEnd w:id="3454"/>
      <w:r>
        <w:rPr>
          <w:rFonts w:ascii="Arial" w:eastAsia="Arial" w:hAnsi="Arial" w:cs="Arial"/>
          <w:color w:val="000000"/>
          <w:sz w:val="20"/>
        </w:rPr>
        <w:t>a public entity "[g]enerally . . . shall modify its policies, practices, or procedures to permit the use of a service animal by an individual with a disability," 28 C.F.R. § 35.136(a).</w:t>
      </w:r>
    </w:p>
    <w:p w:rsidR="00E456CD" w:rsidRDefault="00000000">
      <w:pPr>
        <w:pStyle w:val="Normal17"/>
        <w:widowControl w:val="0"/>
        <w:spacing w:before="200" w:line="260" w:lineRule="atLeast"/>
        <w:jc w:val="both"/>
      </w:pPr>
      <w:bookmarkStart w:id="3455" w:name="Bookmark_para_43_4"/>
      <w:bookmarkStart w:id="3456" w:name="Bookmark_I4SRB8NVKR2000063JX001FC"/>
      <w:bookmarkStart w:id="3457" w:name="Bookmark_I5T6WYM028T4210010000400"/>
      <w:bookmarkStart w:id="3458" w:name="Bookmark_I5T6WYM028T4210030000400"/>
      <w:bookmarkStart w:id="3459" w:name="Bookmark_I5T6WYM028T4210050000400"/>
      <w:bookmarkEnd w:id="3455"/>
      <w:bookmarkEnd w:id="3456"/>
      <w:bookmarkEnd w:id="3457"/>
      <w:bookmarkEnd w:id="3458"/>
      <w:bookmarkEnd w:id="3459"/>
      <w:r>
        <w:rPr>
          <w:rFonts w:ascii="Arial" w:eastAsia="Arial" w:hAnsi="Arial" w:cs="Arial"/>
          <w:color w:val="000000"/>
          <w:sz w:val="20"/>
        </w:rPr>
        <w:t xml:space="preserve">As the court observed in </w:t>
      </w:r>
      <w:bookmarkStart w:id="3460" w:name="Bookmark_I5T6WYM028T4200050000400"/>
      <w:bookmarkEnd w:id="3460"/>
      <w:r>
        <w:rPr>
          <w:rFonts w:ascii="Arial" w:eastAsia="Arial" w:hAnsi="Arial" w:cs="Arial"/>
          <w:i/>
          <w:color w:val="000000"/>
          <w:sz w:val="20"/>
        </w:rPr>
        <w:t>Alboniga v. School Board</w:t>
      </w:r>
      <w:r>
        <w:rPr>
          <w:rFonts w:ascii="Arial" w:eastAsia="Arial" w:hAnsi="Arial" w:cs="Arial"/>
          <w:color w:val="000000"/>
          <w:sz w:val="20"/>
        </w:rPr>
        <w:t xml:space="preserve">, 87 F. Supp. 3d 1319 (S.D. Fla. 2015), in an exceptionally careful and thorough analysis of how these regulations inform the "reasonableness" of proposed modifications under the ADA, </w:t>
      </w:r>
      <w:bookmarkStart w:id="3461" w:name="Bookmark_LNHNREFclscc8_11"/>
      <w:bookmarkEnd w:id="3461"/>
      <w:r>
        <w:rPr>
          <w:rFonts w:ascii="Arial" w:eastAsia="Arial" w:hAnsi="Arial" w:cs="Arial"/>
          <w:color w:val="000000"/>
          <w:sz w:val="20"/>
        </w:rPr>
        <w:t xml:space="preserve">the service animal regulations are "consistent with and a specific application of" the "reasonable modification" requirement. </w:t>
      </w:r>
      <w:bookmarkStart w:id="3462" w:name="Bookmark_I5T6WYM028T4210020000400"/>
      <w:bookmarkEnd w:id="3462"/>
      <w:r>
        <w:rPr>
          <w:rFonts w:ascii="Arial" w:eastAsia="Arial" w:hAnsi="Arial" w:cs="Arial"/>
          <w:i/>
          <w:color w:val="000000"/>
          <w:sz w:val="20"/>
        </w:rPr>
        <w:t>Id.</w:t>
      </w:r>
      <w:r>
        <w:rPr>
          <w:rFonts w:ascii="Arial" w:eastAsia="Arial" w:hAnsi="Arial" w:cs="Arial"/>
          <w:color w:val="000000"/>
          <w:sz w:val="20"/>
        </w:rPr>
        <w:t xml:space="preserve"> at 1335. They "present[] the DOJ's holistic view, in enforcing the ADA, of when it is reasonable, and when it is unreasonable, to require public entities [and accommodations] to accommodate the use of service animals." </w:t>
      </w:r>
      <w:bookmarkStart w:id="3463" w:name="Bookmark_I5T6WYM028T4210040000400"/>
      <w:bookmarkEnd w:id="3463"/>
      <w:r>
        <w:rPr>
          <w:rFonts w:ascii="Arial" w:eastAsia="Arial" w:hAnsi="Arial" w:cs="Arial"/>
          <w:i/>
          <w:color w:val="000000"/>
          <w:sz w:val="20"/>
        </w:rPr>
        <w:t>Id.</w:t>
      </w:r>
      <w:r>
        <w:rPr>
          <w:rFonts w:ascii="Arial" w:eastAsia="Arial" w:hAnsi="Arial" w:cs="Arial"/>
          <w:color w:val="000000"/>
          <w:sz w:val="20"/>
        </w:rPr>
        <w:t xml:space="preserve"> at 1336.</w:t>
      </w:r>
    </w:p>
    <w:p w:rsidR="00E456CD" w:rsidRDefault="00000000">
      <w:pPr>
        <w:pStyle w:val="Normal17"/>
        <w:widowControl w:val="0"/>
        <w:spacing w:before="200" w:line="260" w:lineRule="atLeast"/>
        <w:jc w:val="both"/>
      </w:pPr>
      <w:bookmarkStart w:id="3464" w:name="Bookmark_para_44_4"/>
      <w:bookmarkStart w:id="3465" w:name="Bookmark_I5T6WYM02HM6BH0020000400"/>
      <w:bookmarkEnd w:id="3464"/>
      <w:bookmarkEnd w:id="3465"/>
      <w:r>
        <w:rPr>
          <w:rFonts w:ascii="Arial" w:eastAsia="Arial" w:hAnsi="Arial" w:cs="Arial"/>
          <w:color w:val="000000"/>
          <w:sz w:val="20"/>
        </w:rPr>
        <w:t xml:space="preserve">On the [**24]  one hand, they establish the "general rule" that requiring covered actors to make modifications to permit the use of service animals is reasonable.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see </w:t>
      </w:r>
      <w:bookmarkStart w:id="3466" w:name="Bookmark_I5T6WYM02HM6BH0010000400"/>
      <w:bookmarkEnd w:id="3466"/>
      <w:r>
        <w:rPr>
          <w:rFonts w:ascii="Arial" w:eastAsia="Arial" w:hAnsi="Arial" w:cs="Arial"/>
          <w:i/>
          <w:color w:val="000000"/>
          <w:sz w:val="20"/>
        </w:rPr>
        <w:t>Johnson v. Gambrinus Co./Spoetzl Brewery</w:t>
      </w:r>
      <w:r>
        <w:rPr>
          <w:rFonts w:ascii="Arial" w:eastAsia="Arial" w:hAnsi="Arial" w:cs="Arial"/>
          <w:color w:val="000000"/>
          <w:sz w:val="20"/>
        </w:rPr>
        <w:t>, 116 F.3d 1052, 1060 (5th Cir. 1997) (concluding that plaintiff had satisfied his initial burden of establishing the requested modification was "reasonable generally or in the run of cases" and the burden then shifted to the defendant because "[t]he regulation and commentary reflect an administrative determination that modifying a no animals policy to allow a service animal full access with its owner in a place of public accommodation is generally reasonable").</w:t>
      </w:r>
    </w:p>
    <w:p w:rsidR="00E456CD" w:rsidRDefault="00000000">
      <w:pPr>
        <w:pStyle w:val="Normal17"/>
        <w:widowControl w:val="0"/>
        <w:spacing w:before="200" w:line="260" w:lineRule="atLeast"/>
        <w:jc w:val="both"/>
      </w:pPr>
      <w:bookmarkStart w:id="3467" w:name="Bookmark_para_45_4"/>
      <w:bookmarkEnd w:id="3467"/>
      <w:r>
        <w:rPr>
          <w:rFonts w:ascii="Arial" w:eastAsia="Arial" w:hAnsi="Arial" w:cs="Arial"/>
          <w:color w:val="000000"/>
          <w:sz w:val="20"/>
        </w:rPr>
        <w:t xml:space="preserve">On the other hand, they specify the limited circumstances in which it would be unreasonable to require these actors to allow the use of service animals: if granting access would "fundamentally alter" the nature of the program, 28 C.F.R. §§ 35.130(b)(7), 36.302(a), or pose a "direct threat" to the health or safety of others, </w:t>
      </w:r>
      <w:r>
        <w:rPr>
          <w:rFonts w:ascii="Arial" w:eastAsia="Arial" w:hAnsi="Arial" w:cs="Arial"/>
          <w:i/>
          <w:color w:val="000000"/>
          <w:sz w:val="20"/>
        </w:rPr>
        <w:t>id.</w:t>
      </w:r>
      <w:r>
        <w:rPr>
          <w:rFonts w:ascii="Arial" w:eastAsia="Arial" w:hAnsi="Arial" w:cs="Arial"/>
          <w:color w:val="000000"/>
          <w:sz w:val="20"/>
        </w:rPr>
        <w:t xml:space="preserve"> §§ 35.139, 36.208, or if the animal is either "out of control" or "not housebroken,"</w:t>
      </w:r>
      <w:r>
        <w:rPr>
          <w:rFonts w:ascii="Arial" w:eastAsia="Arial" w:hAnsi="Arial" w:cs="Arial"/>
          <w:vertAlign w:val="superscript"/>
        </w:rPr>
        <w:footnoteReference w:customMarkFollows="1" w:id="148"/>
        <w:t>11</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 35.136(b)(1)-(2), 36.302(c)(2)(i)-(ii); </w:t>
      </w:r>
      <w:r>
        <w:rPr>
          <w:rFonts w:ascii="Arial" w:eastAsia="Arial" w:hAnsi="Arial" w:cs="Arial"/>
          <w:i/>
          <w:color w:val="000000"/>
          <w:sz w:val="20"/>
        </w:rPr>
        <w:t>see also id.</w:t>
      </w:r>
      <w:r>
        <w:rPr>
          <w:rFonts w:ascii="Arial" w:eastAsia="Arial" w:hAnsi="Arial" w:cs="Arial"/>
          <w:color w:val="000000"/>
          <w:sz w:val="20"/>
        </w:rPr>
        <w:t xml:space="preserve"> pt. 35, app. A, §§ 35.104, 35.136 (illustrating application of these exceptions with specific examples). Subject to these exceptions, however, the regulations mandate that "[i]ndividuals with disabilities shall be permitted to be accompanied [**25]  by their service animals in all areas of [a covered actor's facilities] where . . . program participants . . . are allowed to go." </w:t>
      </w:r>
      <w:r>
        <w:rPr>
          <w:rFonts w:ascii="Arial" w:eastAsia="Arial" w:hAnsi="Arial" w:cs="Arial"/>
          <w:i/>
          <w:color w:val="000000"/>
          <w:sz w:val="20"/>
        </w:rPr>
        <w:t>Id.</w:t>
      </w:r>
      <w:r>
        <w:rPr>
          <w:rFonts w:ascii="Arial" w:eastAsia="Arial" w:hAnsi="Arial" w:cs="Arial"/>
          <w:color w:val="000000"/>
          <w:sz w:val="20"/>
        </w:rPr>
        <w:t xml:space="preserve"> § 36.302(c)(7); </w:t>
      </w:r>
      <w:r>
        <w:rPr>
          <w:rFonts w:ascii="Arial" w:eastAsia="Arial" w:hAnsi="Arial" w:cs="Arial"/>
          <w:i/>
          <w:color w:val="000000"/>
          <w:sz w:val="20"/>
        </w:rPr>
        <w:t>see also id.</w:t>
      </w:r>
      <w:r>
        <w:rPr>
          <w:rFonts w:ascii="Arial" w:eastAsia="Arial" w:hAnsi="Arial" w:cs="Arial"/>
          <w:color w:val="000000"/>
          <w:sz w:val="20"/>
        </w:rPr>
        <w:t xml:space="preserve"> § 35.136(g).</w:t>
      </w:r>
    </w:p>
    <w:p w:rsidR="00E456CD" w:rsidRDefault="00000000">
      <w:pPr>
        <w:pStyle w:val="Normal17"/>
        <w:widowControl w:val="0"/>
        <w:spacing w:before="200" w:line="260" w:lineRule="atLeast"/>
        <w:jc w:val="both"/>
      </w:pPr>
      <w:bookmarkStart w:id="3469" w:name="Bookmark_para_46_3"/>
      <w:bookmarkStart w:id="3470" w:name="Bookmark_I5T6WYM02HM6BH0040000400"/>
      <w:bookmarkEnd w:id="3469"/>
      <w:bookmarkEnd w:id="3470"/>
      <w:r>
        <w:rPr>
          <w:rFonts w:ascii="Arial" w:eastAsia="Arial" w:hAnsi="Arial" w:cs="Arial"/>
          <w:color w:val="000000"/>
          <w:sz w:val="20"/>
        </w:rPr>
        <w:t xml:space="preserve">Put differently, </w:t>
      </w:r>
      <w:bookmarkStart w:id="3471" w:name="Bookmark_LNHNREFclscc9_9"/>
      <w:bookmarkEnd w:id="3471"/>
      <w:r>
        <w:rPr>
          <w:rFonts w:ascii="Arial" w:eastAsia="Arial" w:hAnsi="Arial" w:cs="Arial"/>
          <w:color w:val="000000"/>
          <w:sz w:val="20"/>
        </w:rPr>
        <w:t xml:space="preserve">if the exceptions are inapplicable, a disabled individual's proposed accommodation of the use of her service animal is reasonable under the ADA as a matter of law. </w:t>
      </w:r>
      <w:r>
        <w:rPr>
          <w:rFonts w:ascii="Arial" w:eastAsia="Arial" w:hAnsi="Arial" w:cs="Arial"/>
          <w:i/>
          <w:color w:val="000000"/>
          <w:sz w:val="20"/>
        </w:rPr>
        <w:t xml:space="preserve">See </w:t>
      </w:r>
      <w:bookmarkStart w:id="3472" w:name="Bookmark_I5T6WYM02HM6BH0030000400"/>
      <w:bookmarkEnd w:id="3472"/>
      <w:r>
        <w:rPr>
          <w:rFonts w:ascii="Arial" w:eastAsia="Arial" w:hAnsi="Arial" w:cs="Arial"/>
          <w:i/>
          <w:color w:val="000000"/>
          <w:sz w:val="20"/>
        </w:rPr>
        <w:t>Johnson</w:t>
      </w:r>
      <w:r>
        <w:rPr>
          <w:rFonts w:ascii="Arial" w:eastAsia="Arial" w:hAnsi="Arial" w:cs="Arial"/>
          <w:color w:val="000000"/>
          <w:sz w:val="20"/>
        </w:rPr>
        <w:t xml:space="preserve">, 116  [*120]  F.3d at 1064 (affirming plaintiff's verdict following bench trial because defendant failed to accommodate his use of a service animal and, in view of the service animal regulations and commentary, defendant was required to make such modifications "unless it c[ould] demonstrate either 1) that such modifications would fundamentally alter the nature of the public accommodation or 2) that such modifications would jeopardize the safety of the public accommodation"); </w:t>
      </w:r>
      <w:bookmarkStart w:id="3473" w:name="Bookmark_I5T6WYM02HM6BH0050000400"/>
      <w:bookmarkEnd w:id="3473"/>
      <w:r>
        <w:rPr>
          <w:rFonts w:ascii="Arial" w:eastAsia="Arial" w:hAnsi="Arial" w:cs="Arial"/>
          <w:i/>
          <w:color w:val="000000"/>
          <w:sz w:val="20"/>
        </w:rPr>
        <w:t>Alboniga</w:t>
      </w:r>
      <w:r>
        <w:rPr>
          <w:rFonts w:ascii="Arial" w:eastAsia="Arial" w:hAnsi="Arial" w:cs="Arial"/>
          <w:color w:val="000000"/>
          <w:sz w:val="20"/>
        </w:rPr>
        <w:t xml:space="preserve">, 87 F. Supp. 3d at 1344 (granting summary judgment in favor of plaintiff on the ground that, where no exception applied, plaintiff's request for the accommodation of her service animal was necessarily "reasonable within the meaning of the regulations implementing the ADA"); </w:t>
      </w:r>
      <w:r>
        <w:rPr>
          <w:rFonts w:ascii="Arial" w:eastAsia="Arial" w:hAnsi="Arial" w:cs="Arial"/>
          <w:i/>
          <w:color w:val="000000"/>
          <w:sz w:val="20"/>
        </w:rPr>
        <w:t xml:space="preserve">cf. </w:t>
      </w:r>
      <w:bookmarkStart w:id="3474" w:name="Bookmark_I5T6WYM02D6N7F0020000400"/>
      <w:bookmarkEnd w:id="3474"/>
      <w:r>
        <w:rPr>
          <w:rFonts w:ascii="Arial" w:eastAsia="Arial" w:hAnsi="Arial" w:cs="Arial"/>
          <w:i/>
          <w:color w:val="000000"/>
          <w:sz w:val="20"/>
        </w:rPr>
        <w:t>Bronk v. Ineichen</w:t>
      </w:r>
      <w:r>
        <w:rPr>
          <w:rFonts w:ascii="Arial" w:eastAsia="Arial" w:hAnsi="Arial" w:cs="Arial"/>
          <w:color w:val="000000"/>
          <w:sz w:val="20"/>
        </w:rPr>
        <w:t>, 54 F.3d 425, 429 (7th Cir. 1995) (reasoning that "a deaf individual's need for the accommodation afforded by a hearing dog" is "</w:t>
      </w:r>
      <w:r>
        <w:rPr>
          <w:rFonts w:ascii="Arial" w:eastAsia="Arial" w:hAnsi="Arial" w:cs="Arial"/>
          <w:i/>
          <w:color w:val="000000"/>
          <w:sz w:val="20"/>
        </w:rPr>
        <w:t>per se</w:t>
      </w:r>
      <w:r>
        <w:rPr>
          <w:rFonts w:ascii="Arial" w:eastAsia="Arial" w:hAnsi="Arial" w:cs="Arial"/>
          <w:color w:val="000000"/>
          <w:sz w:val="20"/>
        </w:rPr>
        <w:t xml:space="preserve"> reasonable within the meaning of the [Fair Housing Amendments Act of 1988]").</w:t>
      </w:r>
    </w:p>
    <w:p w:rsidR="00E456CD" w:rsidRDefault="00000000">
      <w:pPr>
        <w:pStyle w:val="Normal17"/>
        <w:widowControl w:val="0"/>
        <w:spacing w:before="200" w:line="260" w:lineRule="atLeast"/>
        <w:jc w:val="both"/>
      </w:pPr>
      <w:bookmarkStart w:id="3475" w:name="Bookmark_para_47_3"/>
      <w:bookmarkStart w:id="3476" w:name="Bookmark_I5T6WYM02D6N7F0050000400"/>
      <w:bookmarkStart w:id="3477" w:name="Bookmark_I5T6WYM028T4220030000400"/>
      <w:bookmarkStart w:id="3478" w:name="Bookmark_I5T6WYM02HM6BM0020000400"/>
      <w:bookmarkStart w:id="3479" w:name="Bookmark_LNHNREFclscc10_9"/>
      <w:bookmarkEnd w:id="3475"/>
      <w:bookmarkEnd w:id="3476"/>
      <w:bookmarkEnd w:id="3477"/>
      <w:bookmarkEnd w:id="3478"/>
      <w:bookmarkEnd w:id="3479"/>
      <w:r>
        <w:rPr>
          <w:rFonts w:ascii="Arial" w:eastAsia="Arial" w:hAnsi="Arial" w:cs="Arial"/>
          <w:color w:val="000000"/>
          <w:sz w:val="20"/>
        </w:rPr>
        <w:t xml:space="preserve">The exclusivity [**26]  of these exceptions is apparent not only in the language and structure of the regulations—to which we accord </w:t>
      </w:r>
      <w:r>
        <w:rPr>
          <w:rFonts w:ascii="Arial" w:eastAsia="Arial" w:hAnsi="Arial" w:cs="Arial"/>
          <w:i/>
          <w:color w:val="000000"/>
          <w:sz w:val="20"/>
        </w:rPr>
        <w:t>Chevron</w:t>
      </w:r>
      <w:r>
        <w:rPr>
          <w:rFonts w:ascii="Arial" w:eastAsia="Arial" w:hAnsi="Arial" w:cs="Arial"/>
          <w:color w:val="000000"/>
          <w:sz w:val="20"/>
        </w:rPr>
        <w:t xml:space="preserve"> deference unless "arbitrary, capricious or manifestly contrary to the statute," </w:t>
      </w:r>
      <w:bookmarkStart w:id="3480" w:name="Bookmark_I5T6WYM02D6N7F0040000400"/>
      <w:bookmarkEnd w:id="3480"/>
      <w:r>
        <w:rPr>
          <w:rFonts w:ascii="Arial" w:eastAsia="Arial" w:hAnsi="Arial" w:cs="Arial"/>
          <w:i/>
          <w:color w:val="000000"/>
          <w:sz w:val="20"/>
        </w:rPr>
        <w:t>Helen L.</w:t>
      </w:r>
      <w:r>
        <w:rPr>
          <w:rFonts w:ascii="Arial" w:eastAsia="Arial" w:hAnsi="Arial" w:cs="Arial"/>
          <w:color w:val="000000"/>
          <w:sz w:val="20"/>
        </w:rPr>
        <w:t xml:space="preserve">, 46 F.3d at 332 (quoting </w:t>
      </w:r>
      <w:bookmarkStart w:id="3481" w:name="Bookmark_I5T6WYM02N1RCJ0010000400"/>
      <w:bookmarkEnd w:id="3481"/>
      <w:r>
        <w:rPr>
          <w:rFonts w:ascii="Arial" w:eastAsia="Arial" w:hAnsi="Arial" w:cs="Arial"/>
          <w:i/>
          <w:color w:val="000000"/>
          <w:sz w:val="20"/>
        </w:rPr>
        <w:t>Chevron U.S.A. Inc. v. Nat. Res. Def. Council, Inc.</w:t>
      </w:r>
      <w:r>
        <w:rPr>
          <w:rFonts w:ascii="Arial" w:eastAsia="Arial" w:hAnsi="Arial" w:cs="Arial"/>
          <w:color w:val="000000"/>
          <w:sz w:val="20"/>
        </w:rPr>
        <w:t xml:space="preserve">, 467 U.S. 837, 844, 104 S. Ct. 2778, 81 L. Ed. 2d 694 (1984)); </w:t>
      </w:r>
      <w:r>
        <w:rPr>
          <w:rFonts w:ascii="Arial" w:eastAsia="Arial" w:hAnsi="Arial" w:cs="Arial"/>
          <w:i/>
          <w:color w:val="000000"/>
          <w:sz w:val="20"/>
        </w:rPr>
        <w:t xml:space="preserve">see </w:t>
      </w:r>
      <w:bookmarkStart w:id="3482" w:name="Bookmark_I5T6WYM02N1RCJ0030000400"/>
      <w:bookmarkEnd w:id="3482"/>
      <w:r>
        <w:rPr>
          <w:rFonts w:ascii="Arial" w:eastAsia="Arial" w:hAnsi="Arial" w:cs="Arial"/>
          <w:i/>
          <w:color w:val="000000"/>
          <w:sz w:val="20"/>
        </w:rPr>
        <w:t>Johnson</w:t>
      </w:r>
      <w:r>
        <w:rPr>
          <w:rFonts w:ascii="Arial" w:eastAsia="Arial" w:hAnsi="Arial" w:cs="Arial"/>
          <w:color w:val="000000"/>
          <w:sz w:val="20"/>
        </w:rPr>
        <w:t xml:space="preserve">, 116 F.3d at 1060-61 (concluding the ADA service animal regulations warrant </w:t>
      </w:r>
      <w:r>
        <w:rPr>
          <w:rFonts w:ascii="Arial" w:eastAsia="Arial" w:hAnsi="Arial" w:cs="Arial"/>
          <w:i/>
          <w:color w:val="000000"/>
          <w:sz w:val="20"/>
        </w:rPr>
        <w:t>Chevron</w:t>
      </w:r>
      <w:r>
        <w:rPr>
          <w:rFonts w:ascii="Arial" w:eastAsia="Arial" w:hAnsi="Arial" w:cs="Arial"/>
          <w:color w:val="000000"/>
          <w:sz w:val="20"/>
        </w:rPr>
        <w:t xml:space="preserve"> deference); </w:t>
      </w:r>
      <w:bookmarkStart w:id="3483" w:name="Bookmark_I5T6WYM02N1RCJ0050000400"/>
      <w:bookmarkEnd w:id="3483"/>
      <w:r>
        <w:rPr>
          <w:rFonts w:ascii="Arial" w:eastAsia="Arial" w:hAnsi="Arial" w:cs="Arial"/>
          <w:i/>
          <w:color w:val="000000"/>
          <w:sz w:val="20"/>
        </w:rPr>
        <w:t>Alboniga</w:t>
      </w:r>
      <w:r>
        <w:rPr>
          <w:rFonts w:ascii="Arial" w:eastAsia="Arial" w:hAnsi="Arial" w:cs="Arial"/>
          <w:color w:val="000000"/>
          <w:sz w:val="20"/>
        </w:rPr>
        <w:t xml:space="preserve">, 87 F. Supp. 3d at 1333-37 (same)—but also as confirmed by the DOJ itself in interpreting its regulations, an interpretation to which we must defer "unless . . . 'plainly erroneous or inconsistent with the regulation,'" </w:t>
      </w:r>
      <w:bookmarkStart w:id="3484" w:name="Bookmark_I5T6WYM028T4220020000400"/>
      <w:bookmarkEnd w:id="3484"/>
      <w:r>
        <w:rPr>
          <w:rFonts w:ascii="Arial" w:eastAsia="Arial" w:hAnsi="Arial" w:cs="Arial"/>
          <w:i/>
          <w:color w:val="000000"/>
          <w:sz w:val="20"/>
        </w:rPr>
        <w:t>Chase Bank USA, N.A. v. McCoy</w:t>
      </w:r>
      <w:r>
        <w:rPr>
          <w:rFonts w:ascii="Arial" w:eastAsia="Arial" w:hAnsi="Arial" w:cs="Arial"/>
          <w:color w:val="000000"/>
          <w:sz w:val="20"/>
        </w:rPr>
        <w:t xml:space="preserve">, 562 U.S. 195, 208, 131 S. Ct. 871, 178 L. Ed. 2d 716 (2011) (quoting </w:t>
      </w:r>
      <w:bookmarkStart w:id="3485" w:name="Bookmark_I5T6WYM028T4220040000400"/>
      <w:bookmarkEnd w:id="3485"/>
      <w:r>
        <w:rPr>
          <w:rFonts w:ascii="Arial" w:eastAsia="Arial" w:hAnsi="Arial" w:cs="Arial"/>
          <w:i/>
          <w:color w:val="000000"/>
          <w:sz w:val="20"/>
        </w:rPr>
        <w:t>Auer v. Robbins</w:t>
      </w:r>
      <w:r>
        <w:rPr>
          <w:rFonts w:ascii="Arial" w:eastAsia="Arial" w:hAnsi="Arial" w:cs="Arial"/>
          <w:color w:val="000000"/>
          <w:sz w:val="20"/>
        </w:rPr>
        <w:t xml:space="preserve">, 519 U.S. 452, 461, 117 S. Ct. 905, 137 L. Ed. 2d 79 (1997)). In the Statement of Interest it filed in </w:t>
      </w:r>
      <w:r>
        <w:rPr>
          <w:rFonts w:ascii="Arial" w:eastAsia="Arial" w:hAnsi="Arial" w:cs="Arial"/>
          <w:i/>
          <w:color w:val="000000"/>
          <w:sz w:val="20"/>
        </w:rPr>
        <w:t>Alboniga</w:t>
      </w:r>
      <w:r>
        <w:rPr>
          <w:rFonts w:ascii="Arial" w:eastAsia="Arial" w:hAnsi="Arial" w:cs="Arial"/>
          <w:color w:val="000000"/>
          <w:sz w:val="20"/>
        </w:rPr>
        <w:t xml:space="preserve">, the DOJ explained that the service animal regulations "reflect the Department's regulatory judgment that requiring [covered actors] to make modifications to permit the use of service animals generally is reasonable, subject to specific, enumerated exceptions." Statement of Interest of the United States at 10, </w:t>
      </w:r>
      <w:bookmarkStart w:id="3486" w:name="Bookmark_I5T6WYM02HM6BM0010000400"/>
      <w:bookmarkEnd w:id="3486"/>
      <w:r>
        <w:rPr>
          <w:rFonts w:ascii="Arial" w:eastAsia="Arial" w:hAnsi="Arial" w:cs="Arial"/>
          <w:i/>
          <w:color w:val="000000"/>
          <w:sz w:val="20"/>
        </w:rPr>
        <w:t>Alboniga</w:t>
      </w:r>
      <w:r>
        <w:rPr>
          <w:rFonts w:ascii="Arial" w:eastAsia="Arial" w:hAnsi="Arial" w:cs="Arial"/>
          <w:color w:val="000000"/>
          <w:sz w:val="20"/>
        </w:rPr>
        <w:t xml:space="preserve">, 87 F. Supp. 3d 1319 (No. 14-CIV-60085). And that position is consistent with the DOJ's technical assistance, amicus briefs, and enforcement efforts over at least the past decade. </w:t>
      </w:r>
      <w:r>
        <w:rPr>
          <w:rFonts w:ascii="Arial" w:eastAsia="Arial" w:hAnsi="Arial" w:cs="Arial"/>
          <w:i/>
          <w:color w:val="000000"/>
          <w:sz w:val="20"/>
        </w:rPr>
        <w:t>See id.</w:t>
      </w:r>
      <w:r>
        <w:rPr>
          <w:rFonts w:ascii="Arial" w:eastAsia="Arial" w:hAnsi="Arial" w:cs="Arial"/>
          <w:color w:val="000000"/>
          <w:sz w:val="20"/>
        </w:rPr>
        <w:t xml:space="preserve"> at 5 n.5 (collecting authorities). So interpreted, the regulations fulfill Congress's intent to ensure "the broadest feasible access be provided to service animals in all places of public accommodation"—permitting their exclusion only [**27]  "in rare circumstances." 28 C.F.R. pt. 36, app. C, § 36.302; </w:t>
      </w:r>
      <w:r>
        <w:rPr>
          <w:rFonts w:ascii="Arial" w:eastAsia="Arial" w:hAnsi="Arial" w:cs="Arial"/>
          <w:i/>
          <w:color w:val="000000"/>
          <w:sz w:val="20"/>
        </w:rPr>
        <w:t>see id.</w:t>
      </w:r>
      <w:r>
        <w:rPr>
          <w:rFonts w:ascii="Arial" w:eastAsia="Arial" w:hAnsi="Arial" w:cs="Arial"/>
          <w:color w:val="000000"/>
          <w:sz w:val="20"/>
        </w:rPr>
        <w:t xml:space="preserve"> pt. 35, app. A, § 35.136.</w:t>
      </w:r>
    </w:p>
    <w:p w:rsidR="00E456CD" w:rsidRDefault="00000000">
      <w:pPr>
        <w:pStyle w:val="Normal17"/>
        <w:widowControl w:val="0"/>
        <w:spacing w:before="200" w:line="260" w:lineRule="atLeast"/>
        <w:jc w:val="both"/>
      </w:pPr>
      <w:bookmarkStart w:id="3487" w:name="Bookmark_para_48_3"/>
      <w:bookmarkStart w:id="3488" w:name="Bookmark_I5T6WYM02HM6BM0040000400"/>
      <w:bookmarkEnd w:id="3487"/>
      <w:bookmarkEnd w:id="3488"/>
      <w:r>
        <w:rPr>
          <w:rFonts w:ascii="Arial" w:eastAsia="Arial" w:hAnsi="Arial" w:cs="Arial"/>
          <w:color w:val="000000"/>
          <w:sz w:val="20"/>
        </w:rPr>
        <w:t xml:space="preserve">When we consider these observations against the backdrop of our earlier discussion concerning the equivalence of "reasonable modifications" and "reasonable accommodations," </w:t>
      </w:r>
      <w:bookmarkStart w:id="3489" w:name="Bookmark_LNHNREFclscc11_8"/>
      <w:bookmarkEnd w:id="3489"/>
      <w:r>
        <w:rPr>
          <w:rFonts w:ascii="Arial" w:eastAsia="Arial" w:hAnsi="Arial" w:cs="Arial"/>
          <w:color w:val="000000"/>
          <w:sz w:val="20"/>
        </w:rPr>
        <w:t xml:space="preserve">logic dictates that the service animal regulations, although technically interpreting the ADA, are no less relevant to the interpretation of the RA. In the latter context too, the general rule—subject to the same exceptions—is that a grantee must "modify policies, practices, or procedures to permit the use of a service animal by an individual with a disability," 28 C.F.R. § 36.302(c)(1), and must "permit[] [such individuals] to be accompanied by their service animals in all areas of [the grantee's facilities] where . . . program participants . . . are allowed to go," </w:t>
      </w:r>
      <w:r>
        <w:rPr>
          <w:rFonts w:ascii="Arial" w:eastAsia="Arial" w:hAnsi="Arial" w:cs="Arial"/>
          <w:i/>
          <w:color w:val="000000"/>
          <w:sz w:val="20"/>
        </w:rPr>
        <w:t>id.</w:t>
      </w:r>
      <w:r>
        <w:rPr>
          <w:rFonts w:ascii="Arial" w:eastAsia="Arial" w:hAnsi="Arial" w:cs="Arial"/>
          <w:color w:val="000000"/>
          <w:sz w:val="20"/>
        </w:rPr>
        <w:t xml:space="preserve"> § 36.302(c)(7). And just as in the ADA context, where no exception applies, the accommodation of such individuals' use of service animals is </w:t>
      </w:r>
      <w:r>
        <w:rPr>
          <w:rFonts w:ascii="Arial" w:eastAsia="Arial" w:hAnsi="Arial" w:cs="Arial"/>
          <w:i/>
          <w:color w:val="000000"/>
          <w:sz w:val="20"/>
        </w:rPr>
        <w:t>per se</w:t>
      </w:r>
      <w:r>
        <w:rPr>
          <w:rFonts w:ascii="Arial" w:eastAsia="Arial" w:hAnsi="Arial" w:cs="Arial"/>
          <w:color w:val="000000"/>
          <w:sz w:val="20"/>
        </w:rPr>
        <w:t xml:space="preserve"> reasonable. </w:t>
      </w:r>
      <w:bookmarkStart w:id="3490" w:name="Bookmark_I5T6WYM02HM6BM0030000400"/>
      <w:bookmarkEnd w:id="3490"/>
      <w:r>
        <w:rPr>
          <w:rFonts w:ascii="Arial" w:eastAsia="Arial" w:hAnsi="Arial" w:cs="Arial"/>
          <w:i/>
          <w:color w:val="000000"/>
          <w:sz w:val="20"/>
        </w:rPr>
        <w:t>Johnson</w:t>
      </w:r>
      <w:r>
        <w:rPr>
          <w:rFonts w:ascii="Arial" w:eastAsia="Arial" w:hAnsi="Arial" w:cs="Arial"/>
          <w:color w:val="000000"/>
          <w:sz w:val="20"/>
        </w:rPr>
        <w:t xml:space="preserve">, 116 F.3d at 1064; </w:t>
      </w:r>
      <w:bookmarkStart w:id="3491" w:name="Bookmark_I5T6WYM02HM6BM0050000400"/>
      <w:bookmarkEnd w:id="3491"/>
      <w:r>
        <w:rPr>
          <w:rFonts w:ascii="Arial" w:eastAsia="Arial" w:hAnsi="Arial" w:cs="Arial"/>
          <w:i/>
          <w:color w:val="000000"/>
          <w:sz w:val="20"/>
        </w:rPr>
        <w:t>Alboniga</w:t>
      </w:r>
      <w:r>
        <w:rPr>
          <w:rFonts w:ascii="Arial" w:eastAsia="Arial" w:hAnsi="Arial" w:cs="Arial"/>
          <w:color w:val="000000"/>
          <w:sz w:val="20"/>
        </w:rPr>
        <w:t xml:space="preserve">, 87 F. Supp. 3d at 1344; </w:t>
      </w:r>
      <w:r>
        <w:rPr>
          <w:rFonts w:ascii="Arial" w:eastAsia="Arial" w:hAnsi="Arial" w:cs="Arial"/>
          <w:i/>
          <w:color w:val="000000"/>
          <w:sz w:val="20"/>
        </w:rPr>
        <w:t xml:space="preserve">cf. </w:t>
      </w:r>
      <w:bookmarkStart w:id="3492" w:name="Bookmark_I5T6WYM02SF8BP0020000400"/>
      <w:bookmarkEnd w:id="3492"/>
      <w:r>
        <w:rPr>
          <w:rFonts w:ascii="Arial" w:eastAsia="Arial" w:hAnsi="Arial" w:cs="Arial"/>
          <w:i/>
          <w:color w:val="000000"/>
          <w:sz w:val="20"/>
        </w:rPr>
        <w:t>Bronk</w:t>
      </w:r>
      <w:r>
        <w:rPr>
          <w:rFonts w:ascii="Arial" w:eastAsia="Arial" w:hAnsi="Arial" w:cs="Arial"/>
          <w:color w:val="000000"/>
          <w:sz w:val="20"/>
        </w:rPr>
        <w:t>, 54 F.3d at 429.</w:t>
      </w:r>
    </w:p>
    <w:p w:rsidR="00E456CD" w:rsidRDefault="00000000">
      <w:pPr>
        <w:pStyle w:val="Normal17"/>
        <w:widowControl w:val="0"/>
        <w:spacing w:before="240" w:line="260" w:lineRule="atLeast"/>
      </w:pPr>
      <w:r>
        <w:br/>
      </w:r>
      <w:r>
        <w:rPr>
          <w:rFonts w:ascii="Arial" w:eastAsia="Arial" w:hAnsi="Arial" w:cs="Arial"/>
          <w:color w:val="000000"/>
          <w:sz w:val="20"/>
        </w:rPr>
        <w:t xml:space="preserve"> [*121]  </w:t>
      </w:r>
      <w:r>
        <w:rPr>
          <w:rFonts w:ascii="Arial" w:eastAsia="Arial" w:hAnsi="Arial" w:cs="Arial"/>
          <w:b/>
          <w:color w:val="000000"/>
          <w:sz w:val="20"/>
        </w:rPr>
        <w:t>4. Consonant Agency Guidance</w:t>
      </w:r>
    </w:p>
    <w:p w:rsidR="00E456CD" w:rsidRDefault="00000000">
      <w:pPr>
        <w:pStyle w:val="Normal17"/>
        <w:widowControl w:val="0"/>
        <w:spacing w:before="200" w:line="260" w:lineRule="atLeast"/>
        <w:jc w:val="both"/>
      </w:pPr>
      <w:bookmarkStart w:id="3493" w:name="Bookmark_para_49_3"/>
      <w:bookmarkEnd w:id="3493"/>
      <w:r>
        <w:rPr>
          <w:rFonts w:ascii="Arial" w:eastAsia="Arial" w:hAnsi="Arial" w:cs="Arial"/>
          <w:color w:val="000000"/>
          <w:sz w:val="20"/>
        </w:rPr>
        <w:t>Our holding today also finds support in the regulations and informal guidance of other agencies across the landscape of disability law.</w:t>
      </w:r>
    </w:p>
    <w:p w:rsidR="00E456CD" w:rsidRDefault="00000000">
      <w:pPr>
        <w:pStyle w:val="Normal17"/>
        <w:widowControl w:val="0"/>
        <w:spacing w:before="200" w:line="260" w:lineRule="atLeast"/>
        <w:jc w:val="both"/>
      </w:pPr>
      <w:bookmarkStart w:id="3494" w:name="Bookmark_para_50_3"/>
      <w:bookmarkEnd w:id="3494"/>
      <w:r>
        <w:rPr>
          <w:rFonts w:ascii="Arial" w:eastAsia="Arial" w:hAnsi="Arial" w:cs="Arial"/>
          <w:color w:val="000000"/>
          <w:sz w:val="20"/>
        </w:rPr>
        <w:t xml:space="preserve">The DOE, which implements the RA as it applies to educational institutions, </w:t>
      </w:r>
      <w:r>
        <w:rPr>
          <w:rFonts w:ascii="Arial" w:eastAsia="Arial" w:hAnsi="Arial" w:cs="Arial"/>
          <w:i/>
          <w:color w:val="000000"/>
          <w:sz w:val="20"/>
        </w:rPr>
        <w:t>see generally</w:t>
      </w:r>
      <w:r>
        <w:rPr>
          <w:rFonts w:ascii="Arial" w:eastAsia="Arial" w:hAnsi="Arial" w:cs="Arial"/>
          <w:color w:val="000000"/>
          <w:sz w:val="20"/>
        </w:rPr>
        <w:t xml:space="preserve"> 34 C.F.R. pt. 104, has indicated [**28]  in informal guidance that the accommodation of a disabled student's request to be accompanied by her service animal generally should be deemed reasonable. Specifically, in response to an inquiry about whether barring service dogs from a classroom violated the RA, the DOE stated—without indicating that any additional showing of "reasonableness" was required—that "if not allowing a student to bring a service dog into the classroom would effectively deny the student the opportunity . . . to participate in or benefit from the education program," i.e., if necessity were satisfied, "then the recipient school would be in violation of Section 504 [of the RA] and its implementing regulation."</w:t>
      </w:r>
      <w:r>
        <w:rPr>
          <w:rFonts w:ascii="Arial" w:eastAsia="Arial" w:hAnsi="Arial" w:cs="Arial"/>
          <w:vertAlign w:val="superscript"/>
        </w:rPr>
        <w:footnoteReference w:customMarkFollows="1" w:id="149"/>
        <w:t>12</w:t>
      </w:r>
      <w:r>
        <w:rPr>
          <w:rFonts w:ascii="Arial" w:eastAsia="Arial" w:hAnsi="Arial" w:cs="Arial"/>
          <w:color w:val="000000"/>
          <w:sz w:val="20"/>
        </w:rPr>
        <w:t xml:space="preserve"> </w:t>
      </w:r>
      <w:r>
        <w:rPr>
          <w:rFonts w:ascii="Arial" w:eastAsia="Arial" w:hAnsi="Arial" w:cs="Arial"/>
          <w:i/>
          <w:color w:val="000000"/>
          <w:sz w:val="20"/>
        </w:rPr>
        <w:t>Letter from Michael L. Williams, Assistant Sec'y for Civil Rights, U.S. Dep't of Educ.</w:t>
      </w:r>
      <w:r>
        <w:rPr>
          <w:rFonts w:ascii="Arial" w:eastAsia="Arial" w:hAnsi="Arial" w:cs="Arial"/>
          <w:color w:val="000000"/>
          <w:sz w:val="20"/>
        </w:rPr>
        <w:t>, 17 Educ. Handicapped L. Rep. 1027, 1027 (1991). In its administrative adjudications, the DOE has taken a similar position.</w:t>
      </w:r>
      <w:r>
        <w:rPr>
          <w:rFonts w:ascii="Arial" w:eastAsia="Arial" w:hAnsi="Arial" w:cs="Arial"/>
          <w:vertAlign w:val="superscript"/>
        </w:rPr>
        <w:footnoteReference w:customMarkFollows="1" w:id="150"/>
        <w:t>13</w:t>
      </w:r>
    </w:p>
    <w:p w:rsidR="00E456CD" w:rsidRDefault="00000000">
      <w:pPr>
        <w:pStyle w:val="Normal17"/>
        <w:widowControl w:val="0"/>
        <w:spacing w:before="200" w:line="260" w:lineRule="atLeast"/>
        <w:jc w:val="both"/>
      </w:pPr>
      <w:bookmarkStart w:id="3497" w:name="Bookmark_para_51_3"/>
      <w:bookmarkEnd w:id="3497"/>
      <w:r>
        <w:rPr>
          <w:rFonts w:ascii="Arial" w:eastAsia="Arial" w:hAnsi="Arial" w:cs="Arial"/>
          <w:color w:val="000000"/>
          <w:sz w:val="20"/>
        </w:rPr>
        <w:t>For its part, the Department of Housing and Urban Development (HUD) has indicated that the RA may impose even greater obligations as to service [**29]  animals than its ADA counterpart. In a notice regarding the obligations of housing providers under the Fair Housing Act and the RA, HUD explained that the ADA service animal regulations' limited definition of "service animal"</w:t>
      </w:r>
      <w:r>
        <w:rPr>
          <w:rFonts w:ascii="Arial" w:eastAsia="Arial" w:hAnsi="Arial" w:cs="Arial"/>
          <w:vertAlign w:val="superscript"/>
        </w:rPr>
        <w:footnoteReference w:customMarkFollows="1" w:id="151"/>
        <w:t>14</w:t>
      </w:r>
      <w:r>
        <w:rPr>
          <w:rFonts w:ascii="Arial" w:eastAsia="Arial" w:hAnsi="Arial" w:cs="Arial"/>
          <w:color w:val="000000"/>
          <w:sz w:val="20"/>
        </w:rPr>
        <w:t xml:space="preserve"> "does not limit housing providers' obligations to make reasonable accommodations for assistance animals under . . . Section 504 [of the RA]." U.S. Dep't of Hous. &amp; Urban Dev., </w:t>
      </w:r>
      <w:r>
        <w:rPr>
          <w:rFonts w:ascii="Arial" w:eastAsia="Arial" w:hAnsi="Arial" w:cs="Arial"/>
          <w:i/>
          <w:color w:val="000000"/>
          <w:sz w:val="20"/>
        </w:rPr>
        <w:t>Service Animals and Assistance Animals for People with Disabilities in Housing and HUD-Funded Programs</w:t>
      </w:r>
      <w:r>
        <w:rPr>
          <w:rFonts w:ascii="Arial" w:eastAsia="Arial" w:hAnsi="Arial" w:cs="Arial"/>
          <w:color w:val="000000"/>
          <w:sz w:val="20"/>
        </w:rPr>
        <w:t xml:space="preserve"> 1 (Apr. 25, 2013), https://www.hud.gov/sites/documents/SERVANIMALS_NTCFHEO2013-01.PDF . Rather, HUD explained, so long as an individual has a "disability-related need for an assistance animal," "[s]ection 504 require[s] the housing provider to modify or provide an exception to a 'no pets' rule or policy" in order "to permit a person with a disability to live with and use an assistance animal(s) in all areas of the premises where persons are normally allowed  [*122]  to go, unless doing so would impose an undue financial and administrative burden or would fundamentally alter the nature of the housing provider's services." </w:t>
      </w:r>
      <w:r>
        <w:rPr>
          <w:rFonts w:ascii="Arial" w:eastAsia="Arial" w:hAnsi="Arial" w:cs="Arial"/>
          <w:i/>
          <w:color w:val="000000"/>
          <w:sz w:val="20"/>
        </w:rPr>
        <w:t>Id.</w:t>
      </w:r>
      <w:r>
        <w:rPr>
          <w:rFonts w:ascii="Arial" w:eastAsia="Arial" w:hAnsi="Arial" w:cs="Arial"/>
          <w:color w:val="000000"/>
          <w:sz w:val="20"/>
        </w:rPr>
        <w:t xml:space="preserve"> at 3.</w:t>
      </w:r>
    </w:p>
    <w:p w:rsidR="00E456CD" w:rsidRDefault="00000000">
      <w:pPr>
        <w:pStyle w:val="Normal17"/>
        <w:widowControl w:val="0"/>
        <w:spacing w:before="200" w:line="260" w:lineRule="atLeast"/>
        <w:jc w:val="both"/>
      </w:pPr>
      <w:bookmarkStart w:id="3499" w:name="Bookmark_para_52_3"/>
      <w:bookmarkStart w:id="3500" w:name="Bookmark_I5T6WYM02SF8BP0050000400"/>
      <w:bookmarkEnd w:id="3499"/>
      <w:bookmarkEnd w:id="3500"/>
      <w:r>
        <w:rPr>
          <w:rFonts w:ascii="Arial" w:eastAsia="Arial" w:hAnsi="Arial" w:cs="Arial"/>
          <w:color w:val="000000"/>
          <w:sz w:val="20"/>
        </w:rPr>
        <w:t>Finally, two other agencies, in the exercise of their rule-making authority, [**30]  have interpreted the RA to require accommodation of the use of service animals. In 2016, the Department of Labor (DOL) promulgated a regulation materially identical to the DOJ's service animal regulations, providing that a recipient of certain federal workforce development funds "shall modify its policies, practices, or procedures to permit the use of a service animal by an individual with a disability" unless the animal is "out of control" or "not housebroken."</w:t>
      </w:r>
      <w:r>
        <w:rPr>
          <w:rFonts w:ascii="Arial" w:eastAsia="Arial" w:hAnsi="Arial" w:cs="Arial"/>
          <w:vertAlign w:val="superscript"/>
        </w:rPr>
        <w:footnoteReference w:customMarkFollows="1" w:id="152"/>
        <w:t>15</w:t>
      </w:r>
      <w:r>
        <w:rPr>
          <w:rFonts w:ascii="Arial" w:eastAsia="Arial" w:hAnsi="Arial" w:cs="Arial"/>
          <w:color w:val="000000"/>
          <w:sz w:val="20"/>
        </w:rPr>
        <w:t xml:space="preserve"> 29 C.F.R. § 38.16(a), (b)(1)-(2). Likewise, a Department of Transportation (DOT) regulation, promulgated in 2010 for "[t]he purpose of . . . carry[ing] out the [ADA] and Section 504 of the [RA] with respect to passenger vessels," 49 C.F.R. § 39.1, established that vessel owners and operators "must permit service animals to accompany passengers with a disability . . . in all locations that passengers can use on a vessel, including in lifeboats," </w:t>
      </w:r>
      <w:r>
        <w:rPr>
          <w:rFonts w:ascii="Arial" w:eastAsia="Arial" w:hAnsi="Arial" w:cs="Arial"/>
          <w:i/>
          <w:color w:val="000000"/>
          <w:sz w:val="20"/>
        </w:rPr>
        <w:t>id.</w:t>
      </w:r>
      <w:r>
        <w:rPr>
          <w:rFonts w:ascii="Arial" w:eastAsia="Arial" w:hAnsi="Arial" w:cs="Arial"/>
          <w:color w:val="000000"/>
          <w:sz w:val="20"/>
        </w:rPr>
        <w:t xml:space="preserve"> § 39.91(a)-(b). Another DOT regulation similarly requires airports to establish "relief areas for service animals that accompany passengers" with disabilities. </w:t>
      </w:r>
      <w:r>
        <w:rPr>
          <w:rFonts w:ascii="Arial" w:eastAsia="Arial" w:hAnsi="Arial" w:cs="Arial"/>
          <w:i/>
          <w:color w:val="000000"/>
          <w:sz w:val="20"/>
        </w:rPr>
        <w:t>Id.</w:t>
      </w:r>
      <w:r>
        <w:rPr>
          <w:rFonts w:ascii="Arial" w:eastAsia="Arial" w:hAnsi="Arial" w:cs="Arial"/>
          <w:color w:val="000000"/>
          <w:sz w:val="20"/>
        </w:rPr>
        <w:t xml:space="preserve"> § 27.71(h).</w:t>
      </w:r>
    </w:p>
    <w:p w:rsidR="00E456CD" w:rsidRDefault="00000000">
      <w:pPr>
        <w:pStyle w:val="Normal17"/>
        <w:widowControl w:val="0"/>
        <w:spacing w:before="200" w:line="260" w:lineRule="atLeast"/>
        <w:jc w:val="both"/>
      </w:pPr>
      <w:bookmarkStart w:id="3503" w:name="Bookmark_para_53_3"/>
      <w:bookmarkStart w:id="3504" w:name="Bookmark_I5T6WYM028T4250020000400"/>
      <w:bookmarkEnd w:id="3503"/>
      <w:bookmarkEnd w:id="3504"/>
      <w:r>
        <w:rPr>
          <w:rFonts w:ascii="Arial" w:eastAsia="Arial" w:hAnsi="Arial" w:cs="Arial"/>
          <w:color w:val="000000"/>
          <w:sz w:val="20"/>
        </w:rPr>
        <w:t xml:space="preserve">The relevant agencies are thus unanimous in mandating that covered actors, as a general matter, accommodate the use of service animals by disabled individuals under both the RA and ADA, [**31]  i.e., such an accommodation generally will be reasonable as a matter of law. And </w:t>
      </w:r>
      <w:bookmarkStart w:id="3505" w:name="Bookmark_LNHNREFclscc12_8"/>
      <w:bookmarkEnd w:id="3505"/>
      <w:r>
        <w:rPr>
          <w:rFonts w:ascii="Arial" w:eastAsia="Arial" w:hAnsi="Arial" w:cs="Arial"/>
          <w:color w:val="000000"/>
          <w:sz w:val="20"/>
        </w:rPr>
        <w:t xml:space="preserve">even though "[r]esponsibility for administering the [RA] was not delegated to a single agency" so that </w:t>
      </w:r>
      <w:r>
        <w:rPr>
          <w:rFonts w:ascii="Arial" w:eastAsia="Arial" w:hAnsi="Arial" w:cs="Arial"/>
          <w:i/>
          <w:color w:val="000000"/>
          <w:sz w:val="20"/>
        </w:rPr>
        <w:t>Chevron</w:t>
      </w:r>
      <w:r>
        <w:rPr>
          <w:rFonts w:ascii="Arial" w:eastAsia="Arial" w:hAnsi="Arial" w:cs="Arial"/>
          <w:color w:val="000000"/>
          <w:sz w:val="20"/>
        </w:rPr>
        <w:t xml:space="preserve"> deference may not be due to all agency interpretations, it is nonetheless the case that "the well-reasoned views of the agencies implementing [this] statute 'constitute a body of experience and informed judgment to which courts and litigants may properly resort for guidance.'" </w:t>
      </w:r>
      <w:bookmarkStart w:id="3506" w:name="Bookmark_I5T6WYM028T4250010000400"/>
      <w:bookmarkEnd w:id="3506"/>
      <w:r>
        <w:rPr>
          <w:rFonts w:ascii="Arial" w:eastAsia="Arial" w:hAnsi="Arial" w:cs="Arial"/>
          <w:i/>
          <w:color w:val="000000"/>
          <w:sz w:val="20"/>
        </w:rPr>
        <w:t>Bragdon</w:t>
      </w:r>
      <w:r>
        <w:rPr>
          <w:rFonts w:ascii="Arial" w:eastAsia="Arial" w:hAnsi="Arial" w:cs="Arial"/>
          <w:color w:val="000000"/>
          <w:sz w:val="20"/>
        </w:rPr>
        <w:t xml:space="preserve">, 524 U.S. at 642 (quoting </w:t>
      </w:r>
      <w:bookmarkStart w:id="3507" w:name="Bookmark_I5T6WYM028T4250030000400"/>
      <w:bookmarkEnd w:id="3507"/>
      <w:r>
        <w:rPr>
          <w:rFonts w:ascii="Arial" w:eastAsia="Arial" w:hAnsi="Arial" w:cs="Arial"/>
          <w:i/>
          <w:color w:val="000000"/>
          <w:sz w:val="20"/>
        </w:rPr>
        <w:t>Skidmore v. Swift &amp; Co.</w:t>
      </w:r>
      <w:r>
        <w:rPr>
          <w:rFonts w:ascii="Arial" w:eastAsia="Arial" w:hAnsi="Arial" w:cs="Arial"/>
          <w:color w:val="000000"/>
          <w:sz w:val="20"/>
        </w:rPr>
        <w:t>, 323 U.S. 134, 139-40, 65 S. Ct. 161, 89 L. Ed. 124 (1944)).</w:t>
      </w:r>
    </w:p>
    <w:p w:rsidR="00E456CD" w:rsidRDefault="00000000">
      <w:pPr>
        <w:pStyle w:val="Normal17"/>
        <w:widowControl w:val="0"/>
        <w:spacing w:before="240" w:line="260" w:lineRule="atLeast"/>
      </w:pPr>
      <w:r>
        <w:br/>
      </w:r>
      <w:r>
        <w:rPr>
          <w:rFonts w:ascii="Arial" w:eastAsia="Arial" w:hAnsi="Arial" w:cs="Arial"/>
          <w:b/>
          <w:color w:val="000000"/>
          <w:sz w:val="20"/>
        </w:rPr>
        <w:t>B. The School's Counter-Arguments</w:t>
      </w:r>
    </w:p>
    <w:p w:rsidR="00E456CD" w:rsidRDefault="00000000">
      <w:pPr>
        <w:pStyle w:val="Normal17"/>
        <w:widowControl w:val="0"/>
        <w:spacing w:before="200" w:line="260" w:lineRule="atLeast"/>
        <w:jc w:val="both"/>
      </w:pPr>
      <w:bookmarkStart w:id="3508" w:name="Bookmark_para_54_3"/>
      <w:bookmarkEnd w:id="3508"/>
      <w:r>
        <w:rPr>
          <w:rFonts w:ascii="Arial" w:eastAsia="Arial" w:hAnsi="Arial" w:cs="Arial"/>
          <w:color w:val="000000"/>
          <w:sz w:val="20"/>
        </w:rPr>
        <w:t>Notwithstanding the weight of this authority, the School contends that "reasonable accommodations" under the RA should not be interpreted consistently with the ADA service animal regulations. We do not find its arguments persuasive.</w:t>
      </w:r>
    </w:p>
    <w:p w:rsidR="00E456CD" w:rsidRDefault="00000000">
      <w:pPr>
        <w:pStyle w:val="Normal17"/>
        <w:widowControl w:val="0"/>
        <w:spacing w:before="200" w:line="260" w:lineRule="atLeast"/>
        <w:jc w:val="both"/>
      </w:pPr>
      <w:bookmarkStart w:id="3509" w:name="Bookmark_para_55_3"/>
      <w:bookmarkStart w:id="3510" w:name="Bookmark_I5T6WYM02D6N7K0010000400"/>
      <w:bookmarkEnd w:id="3509"/>
      <w:bookmarkEnd w:id="3510"/>
      <w:r>
        <w:rPr>
          <w:rFonts w:ascii="Arial" w:eastAsia="Arial" w:hAnsi="Arial" w:cs="Arial"/>
          <w:color w:val="000000"/>
          <w:sz w:val="20"/>
        </w:rPr>
        <w:t xml:space="preserve">As a threshold matter, the School does not question the validity of the service animal regulations or dispute that they constitute reasonable interpretations of the ADA's prohibition of discriminatory practices—including the failure to make reasonable modifications—to which we accord </w:t>
      </w:r>
      <w:r>
        <w:rPr>
          <w:rFonts w:ascii="Arial" w:eastAsia="Arial" w:hAnsi="Arial" w:cs="Arial"/>
          <w:i/>
          <w:color w:val="000000"/>
          <w:sz w:val="20"/>
        </w:rPr>
        <w:t>Chevron</w:t>
      </w:r>
      <w:r>
        <w:rPr>
          <w:rFonts w:ascii="Arial" w:eastAsia="Arial" w:hAnsi="Arial" w:cs="Arial"/>
          <w:color w:val="000000"/>
          <w:sz w:val="20"/>
        </w:rPr>
        <w:t xml:space="preserve"> deference. Nor could it, because the service animal regulations, as we have explained, </w:t>
      </w:r>
      <w:r>
        <w:rPr>
          <w:rFonts w:ascii="Arial" w:eastAsia="Arial" w:hAnsi="Arial" w:cs="Arial"/>
          <w:i/>
          <w:color w:val="000000"/>
          <w:sz w:val="20"/>
        </w:rPr>
        <w:t>see supra</w:t>
      </w:r>
      <w:r>
        <w:rPr>
          <w:rFonts w:ascii="Arial" w:eastAsia="Arial" w:hAnsi="Arial" w:cs="Arial"/>
          <w:color w:val="000000"/>
          <w:sz w:val="20"/>
        </w:rPr>
        <w:t xml:space="preserve"> Section IV.A.3, clearly "promote[] the statute's overarching goals [**32]  of ensuring equal opportunity for, and full participation by, individuals with disabilities," </w:t>
      </w:r>
      <w:bookmarkStart w:id="3511" w:name="Bookmark_I5T6WYM028T4250050000400"/>
      <w:bookmarkEnd w:id="3511"/>
      <w:r>
        <w:rPr>
          <w:rFonts w:ascii="Arial" w:eastAsia="Arial" w:hAnsi="Arial" w:cs="Arial"/>
          <w:i/>
          <w:color w:val="000000"/>
          <w:sz w:val="20"/>
        </w:rPr>
        <w:t>Alboniga</w:t>
      </w:r>
      <w:r>
        <w:rPr>
          <w:rFonts w:ascii="Arial" w:eastAsia="Arial" w:hAnsi="Arial" w:cs="Arial"/>
          <w:color w:val="000000"/>
          <w:sz w:val="20"/>
        </w:rPr>
        <w:t xml:space="preserve">, 87 F. Supp. 3d at  [*123]  1334; </w:t>
      </w:r>
      <w:r>
        <w:rPr>
          <w:rFonts w:ascii="Arial" w:eastAsia="Arial" w:hAnsi="Arial" w:cs="Arial"/>
          <w:i/>
          <w:color w:val="000000"/>
          <w:sz w:val="20"/>
        </w:rPr>
        <w:t xml:space="preserve">see also </w:t>
      </w:r>
      <w:bookmarkStart w:id="3512" w:name="Bookmark_I5T6WYM02D6N7K0020000400"/>
      <w:bookmarkEnd w:id="3512"/>
      <w:r>
        <w:rPr>
          <w:rFonts w:ascii="Arial" w:eastAsia="Arial" w:hAnsi="Arial" w:cs="Arial"/>
          <w:i/>
          <w:color w:val="000000"/>
          <w:sz w:val="20"/>
        </w:rPr>
        <w:t>Fry</w:t>
      </w:r>
      <w:r>
        <w:rPr>
          <w:rFonts w:ascii="Arial" w:eastAsia="Arial" w:hAnsi="Arial" w:cs="Arial"/>
          <w:color w:val="000000"/>
          <w:sz w:val="20"/>
        </w:rPr>
        <w:t xml:space="preserve">, 137 S. Ct. at 749 (citing to </w:t>
      </w:r>
      <w:r>
        <w:rPr>
          <w:rFonts w:ascii="Arial" w:eastAsia="Arial" w:hAnsi="Arial" w:cs="Arial"/>
          <w:i/>
          <w:color w:val="000000"/>
          <w:sz w:val="20"/>
        </w:rPr>
        <w:t>Alboniga</w:t>
      </w:r>
      <w:r>
        <w:rPr>
          <w:rFonts w:ascii="Arial" w:eastAsia="Arial" w:hAnsi="Arial" w:cs="Arial"/>
          <w:color w:val="000000"/>
          <w:sz w:val="20"/>
        </w:rPr>
        <w:t xml:space="preserve"> as a case that "requir[ed] an accommodation to permit use of a service animal" under the ADA).</w:t>
      </w:r>
    </w:p>
    <w:p w:rsidR="00E456CD" w:rsidRDefault="00000000">
      <w:pPr>
        <w:pStyle w:val="Normal17"/>
        <w:widowControl w:val="0"/>
        <w:spacing w:before="200" w:line="260" w:lineRule="atLeast"/>
        <w:jc w:val="both"/>
      </w:pPr>
      <w:bookmarkStart w:id="3513" w:name="Bookmark_para_56_3"/>
      <w:bookmarkEnd w:id="3513"/>
      <w:r>
        <w:rPr>
          <w:rFonts w:ascii="Arial" w:eastAsia="Arial" w:hAnsi="Arial" w:cs="Arial"/>
          <w:color w:val="000000"/>
          <w:sz w:val="20"/>
        </w:rPr>
        <w:t xml:space="preserve">Instead, the School points out that the DOJ's service animal regulations technically apply only to claims for "reasonable modifications" under the ADA. We do not disagree: The service animal regulations do not purport to interpret the RA </w:t>
      </w:r>
      <w:r>
        <w:rPr>
          <w:rFonts w:ascii="Arial" w:eastAsia="Arial" w:hAnsi="Arial" w:cs="Arial"/>
          <w:i/>
          <w:color w:val="000000"/>
          <w:sz w:val="20"/>
        </w:rPr>
        <w:t>per se</w:t>
      </w:r>
      <w:r>
        <w:rPr>
          <w:rFonts w:ascii="Arial" w:eastAsia="Arial" w:hAnsi="Arial" w:cs="Arial"/>
          <w:color w:val="000000"/>
          <w:sz w:val="20"/>
        </w:rPr>
        <w:t xml:space="preserve">. But, as we have explained, because the statutes' substantive standards of liability are identical and because "reasonable accommodations" under the RA must be interpreted consistently with "reasonable modifications" under the ADA, </w:t>
      </w:r>
      <w:r>
        <w:rPr>
          <w:rFonts w:ascii="Arial" w:eastAsia="Arial" w:hAnsi="Arial" w:cs="Arial"/>
          <w:i/>
          <w:color w:val="000000"/>
          <w:sz w:val="20"/>
        </w:rPr>
        <w:t>see supra</w:t>
      </w:r>
      <w:r>
        <w:rPr>
          <w:rFonts w:ascii="Arial" w:eastAsia="Arial" w:hAnsi="Arial" w:cs="Arial"/>
          <w:color w:val="000000"/>
          <w:sz w:val="20"/>
        </w:rPr>
        <w:t xml:space="preserve"> Section IV.A.1-2, the ADA service animal regulations necessarily inform our interpretation of the RA.</w:t>
      </w:r>
    </w:p>
    <w:p w:rsidR="00E456CD" w:rsidRDefault="00000000">
      <w:pPr>
        <w:pStyle w:val="Normal17"/>
        <w:widowControl w:val="0"/>
        <w:spacing w:before="200" w:line="260" w:lineRule="atLeast"/>
        <w:jc w:val="both"/>
      </w:pPr>
      <w:bookmarkStart w:id="3514" w:name="Bookmark_para_57_3"/>
      <w:bookmarkEnd w:id="3514"/>
      <w:r>
        <w:rPr>
          <w:rFonts w:ascii="Arial" w:eastAsia="Arial" w:hAnsi="Arial" w:cs="Arial"/>
          <w:color w:val="000000"/>
          <w:sz w:val="20"/>
        </w:rPr>
        <w:t xml:space="preserve">The School also contends that, even if the service animal regulations are otherwise applicable, the unique needs of the education context warrant an exception to avoid imposing "strict liability" on schools that are not equipped to accommodate service animals. Appellee's Br. 20. </w:t>
      </w:r>
      <w:bookmarkStart w:id="3515" w:name="Bookmark_I4SRB8NVN3J000063JX001FD"/>
      <w:bookmarkStart w:id="3516" w:name="Bookmark_I5T6WYM02D6N7K0050000400"/>
      <w:bookmarkEnd w:id="3515"/>
      <w:bookmarkEnd w:id="3516"/>
      <w:r>
        <w:rPr>
          <w:rFonts w:ascii="Arial" w:eastAsia="Arial" w:hAnsi="Arial" w:cs="Arial"/>
          <w:color w:val="000000"/>
          <w:sz w:val="20"/>
        </w:rPr>
        <w:t>Congress, however, has given no indication that the use of service animals should be less accommodated in the school [**33]  setting than in other settings covered by the RA or the ADA. To the contrary, it made a specific finding in the RA that "individuals with disabilities continually encounter various forms of discrimination in such critical areas as . . . education," 29 U.S.C. § 701(a)(5), just as it did in the ADA, 42 U.S.C. § 12101(a)(3). It also instructed that "</w:t>
      </w:r>
      <w:r>
        <w:rPr>
          <w:rFonts w:ascii="Arial" w:eastAsia="Arial" w:hAnsi="Arial" w:cs="Arial"/>
          <w:i/>
          <w:color w:val="000000"/>
          <w:sz w:val="20"/>
        </w:rPr>
        <w:t>all</w:t>
      </w:r>
      <w:r>
        <w:rPr>
          <w:rFonts w:ascii="Arial" w:eastAsia="Arial" w:hAnsi="Arial" w:cs="Arial"/>
          <w:color w:val="000000"/>
          <w:sz w:val="20"/>
        </w:rPr>
        <w:t xml:space="preserve"> programs, projects, and activities receiving assistance . . . shall be carried out in a manner consistent with the principles of . . . inclusion, integration, and full participation." 29 U.S.C. § 701(c), (c)(3) (emphasis added). We therefore decline to depart from our </w:t>
      </w:r>
      <w:bookmarkStart w:id="3517" w:name="Bookmark_LNHNREFclscc13_5"/>
      <w:bookmarkEnd w:id="3517"/>
      <w:r>
        <w:rPr>
          <w:rFonts w:ascii="Arial" w:eastAsia="Arial" w:hAnsi="Arial" w:cs="Arial"/>
          <w:color w:val="000000"/>
          <w:sz w:val="20"/>
        </w:rPr>
        <w:t xml:space="preserve">usual rule of construing anti-discrimination statutes such as the RA to "comport[] with th[eir] broad remedial purposes," </w:t>
      </w:r>
      <w:bookmarkStart w:id="3518" w:name="Bookmark_I5T6WYM02D6N7K0040000400"/>
      <w:bookmarkEnd w:id="3518"/>
      <w:r>
        <w:rPr>
          <w:rFonts w:ascii="Arial" w:eastAsia="Arial" w:hAnsi="Arial" w:cs="Arial"/>
          <w:i/>
          <w:color w:val="000000"/>
          <w:sz w:val="20"/>
        </w:rPr>
        <w:t>Buck v. Hampton Twp. Sch. Dist.</w:t>
      </w:r>
      <w:r>
        <w:rPr>
          <w:rFonts w:ascii="Arial" w:eastAsia="Arial" w:hAnsi="Arial" w:cs="Arial"/>
          <w:color w:val="000000"/>
          <w:sz w:val="20"/>
        </w:rPr>
        <w:t>, 452 F.3d 256, 263 (3d Cir. 2006)—purposes that would be critically undermined if we interpreted the RA to permit a school's exclusion of service animals for the very students who cannot meaningfully access educational benefits without them.</w:t>
      </w:r>
    </w:p>
    <w:p w:rsidR="00E456CD" w:rsidRDefault="00000000">
      <w:pPr>
        <w:pStyle w:val="Normal17"/>
        <w:widowControl w:val="0"/>
        <w:spacing w:before="200" w:line="260" w:lineRule="atLeast"/>
        <w:jc w:val="both"/>
      </w:pPr>
      <w:bookmarkStart w:id="3519" w:name="Bookmark_para_58_3"/>
      <w:bookmarkStart w:id="3520" w:name="Bookmark_I5T6WYM02D6N7M0020000400"/>
      <w:bookmarkStart w:id="3521" w:name="Bookmark_I5T6WYM02SF8BS0010000400"/>
      <w:bookmarkEnd w:id="3519"/>
      <w:bookmarkEnd w:id="3520"/>
      <w:bookmarkEnd w:id="3521"/>
      <w:r>
        <w:rPr>
          <w:rFonts w:ascii="Arial" w:eastAsia="Arial" w:hAnsi="Arial" w:cs="Arial"/>
          <w:color w:val="000000"/>
          <w:sz w:val="20"/>
        </w:rPr>
        <w:t xml:space="preserve">As for strict liability, </w:t>
      </w:r>
      <w:bookmarkStart w:id="3522" w:name="Bookmark_LNHNREFclscc14_4"/>
      <w:bookmarkEnd w:id="3522"/>
      <w:r>
        <w:rPr>
          <w:rFonts w:ascii="Arial" w:eastAsia="Arial" w:hAnsi="Arial" w:cs="Arial"/>
          <w:color w:val="000000"/>
          <w:sz w:val="20"/>
        </w:rPr>
        <w:t xml:space="preserve">claims alleging failure to accommodate under the RA involve the same tripartite inquiry as those under the ADA: (1) whether the requested accommodation is reasonable; (2) whether it is necessary; and (3) whether it would fundamentally alter the nature of the program. </w:t>
      </w:r>
      <w:r>
        <w:rPr>
          <w:rFonts w:ascii="Arial" w:eastAsia="Arial" w:hAnsi="Arial" w:cs="Arial"/>
          <w:i/>
          <w:color w:val="000000"/>
          <w:sz w:val="20"/>
        </w:rPr>
        <w:t xml:space="preserve">Compare </w:t>
      </w:r>
      <w:bookmarkStart w:id="3523" w:name="Bookmark_I5T6WYM02D6N7M0010000400"/>
      <w:bookmarkEnd w:id="3523"/>
      <w:r>
        <w:rPr>
          <w:rFonts w:ascii="Arial" w:eastAsia="Arial" w:hAnsi="Arial" w:cs="Arial"/>
          <w:i/>
          <w:color w:val="000000"/>
          <w:sz w:val="20"/>
        </w:rPr>
        <w:t>Choate</w:t>
      </w:r>
      <w:r>
        <w:rPr>
          <w:rFonts w:ascii="Arial" w:eastAsia="Arial" w:hAnsi="Arial" w:cs="Arial"/>
          <w:color w:val="000000"/>
          <w:sz w:val="20"/>
        </w:rPr>
        <w:t xml:space="preserve">, 469 U.S. at 300-01 (RA), </w:t>
      </w:r>
      <w:r>
        <w:rPr>
          <w:rFonts w:ascii="Arial" w:eastAsia="Arial" w:hAnsi="Arial" w:cs="Arial"/>
          <w:i/>
          <w:color w:val="000000"/>
          <w:sz w:val="20"/>
        </w:rPr>
        <w:t xml:space="preserve">with </w:t>
      </w:r>
      <w:bookmarkStart w:id="3524" w:name="Bookmark_I5T6WYM02D6N7M0030000400"/>
      <w:bookmarkEnd w:id="3524"/>
      <w:r>
        <w:rPr>
          <w:rFonts w:ascii="Arial" w:eastAsia="Arial" w:hAnsi="Arial" w:cs="Arial"/>
          <w:i/>
          <w:color w:val="000000"/>
          <w:sz w:val="20"/>
        </w:rPr>
        <w:t>PGA Tour</w:t>
      </w:r>
      <w:r>
        <w:rPr>
          <w:rFonts w:ascii="Arial" w:eastAsia="Arial" w:hAnsi="Arial" w:cs="Arial"/>
          <w:color w:val="000000"/>
          <w:sz w:val="20"/>
        </w:rPr>
        <w:t xml:space="preserve">, 532 U.S. at 683 n.38 (ADA). The service [**34]  animal regulations inform only one of those inquiries, reasonableness, and do not dispense with the other two. </w:t>
      </w:r>
      <w:r>
        <w:rPr>
          <w:rFonts w:ascii="Arial" w:eastAsia="Arial" w:hAnsi="Arial" w:cs="Arial"/>
          <w:i/>
          <w:color w:val="000000"/>
          <w:sz w:val="20"/>
        </w:rPr>
        <w:t xml:space="preserve">See </w:t>
      </w:r>
      <w:bookmarkStart w:id="3525" w:name="Bookmark_I5T6WYM02D6N7M0050000400"/>
      <w:bookmarkEnd w:id="3525"/>
      <w:r>
        <w:rPr>
          <w:rFonts w:ascii="Arial" w:eastAsia="Arial" w:hAnsi="Arial" w:cs="Arial"/>
          <w:i/>
          <w:color w:val="000000"/>
          <w:sz w:val="20"/>
        </w:rPr>
        <w:t>PGA Tour</w:t>
      </w:r>
      <w:r>
        <w:rPr>
          <w:rFonts w:ascii="Arial" w:eastAsia="Arial" w:hAnsi="Arial" w:cs="Arial"/>
          <w:color w:val="000000"/>
          <w:sz w:val="20"/>
        </w:rPr>
        <w:t xml:space="preserve">, 532 U.S. at 682 (affirming that "an accommodation might be reasonable but not necessary"); </w:t>
      </w:r>
      <w:bookmarkStart w:id="3526" w:name="Bookmark_I5T6WYM02SF8BS0020000400"/>
      <w:bookmarkEnd w:id="3526"/>
      <w:r>
        <w:rPr>
          <w:rFonts w:ascii="Arial" w:eastAsia="Arial" w:hAnsi="Arial" w:cs="Arial"/>
          <w:i/>
          <w:color w:val="000000"/>
          <w:sz w:val="20"/>
        </w:rPr>
        <w:t>Skinner</w:t>
      </w:r>
      <w:r>
        <w:rPr>
          <w:rFonts w:ascii="Arial" w:eastAsia="Arial" w:hAnsi="Arial" w:cs="Arial"/>
          <w:color w:val="000000"/>
          <w:sz w:val="20"/>
        </w:rPr>
        <w:t xml:space="preserve">, 881 F.2d at 1192 (explaining that while some "modifications may be necessary to avoid discrimination," more "substantial modifications are not required by [the RA]"). Any mandate imposed by the service animal regulations is also subject to specified conditions and exceptions. </w:t>
      </w:r>
      <w:r>
        <w:rPr>
          <w:rFonts w:ascii="Arial" w:eastAsia="Arial" w:hAnsi="Arial" w:cs="Arial"/>
          <w:i/>
          <w:color w:val="000000"/>
          <w:sz w:val="20"/>
        </w:rPr>
        <w:t>E.g.</w:t>
      </w:r>
      <w:r>
        <w:rPr>
          <w:rFonts w:ascii="Arial" w:eastAsia="Arial" w:hAnsi="Arial" w:cs="Arial"/>
          <w:color w:val="000000"/>
          <w:sz w:val="20"/>
        </w:rPr>
        <w:t>, 28 C.F.R. §§ 35.136(b)(1)-(2), 36.302(c)(2)(i)-(ii). Applying their logic to schools under the RA thus hardly ushers in an era of unrestrained liability.</w:t>
      </w:r>
    </w:p>
    <w:p w:rsidR="00E456CD" w:rsidRDefault="00000000">
      <w:pPr>
        <w:pStyle w:val="Normal17"/>
        <w:widowControl w:val="0"/>
        <w:spacing w:before="200" w:line="260" w:lineRule="atLeast"/>
        <w:jc w:val="both"/>
      </w:pPr>
      <w:bookmarkStart w:id="3527" w:name="Bookmark_para_59_3"/>
      <w:bookmarkStart w:id="3528" w:name="Bookmark_I5T6WYM02SF8BS0050000400"/>
      <w:bookmarkEnd w:id="3527"/>
      <w:bookmarkEnd w:id="3528"/>
      <w:r>
        <w:rPr>
          <w:rFonts w:ascii="Arial" w:eastAsia="Arial" w:hAnsi="Arial" w:cs="Arial"/>
          <w:color w:val="000000"/>
          <w:sz w:val="20"/>
        </w:rPr>
        <w:t xml:space="preserve">The upshot of our analysis—including the statutory histories, case law, and DOJ and other agency guidance—is that, </w:t>
      </w:r>
      <w:bookmarkStart w:id="3529" w:name="Bookmark_LNHNREFclscc15_3"/>
      <w:bookmarkEnd w:id="3529"/>
      <w:r>
        <w:rPr>
          <w:rFonts w:ascii="Arial" w:eastAsia="Arial" w:hAnsi="Arial" w:cs="Arial"/>
          <w:color w:val="000000"/>
          <w:sz w:val="20"/>
        </w:rPr>
        <w:t xml:space="preserve">under the RA, just as under the ADA, a covered actor ordinarily must accommodate the use of service animals by individuals with disabilities. </w:t>
      </w:r>
      <w:bookmarkStart w:id="3530" w:name="Bookmark_I5T6WYM02HM6BR0010000400"/>
      <w:bookmarkEnd w:id="3530"/>
      <w:r>
        <w:rPr>
          <w:rFonts w:ascii="Arial" w:eastAsia="Arial" w:hAnsi="Arial" w:cs="Arial"/>
          <w:color w:val="000000"/>
          <w:sz w:val="20"/>
        </w:rPr>
        <w:t xml:space="preserve">As a result, although as a general matter the "reasonableness" of an accommodation under the RA "must be decided on a case-by-case basis," </w:t>
      </w:r>
      <w:bookmarkStart w:id="3531" w:name="Bookmark_I5T6WYM02SF8BS0040000400"/>
      <w:bookmarkEnd w:id="3531"/>
      <w:r>
        <w:rPr>
          <w:rFonts w:ascii="Arial" w:eastAsia="Arial" w:hAnsi="Arial" w:cs="Arial"/>
          <w:i/>
          <w:color w:val="000000"/>
          <w:sz w:val="20"/>
        </w:rPr>
        <w:t>Nathanson v. Med. Coll. of Pa.</w:t>
      </w:r>
      <w:r>
        <w:rPr>
          <w:rFonts w:ascii="Arial" w:eastAsia="Arial" w:hAnsi="Arial" w:cs="Arial"/>
          <w:color w:val="000000"/>
          <w:sz w:val="20"/>
        </w:rPr>
        <w:t xml:space="preserve">, 926 F.2d 1368, 1385 (3d Cir. 1991), the accommodation  [*124]  of a disabled person's request to be accompanied by her service animal—absent exceptional circumstances—is </w:t>
      </w:r>
      <w:r>
        <w:rPr>
          <w:rFonts w:ascii="Arial" w:eastAsia="Arial" w:hAnsi="Arial" w:cs="Arial"/>
          <w:i/>
          <w:color w:val="000000"/>
          <w:sz w:val="20"/>
        </w:rPr>
        <w:t>per se</w:t>
      </w:r>
      <w:r>
        <w:rPr>
          <w:rFonts w:ascii="Arial" w:eastAsia="Arial" w:hAnsi="Arial" w:cs="Arial"/>
          <w:color w:val="000000"/>
          <w:sz w:val="20"/>
        </w:rPr>
        <w:t xml:space="preserve"> reasonable, </w:t>
      </w:r>
      <w:r>
        <w:rPr>
          <w:rFonts w:ascii="Arial" w:eastAsia="Arial" w:hAnsi="Arial" w:cs="Arial"/>
          <w:i/>
          <w:color w:val="000000"/>
          <w:sz w:val="20"/>
        </w:rPr>
        <w:t xml:space="preserve">see </w:t>
      </w:r>
      <w:bookmarkStart w:id="3532" w:name="Bookmark_I5T6WYM028T4260010000400"/>
      <w:bookmarkEnd w:id="3532"/>
      <w:r>
        <w:rPr>
          <w:rFonts w:ascii="Arial" w:eastAsia="Arial" w:hAnsi="Arial" w:cs="Arial"/>
          <w:i/>
          <w:color w:val="000000"/>
          <w:sz w:val="20"/>
        </w:rPr>
        <w:t>Johnson</w:t>
      </w:r>
      <w:r>
        <w:rPr>
          <w:rFonts w:ascii="Arial" w:eastAsia="Arial" w:hAnsi="Arial" w:cs="Arial"/>
          <w:color w:val="000000"/>
          <w:sz w:val="20"/>
        </w:rPr>
        <w:t xml:space="preserve">, 116 F.3d at 1064; </w:t>
      </w:r>
      <w:bookmarkStart w:id="3533" w:name="Bookmark_I5T6WYM028T4260030000400"/>
      <w:bookmarkEnd w:id="3533"/>
      <w:r>
        <w:rPr>
          <w:rFonts w:ascii="Arial" w:eastAsia="Arial" w:hAnsi="Arial" w:cs="Arial"/>
          <w:i/>
          <w:color w:val="000000"/>
          <w:sz w:val="20"/>
        </w:rPr>
        <w:t>Alboniga</w:t>
      </w:r>
      <w:r>
        <w:rPr>
          <w:rFonts w:ascii="Arial" w:eastAsia="Arial" w:hAnsi="Arial" w:cs="Arial"/>
          <w:color w:val="000000"/>
          <w:sz w:val="20"/>
        </w:rPr>
        <w:t xml:space="preserve">, 87 F. Supp. 3d at 1344. And if necessity is then also established, so is liability. </w:t>
      </w:r>
      <w:bookmarkStart w:id="3534" w:name="Bookmark_I5T6WYM02HM6BR0010000400_2"/>
      <w:bookmarkEnd w:id="3534"/>
      <w:r>
        <w:rPr>
          <w:rFonts w:ascii="Arial" w:eastAsia="Arial" w:hAnsi="Arial" w:cs="Arial"/>
          <w:i/>
          <w:color w:val="000000"/>
          <w:sz w:val="20"/>
        </w:rPr>
        <w:t xml:space="preserve">See </w:t>
      </w:r>
      <w:bookmarkStart w:id="3535" w:name="Bookmark_I5T6WYM028T4260050000400"/>
      <w:bookmarkEnd w:id="3535"/>
      <w:r>
        <w:rPr>
          <w:rFonts w:ascii="Arial" w:eastAsia="Arial" w:hAnsi="Arial" w:cs="Arial"/>
          <w:i/>
          <w:color w:val="000000"/>
          <w:sz w:val="20"/>
        </w:rPr>
        <w:t>Choate</w:t>
      </w:r>
      <w:r>
        <w:rPr>
          <w:rFonts w:ascii="Arial" w:eastAsia="Arial" w:hAnsi="Arial" w:cs="Arial"/>
          <w:color w:val="000000"/>
          <w:sz w:val="20"/>
        </w:rPr>
        <w:t xml:space="preserve">, 469 U.S. at 300-01; </w:t>
      </w:r>
      <w:bookmarkStart w:id="3536" w:name="Bookmark_I5T6WYM02HM6BR0020000400"/>
      <w:bookmarkEnd w:id="3536"/>
      <w:r>
        <w:rPr>
          <w:rFonts w:ascii="Arial" w:eastAsia="Arial" w:hAnsi="Arial" w:cs="Arial"/>
          <w:i/>
          <w:color w:val="000000"/>
          <w:sz w:val="20"/>
        </w:rPr>
        <w:t>Skinner</w:t>
      </w:r>
      <w:r>
        <w:rPr>
          <w:rFonts w:ascii="Arial" w:eastAsia="Arial" w:hAnsi="Arial" w:cs="Arial"/>
          <w:color w:val="000000"/>
          <w:sz w:val="20"/>
        </w:rPr>
        <w:t>, 881 F.2d at 1192.</w:t>
      </w:r>
    </w:p>
    <w:p w:rsidR="00E456CD" w:rsidRDefault="00000000">
      <w:pPr>
        <w:pStyle w:val="Normal17"/>
        <w:widowControl w:val="0"/>
        <w:spacing w:before="240" w:line="260" w:lineRule="atLeast"/>
      </w:pPr>
      <w:r>
        <w:br/>
      </w:r>
      <w:r>
        <w:rPr>
          <w:rFonts w:ascii="Arial" w:eastAsia="Arial" w:hAnsi="Arial" w:cs="Arial"/>
          <w:b/>
          <w:color w:val="000000"/>
          <w:sz w:val="20"/>
        </w:rPr>
        <w:t>C. Application to This</w:t>
      </w:r>
      <w:r>
        <w:rPr>
          <w:rFonts w:ascii="Arial" w:eastAsia="Arial" w:hAnsi="Arial" w:cs="Arial"/>
          <w:color w:val="000000"/>
          <w:sz w:val="20"/>
        </w:rPr>
        <w:t> [**35] </w:t>
      </w:r>
      <w:r>
        <w:rPr>
          <w:rFonts w:ascii="Arial" w:eastAsia="Arial" w:hAnsi="Arial" w:cs="Arial"/>
          <w:b/>
          <w:color w:val="000000"/>
          <w:sz w:val="20"/>
        </w:rPr>
        <w:t xml:space="preserve"> Case</w:t>
      </w:r>
    </w:p>
    <w:p w:rsidR="00E456CD" w:rsidRDefault="00000000">
      <w:pPr>
        <w:pStyle w:val="Normal17"/>
        <w:widowControl w:val="0"/>
        <w:spacing w:before="200" w:line="260" w:lineRule="atLeast"/>
        <w:jc w:val="both"/>
      </w:pPr>
      <w:bookmarkStart w:id="3537" w:name="Bookmark_para_60_3"/>
      <w:bookmarkEnd w:id="3537"/>
      <w:r>
        <w:rPr>
          <w:rFonts w:ascii="Arial" w:eastAsia="Arial" w:hAnsi="Arial" w:cs="Arial"/>
          <w:color w:val="000000"/>
          <w:sz w:val="20"/>
        </w:rPr>
        <w:t>We now turn to Appellants' contention that, in view of the RA's requirement of a "reasonable accommodation" concerning service animals, the District Court did not correctly instruct the jury on the applicable law. The jury instructions stated that, for a claim under the RA for failure to accommodate, "the plaintiffs have the initial burden of proving by a preponderance of the evidence that the requested accommodations they seek were reasonable. That is, necessary to avoid discrimination on the basis of disability. In other words, the requested accommodations were necessary to permit [M.B.] meaningful participation." JA 1007. The jury was further instructed that only if it found that plaintiffs had met that burden would "the burden shift[] to [the School] to prove by a preponderance of the evidence that the requested accommodations were unreasonable." JA 1008.</w:t>
      </w:r>
    </w:p>
    <w:p w:rsidR="00E456CD" w:rsidRDefault="00000000">
      <w:pPr>
        <w:pStyle w:val="Normal17"/>
        <w:widowControl w:val="0"/>
        <w:spacing w:before="200" w:line="260" w:lineRule="atLeast"/>
        <w:jc w:val="both"/>
      </w:pPr>
      <w:bookmarkStart w:id="3538" w:name="Bookmark_para_61_3"/>
      <w:bookmarkEnd w:id="3538"/>
      <w:r>
        <w:rPr>
          <w:rFonts w:ascii="Arial" w:eastAsia="Arial" w:hAnsi="Arial" w:cs="Arial"/>
          <w:color w:val="000000"/>
          <w:sz w:val="20"/>
        </w:rPr>
        <w:t xml:space="preserve">These instructions were flawed for two reasons. </w:t>
      </w:r>
      <w:bookmarkStart w:id="3539" w:name="Bookmark_I5T6WYM02HM6BR0050000400"/>
      <w:bookmarkEnd w:id="3539"/>
      <w:r>
        <w:rPr>
          <w:rFonts w:ascii="Arial" w:eastAsia="Arial" w:hAnsi="Arial" w:cs="Arial"/>
          <w:color w:val="000000"/>
          <w:sz w:val="20"/>
        </w:rPr>
        <w:t>First, they advised the jury that M.B.'s parents had the initial burden to prove their requested accommodation was reasonable when—in view of the service animal regulations and the fact that no exception to the regulations' mandate was invoked by the School, let alone appears [**36]  applicable</w:t>
      </w:r>
      <w:r>
        <w:rPr>
          <w:rFonts w:ascii="Arial" w:eastAsia="Arial" w:hAnsi="Arial" w:cs="Arial"/>
          <w:vertAlign w:val="superscript"/>
        </w:rPr>
        <w:footnoteReference w:customMarkFollows="1" w:id="153"/>
        <w:t>16</w:t>
      </w:r>
      <w:r>
        <w:rPr>
          <w:rFonts w:ascii="Arial" w:eastAsia="Arial" w:hAnsi="Arial" w:cs="Arial"/>
          <w:color w:val="000000"/>
          <w:sz w:val="20"/>
        </w:rPr>
        <w:t xml:space="preserve">—their requested accommodation was reasonable as a matter of law. </w:t>
      </w:r>
      <w:r>
        <w:rPr>
          <w:rFonts w:ascii="Arial" w:eastAsia="Arial" w:hAnsi="Arial" w:cs="Arial"/>
          <w:i/>
          <w:color w:val="000000"/>
          <w:sz w:val="20"/>
        </w:rPr>
        <w:t>See supra</w:t>
      </w:r>
      <w:r>
        <w:rPr>
          <w:rFonts w:ascii="Arial" w:eastAsia="Arial" w:hAnsi="Arial" w:cs="Arial"/>
          <w:color w:val="000000"/>
          <w:sz w:val="20"/>
        </w:rPr>
        <w:t xml:space="preserve"> Section IV.A.3. Second, the instructions conflated the RA's requirement that the accommodation be reasonable with its separate and distinct requirement that the accommodation be necessary. </w:t>
      </w:r>
      <w:r>
        <w:rPr>
          <w:rFonts w:ascii="Arial" w:eastAsia="Arial" w:hAnsi="Arial" w:cs="Arial"/>
          <w:i/>
          <w:color w:val="000000"/>
          <w:sz w:val="20"/>
        </w:rPr>
        <w:t xml:space="preserve">See </w:t>
      </w:r>
      <w:bookmarkStart w:id="3541" w:name="Bookmark_I5T6WYM02HM6BR0040000400"/>
      <w:bookmarkEnd w:id="3541"/>
      <w:r>
        <w:rPr>
          <w:rFonts w:ascii="Arial" w:eastAsia="Arial" w:hAnsi="Arial" w:cs="Arial"/>
          <w:i/>
          <w:color w:val="000000"/>
          <w:sz w:val="20"/>
        </w:rPr>
        <w:t>PGA Tour</w:t>
      </w:r>
      <w:r>
        <w:rPr>
          <w:rFonts w:ascii="Arial" w:eastAsia="Arial" w:hAnsi="Arial" w:cs="Arial"/>
          <w:color w:val="000000"/>
          <w:sz w:val="20"/>
        </w:rPr>
        <w:t xml:space="preserve">, 532 U.S. at 682; </w:t>
      </w:r>
      <w:r>
        <w:rPr>
          <w:rFonts w:ascii="Arial" w:eastAsia="Arial" w:hAnsi="Arial" w:cs="Arial"/>
          <w:i/>
          <w:color w:val="000000"/>
          <w:sz w:val="20"/>
        </w:rPr>
        <w:t>cf.</w:t>
      </w:r>
      <w:r>
        <w:rPr>
          <w:rFonts w:ascii="Arial" w:eastAsia="Arial" w:hAnsi="Arial" w:cs="Arial"/>
          <w:color w:val="000000"/>
          <w:sz w:val="20"/>
        </w:rPr>
        <w:t xml:space="preserve"> Third Circuit Model Civil Jury Instructions § 9.1.3 (Mar. 2018) (instructing the jury, in the ADA employment discrimination context, to make distinct findings that the defendant "was informed of the need for an accommodation" and that "the accommodation(s) in dispute . . . would have been reasonable"). The jury thus was not properly instructed.</w:t>
      </w:r>
    </w:p>
    <w:p w:rsidR="00E456CD" w:rsidRDefault="00000000">
      <w:pPr>
        <w:pStyle w:val="Normal17"/>
        <w:widowControl w:val="0"/>
        <w:spacing w:before="200" w:line="260" w:lineRule="atLeast"/>
        <w:jc w:val="both"/>
      </w:pPr>
      <w:bookmarkStart w:id="3542" w:name="Bookmark_para_62_3"/>
      <w:bookmarkStart w:id="3543" w:name="Bookmark_I4SRB8NVPGG000063JX001FF"/>
      <w:bookmarkStart w:id="3544" w:name="Bookmark_I4SRB8NVRTH000063JX001FG"/>
      <w:bookmarkStart w:id="3545" w:name="Bookmark_I5T6WYM02HM6BS0020000400"/>
      <w:bookmarkEnd w:id="3542"/>
      <w:bookmarkEnd w:id="3543"/>
      <w:bookmarkEnd w:id="3544"/>
      <w:bookmarkEnd w:id="3545"/>
      <w:r>
        <w:rPr>
          <w:rFonts w:ascii="Arial" w:eastAsia="Arial" w:hAnsi="Arial" w:cs="Arial"/>
          <w:color w:val="000000"/>
          <w:sz w:val="20"/>
        </w:rPr>
        <w:t xml:space="preserve">Our inquiry does not end there, however. The School urges us to affirm on the alternative ground that the erroneous jury instructions were harmless, that is, "that there is a 'high probability' that the error did not prejudice [Appellants'] substantive rights." </w:t>
      </w:r>
      <w:bookmarkStart w:id="3546" w:name="Bookmark_I5T6WYM02HM6BS0010000400"/>
      <w:bookmarkEnd w:id="3546"/>
      <w:r>
        <w:rPr>
          <w:rFonts w:ascii="Arial" w:eastAsia="Arial" w:hAnsi="Arial" w:cs="Arial"/>
          <w:i/>
          <w:color w:val="000000"/>
          <w:sz w:val="20"/>
        </w:rPr>
        <w:t>Habecker v. Clark Equip. Co.</w:t>
      </w:r>
      <w:r>
        <w:rPr>
          <w:rFonts w:ascii="Arial" w:eastAsia="Arial" w:hAnsi="Arial" w:cs="Arial"/>
          <w:color w:val="000000"/>
          <w:sz w:val="20"/>
        </w:rPr>
        <w:t xml:space="preserve">, 942 F.2d 210, 216 (3d Cir. 1991) (quoting </w:t>
      </w:r>
      <w:bookmarkStart w:id="3547" w:name="Bookmark_I5T6WYM02HM6BS0030000400"/>
      <w:bookmarkEnd w:id="3547"/>
      <w:r>
        <w:rPr>
          <w:rFonts w:ascii="Arial" w:eastAsia="Arial" w:hAnsi="Arial" w:cs="Arial"/>
          <w:i/>
          <w:color w:val="000000"/>
          <w:sz w:val="20"/>
        </w:rPr>
        <w:t>McQueeney v. Wilmington Tr. Co.</w:t>
      </w:r>
      <w:r>
        <w:rPr>
          <w:rFonts w:ascii="Arial" w:eastAsia="Arial" w:hAnsi="Arial" w:cs="Arial"/>
          <w:color w:val="000000"/>
          <w:sz w:val="20"/>
        </w:rPr>
        <w:t>, 779 F.2d 916, 924 (3d Cir. 1985)). Specifically, the School contends there is a high probability that the jury ruled in its favor because it could not, on this record, have made a finding of necessity.</w:t>
      </w:r>
    </w:p>
    <w:p w:rsidR="00E456CD" w:rsidRDefault="00000000">
      <w:pPr>
        <w:pStyle w:val="Normal17"/>
        <w:widowControl w:val="0"/>
        <w:spacing w:before="200" w:line="260" w:lineRule="atLeast"/>
        <w:jc w:val="both"/>
      </w:pPr>
      <w:bookmarkStart w:id="3548" w:name="Bookmark_para_63_3"/>
      <w:bookmarkEnd w:id="3548"/>
      <w:r>
        <w:rPr>
          <w:rFonts w:ascii="Arial" w:eastAsia="Arial" w:hAnsi="Arial" w:cs="Arial"/>
          <w:color w:val="000000"/>
          <w:sz w:val="20"/>
        </w:rPr>
        <w:t xml:space="preserve"> [*125]  </w:t>
      </w:r>
      <w:bookmarkStart w:id="3549" w:name="Bookmark_I4SRB8NVT4M000063JX001FH"/>
      <w:bookmarkStart w:id="3550" w:name="Bookmark_I4SRB8NVVGD000063JX001FJ"/>
      <w:bookmarkStart w:id="3551" w:name="Bookmark_I5T6WYM02SF8BV0010000400"/>
      <w:bookmarkStart w:id="3552" w:name="Bookmark_I5T6WYM02SF8BV0050000400"/>
      <w:bookmarkEnd w:id="3549"/>
      <w:bookmarkEnd w:id="3550"/>
      <w:bookmarkEnd w:id="3551"/>
      <w:bookmarkEnd w:id="3552"/>
      <w:r>
        <w:rPr>
          <w:rFonts w:ascii="Arial" w:eastAsia="Arial" w:hAnsi="Arial" w:cs="Arial"/>
          <w:color w:val="000000"/>
          <w:sz w:val="20"/>
        </w:rPr>
        <w:t xml:space="preserve">Having carefully reviewed the record, we cannot agree. To the contrary, there was compelling evidence before the jury [**37]  that having Buddy accompany M.B. was indeed necessary to provide "meaningful access to the benefit that the grantee offer[ed]," </w:t>
      </w:r>
      <w:bookmarkStart w:id="3553" w:name="Bookmark_I5T6WYM02HM6BS0050000400"/>
      <w:bookmarkEnd w:id="3553"/>
      <w:r>
        <w:rPr>
          <w:rFonts w:ascii="Arial" w:eastAsia="Arial" w:hAnsi="Arial" w:cs="Arial"/>
          <w:i/>
          <w:color w:val="000000"/>
          <w:sz w:val="20"/>
        </w:rPr>
        <w:t>Choate</w:t>
      </w:r>
      <w:r>
        <w:rPr>
          <w:rFonts w:ascii="Arial" w:eastAsia="Arial" w:hAnsi="Arial" w:cs="Arial"/>
          <w:color w:val="000000"/>
          <w:sz w:val="20"/>
        </w:rPr>
        <w:t xml:space="preserve">, 469 U.S. at 301, that is, in the education context, to ensure "meaningful participation in educational activities and meaningful access to educational benefits," </w:t>
      </w:r>
      <w:bookmarkStart w:id="3554" w:name="Bookmark_I5T6WYM02SF8BV0020000400"/>
      <w:bookmarkEnd w:id="3554"/>
      <w:r>
        <w:rPr>
          <w:rFonts w:ascii="Arial" w:eastAsia="Arial" w:hAnsi="Arial" w:cs="Arial"/>
          <w:i/>
          <w:color w:val="000000"/>
          <w:sz w:val="20"/>
        </w:rPr>
        <w:t>Ridley Sch. Dist.</w:t>
      </w:r>
      <w:r>
        <w:rPr>
          <w:rFonts w:ascii="Arial" w:eastAsia="Arial" w:hAnsi="Arial" w:cs="Arial"/>
          <w:color w:val="000000"/>
          <w:sz w:val="20"/>
        </w:rPr>
        <w:t xml:space="preserve">, 680 F.3d at 280. And </w:t>
      </w:r>
      <w:bookmarkStart w:id="3555" w:name="Bookmark_LNHNREFclscc16_3"/>
      <w:bookmarkEnd w:id="3555"/>
      <w:r>
        <w:rPr>
          <w:rFonts w:ascii="Arial" w:eastAsia="Arial" w:hAnsi="Arial" w:cs="Arial"/>
          <w:color w:val="000000"/>
          <w:sz w:val="20"/>
        </w:rPr>
        <w:t xml:space="preserve">while a plaintiff "may not insist on a particular accommodation if another reasonable accommodation was offered," Third Circuit Model Civil Jury Instructions § 9.1.3, such an alternative, in order to defeat necessity and serve as a defense, also must provide that "meaningful access," </w:t>
      </w:r>
      <w:bookmarkStart w:id="3556" w:name="Bookmark_I5T6WYM02SF8BV0040000400"/>
      <w:bookmarkEnd w:id="3556"/>
      <w:r>
        <w:rPr>
          <w:rFonts w:ascii="Arial" w:eastAsia="Arial" w:hAnsi="Arial" w:cs="Arial"/>
          <w:i/>
          <w:color w:val="000000"/>
          <w:sz w:val="20"/>
        </w:rPr>
        <w:t>Choate</w:t>
      </w:r>
      <w:r>
        <w:rPr>
          <w:rFonts w:ascii="Arial" w:eastAsia="Arial" w:hAnsi="Arial" w:cs="Arial"/>
          <w:color w:val="000000"/>
          <w:sz w:val="20"/>
        </w:rPr>
        <w:t>, 469 U.S. at 301.</w:t>
      </w:r>
    </w:p>
    <w:p w:rsidR="00E456CD" w:rsidRDefault="00000000">
      <w:pPr>
        <w:pStyle w:val="Normal17"/>
        <w:widowControl w:val="0"/>
        <w:spacing w:before="200" w:line="260" w:lineRule="atLeast"/>
        <w:jc w:val="both"/>
      </w:pPr>
      <w:bookmarkStart w:id="3557" w:name="Bookmark_para_64_3"/>
      <w:bookmarkEnd w:id="3557"/>
      <w:r>
        <w:rPr>
          <w:rFonts w:ascii="Arial" w:eastAsia="Arial" w:hAnsi="Arial" w:cs="Arial"/>
          <w:color w:val="000000"/>
          <w:sz w:val="20"/>
        </w:rPr>
        <w:t xml:space="preserve">By that measure, the alternatives offered by the School fell woefully short. With the assistance of school staff alone and in the absence of Buddy's therapeutic services, M.B. was subjected to additional safety risks, such as the onset of seizures without prior notice, hours of lying in the principal's office without intervention, and significant increased anxiety that medical providers indicated was contributing to increased seizure activity. Ultimately, M.B. had such a gaping educational deficit that she could not even qualify in the public school system to repeat fifth grade, regressing instead to the fourth. The record also indicates [**38]  that the alternative of having Buddy wear the hypo-allergenic shirt—of dubious purpose after the allergic student's parents advised the principal they had arranged for allergy treatments and did not want M.B. excluded from the School on their son's behalf—caused Buddy to fail to respond when M.B. had seizures. In any event, </w:t>
      </w:r>
      <w:bookmarkStart w:id="3558" w:name="Bookmark_LNHNREFclscc17_2"/>
      <w:bookmarkEnd w:id="3558"/>
      <w:r>
        <w:rPr>
          <w:rFonts w:ascii="Arial" w:eastAsia="Arial" w:hAnsi="Arial" w:cs="Arial"/>
          <w:color w:val="000000"/>
          <w:sz w:val="20"/>
        </w:rPr>
        <w:t xml:space="preserve">as the DOJ has interpreted its service animal regulations, "[a]llergies and fear of dogs are not valid reasons for denying access or refusing service to people using service animals," U.S. Dep't of Justice, Civil Rights Div., </w:t>
      </w:r>
      <w:r>
        <w:rPr>
          <w:rFonts w:ascii="Arial" w:eastAsia="Arial" w:hAnsi="Arial" w:cs="Arial"/>
          <w:i/>
          <w:color w:val="000000"/>
          <w:sz w:val="20"/>
        </w:rPr>
        <w:t>Service Animals</w:t>
      </w:r>
      <w:r>
        <w:rPr>
          <w:rFonts w:ascii="Arial" w:eastAsia="Arial" w:hAnsi="Arial" w:cs="Arial"/>
          <w:color w:val="000000"/>
          <w:sz w:val="20"/>
        </w:rPr>
        <w:t xml:space="preserve"> (July 12, 2011), https://www.ada.gov/service_animals_2010.htm , and that guidance, like the ADA service animal regulation itself, was fully applicable to the School as a "public accommodation" under the ADA, </w:t>
      </w:r>
      <w:r>
        <w:rPr>
          <w:rFonts w:ascii="Arial" w:eastAsia="Arial" w:hAnsi="Arial" w:cs="Arial"/>
          <w:i/>
          <w:color w:val="000000"/>
          <w:sz w:val="20"/>
        </w:rPr>
        <w:t>see supra</w:t>
      </w:r>
      <w:r>
        <w:rPr>
          <w:rFonts w:ascii="Arial" w:eastAsia="Arial" w:hAnsi="Arial" w:cs="Arial"/>
          <w:color w:val="000000"/>
          <w:sz w:val="20"/>
        </w:rPr>
        <w:t xml:space="preserve"> note 4.</w:t>
      </w:r>
    </w:p>
    <w:p w:rsidR="00E456CD" w:rsidRDefault="00000000">
      <w:pPr>
        <w:pStyle w:val="Normal17"/>
        <w:widowControl w:val="0"/>
        <w:spacing w:before="200" w:line="260" w:lineRule="atLeast"/>
        <w:jc w:val="both"/>
      </w:pPr>
      <w:bookmarkStart w:id="3559" w:name="Bookmark_para_65_3"/>
      <w:bookmarkEnd w:id="3559"/>
      <w:r>
        <w:rPr>
          <w:rFonts w:ascii="Arial" w:eastAsia="Arial" w:hAnsi="Arial" w:cs="Arial"/>
          <w:color w:val="000000"/>
          <w:sz w:val="20"/>
        </w:rPr>
        <w:t>Bearing in mind this record and the jury's own question seeking "specific information re: service dogs pertaining to act #504/ADA," JA 1998, the School has hardly shown a "high probability" that the jury would have ruled in its favor if properly instructed. To the contrary, it is hard pressed to show that any reasonable jury, properly instructed, could so rule.</w:t>
      </w:r>
      <w:r>
        <w:rPr>
          <w:rFonts w:ascii="Arial" w:eastAsia="Arial" w:hAnsi="Arial" w:cs="Arial"/>
          <w:vertAlign w:val="superscript"/>
        </w:rPr>
        <w:footnoteReference w:customMarkFollows="1" w:id="154"/>
        <w:t>17</w:t>
      </w:r>
      <w:r>
        <w:rPr>
          <w:rFonts w:ascii="Arial" w:eastAsia="Arial" w:hAnsi="Arial" w:cs="Arial"/>
          <w:color w:val="000000"/>
          <w:sz w:val="20"/>
        </w:rPr>
        <w:t xml:space="preserve"> We therefore will vacate and remand for the [**39]  District Court to determine whether there is any remaining genuine issue of material fact concerning the School's liability or whether, in view of our holding today, trial should be limited to the matter of damages.</w:t>
      </w:r>
    </w:p>
    <w:p w:rsidR="00E456CD" w:rsidRDefault="00000000">
      <w:pPr>
        <w:pStyle w:val="Normal17"/>
        <w:widowControl w:val="0"/>
        <w:spacing w:before="200" w:line="260" w:lineRule="atLeast"/>
        <w:jc w:val="both"/>
      </w:pPr>
      <w:bookmarkStart w:id="3563" w:name="Bookmark_para_66_3"/>
      <w:bookmarkStart w:id="3564" w:name="Bookmark_I5T6WYM02HM6BT0040000400"/>
      <w:bookmarkEnd w:id="3563"/>
      <w:bookmarkEnd w:id="3564"/>
      <w:r>
        <w:rPr>
          <w:rFonts w:ascii="Arial" w:eastAsia="Arial" w:hAnsi="Arial" w:cs="Arial"/>
          <w:color w:val="000000"/>
          <w:sz w:val="20"/>
        </w:rPr>
        <w:t xml:space="preserve">Finally, we briefly address the dismissal of the PHRA claim, which we will reverse. The District Court observed that "the analysis of an ADA claim applies equally to a PHRA claim," JA 23, which is true as far as it goes, </w:t>
      </w:r>
      <w:r>
        <w:rPr>
          <w:rFonts w:ascii="Arial" w:eastAsia="Arial" w:hAnsi="Arial" w:cs="Arial"/>
          <w:i/>
          <w:color w:val="000000"/>
          <w:sz w:val="20"/>
        </w:rPr>
        <w:t xml:space="preserve">see </w:t>
      </w:r>
      <w:bookmarkStart w:id="3565" w:name="Bookmark_I5T6WYM02HM6BT0030000400"/>
      <w:bookmarkEnd w:id="3565"/>
      <w:r>
        <w:rPr>
          <w:rFonts w:ascii="Arial" w:eastAsia="Arial" w:hAnsi="Arial" w:cs="Arial"/>
          <w:i/>
          <w:color w:val="000000"/>
          <w:sz w:val="20"/>
        </w:rPr>
        <w:t>Taylor v. Phoenixville  [*126]  Sch. Dist.</w:t>
      </w:r>
      <w:r>
        <w:rPr>
          <w:rFonts w:ascii="Arial" w:eastAsia="Arial" w:hAnsi="Arial" w:cs="Arial"/>
          <w:color w:val="000000"/>
          <w:sz w:val="20"/>
        </w:rPr>
        <w:t xml:space="preserve">, 184 F.3d 296, 306 (3d Cir. 1999). </w:t>
      </w:r>
      <w:bookmarkStart w:id="3566" w:name="Bookmark_I5T6WYM02D6N7R0010000400"/>
      <w:bookmarkEnd w:id="3566"/>
      <w:r>
        <w:rPr>
          <w:rFonts w:ascii="Arial" w:eastAsia="Arial" w:hAnsi="Arial" w:cs="Arial"/>
          <w:color w:val="000000"/>
          <w:sz w:val="20"/>
        </w:rPr>
        <w:t xml:space="preserve">But it then dismissed both claims on the ground that M.B.'s parents could not obtain damages under the ADA. The problem is that, </w:t>
      </w:r>
      <w:bookmarkStart w:id="3567" w:name="Bookmark_LNHNREFclscc18_2"/>
      <w:bookmarkEnd w:id="3567"/>
      <w:r>
        <w:rPr>
          <w:rFonts w:ascii="Arial" w:eastAsia="Arial" w:hAnsi="Arial" w:cs="Arial"/>
          <w:color w:val="000000"/>
          <w:sz w:val="20"/>
        </w:rPr>
        <w:t xml:space="preserve">while the liability standard for the PHRA and the ADA is the same, the remedies are not: The PHRA expressly permits suits for damages. </w:t>
      </w:r>
      <w:bookmarkStart w:id="3568" w:name="Bookmark_I5T6WYM02D6N7R0010000400_2"/>
      <w:bookmarkEnd w:id="3568"/>
      <w:r>
        <w:rPr>
          <w:rFonts w:ascii="Arial" w:eastAsia="Arial" w:hAnsi="Arial" w:cs="Arial"/>
          <w:i/>
          <w:color w:val="000000"/>
          <w:sz w:val="20"/>
        </w:rPr>
        <w:t>See</w:t>
      </w:r>
      <w:r>
        <w:rPr>
          <w:rFonts w:ascii="Arial" w:eastAsia="Arial" w:hAnsi="Arial" w:cs="Arial"/>
          <w:color w:val="000000"/>
          <w:sz w:val="20"/>
        </w:rPr>
        <w:t xml:space="preserve"> 43 Pa. Stat. and Cons. Stat. Ann. § 962(c)(3). Although we nonetheless could affirm if remand would be futile, </w:t>
      </w:r>
      <w:r>
        <w:rPr>
          <w:rFonts w:ascii="Arial" w:eastAsia="Arial" w:hAnsi="Arial" w:cs="Arial"/>
          <w:i/>
          <w:color w:val="000000"/>
          <w:sz w:val="20"/>
        </w:rPr>
        <w:t xml:space="preserve">see </w:t>
      </w:r>
      <w:bookmarkStart w:id="3569" w:name="Bookmark_I5T6WYM02HM6BT0050000400"/>
      <w:bookmarkEnd w:id="3569"/>
      <w:r>
        <w:rPr>
          <w:rFonts w:ascii="Arial" w:eastAsia="Arial" w:hAnsi="Arial" w:cs="Arial"/>
          <w:i/>
          <w:color w:val="000000"/>
          <w:sz w:val="20"/>
        </w:rPr>
        <w:t>Caver v. City of Trenton</w:t>
      </w:r>
      <w:r>
        <w:rPr>
          <w:rFonts w:ascii="Arial" w:eastAsia="Arial" w:hAnsi="Arial" w:cs="Arial"/>
          <w:color w:val="000000"/>
          <w:sz w:val="20"/>
        </w:rPr>
        <w:t xml:space="preserve">, 420 F.3d 243, 264-65 (3d Cir. 2005), it would not be in this case. Even aside from the significance of the ADA service animal regulations for the PHRA, </w:t>
      </w:r>
      <w:r>
        <w:rPr>
          <w:rFonts w:ascii="Arial" w:eastAsia="Arial" w:hAnsi="Arial" w:cs="Arial"/>
          <w:i/>
          <w:color w:val="000000"/>
          <w:sz w:val="20"/>
        </w:rPr>
        <w:t xml:space="preserve">see </w:t>
      </w:r>
      <w:bookmarkStart w:id="3570" w:name="Bookmark_I5T6WYM02D6N7R0020000400"/>
      <w:bookmarkEnd w:id="3570"/>
      <w:r>
        <w:rPr>
          <w:rFonts w:ascii="Arial" w:eastAsia="Arial" w:hAnsi="Arial" w:cs="Arial"/>
          <w:i/>
          <w:color w:val="000000"/>
          <w:sz w:val="20"/>
        </w:rPr>
        <w:t>Taylor</w:t>
      </w:r>
      <w:r>
        <w:rPr>
          <w:rFonts w:ascii="Arial" w:eastAsia="Arial" w:hAnsi="Arial" w:cs="Arial"/>
          <w:color w:val="000000"/>
          <w:sz w:val="20"/>
        </w:rPr>
        <w:t xml:space="preserve">, 184 F.3d at 306-07 (discussing an ADA regulation as to a PHRA claim), </w:t>
      </w:r>
      <w:bookmarkStart w:id="3571" w:name="Bookmark_LNHNREFclscc19_1"/>
      <w:bookmarkEnd w:id="3571"/>
      <w:r>
        <w:rPr>
          <w:rFonts w:ascii="Arial" w:eastAsia="Arial" w:hAnsi="Arial" w:cs="Arial"/>
          <w:color w:val="000000"/>
          <w:sz w:val="20"/>
        </w:rPr>
        <w:t>the PHRA in its own right prohibits public accommodations from "deny[ing] . . . any person due to use of a guide or support animal because of the . . . physical handicap of the user" any of their "accommodations, [**40]  advantages, facilities or privileges," 43 Pa. Stat. and Cons. Stat. Ann. § 955(i)(1). It was therefore reversible error to dismiss Appellants' PHRA claim.</w:t>
      </w:r>
    </w:p>
    <w:p w:rsidR="00E456CD" w:rsidRDefault="00000000">
      <w:pPr>
        <w:pStyle w:val="Normal17"/>
        <w:widowControl w:val="0"/>
        <w:spacing w:before="240" w:line="260" w:lineRule="atLeast"/>
      </w:pPr>
      <w:r>
        <w:br/>
      </w:r>
      <w:r>
        <w:rPr>
          <w:rFonts w:ascii="Arial" w:eastAsia="Arial" w:hAnsi="Arial" w:cs="Arial"/>
          <w:b/>
          <w:color w:val="000000"/>
          <w:sz w:val="20"/>
        </w:rPr>
        <w:t>V. Conclusion</w:t>
      </w:r>
    </w:p>
    <w:p w:rsidR="00E456CD" w:rsidRDefault="00000000">
      <w:pPr>
        <w:pStyle w:val="Normal17"/>
        <w:widowControl w:val="0"/>
        <w:spacing w:before="200" w:line="260" w:lineRule="atLeast"/>
        <w:jc w:val="both"/>
      </w:pPr>
      <w:bookmarkStart w:id="3572" w:name="Bookmark_para_67_3"/>
      <w:bookmarkEnd w:id="3572"/>
      <w:r>
        <w:rPr>
          <w:rFonts w:ascii="Arial" w:eastAsia="Arial" w:hAnsi="Arial" w:cs="Arial"/>
          <w:color w:val="000000"/>
          <w:sz w:val="20"/>
        </w:rPr>
        <w:t>For the foregoing reasons, we will vacate the judgment on the RA claim, reverse the dismissal of the PHRA claim, and remand for further proceedings consistent with this opinion.</w:t>
      </w:r>
    </w:p>
    <w:p w:rsidR="00E456CD" w:rsidRDefault="00E456CD">
      <w:pPr>
        <w:pStyle w:val="Normal17"/>
      </w:pPr>
    </w:p>
    <w:p w:rsidR="00E456CD" w:rsidRDefault="00000000">
      <w:pPr>
        <w:pStyle w:val="Normal17"/>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9715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587780789"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3882C" id="Line 40"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8"/>
        <w:sectPr w:rsidR="00E456CD">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gutter="0"/>
          <w:cols w:space="720"/>
          <w:titlePg/>
        </w:sectPr>
      </w:pPr>
    </w:p>
    <w:p w:rsidR="00E456CD" w:rsidRDefault="00E456CD">
      <w:pPr>
        <w:pStyle w:val="Normal18"/>
      </w:pPr>
    </w:p>
    <w:p w:rsidR="00E456CD" w:rsidRDefault="00000000">
      <w:pPr>
        <w:pStyle w:val="Heading117"/>
        <w:keepNext w:val="0"/>
        <w:widowControl w:val="0"/>
        <w:spacing w:after="200" w:line="340" w:lineRule="atLeast"/>
        <w:jc w:val="center"/>
      </w:pPr>
      <w:r>
        <w:rPr>
          <w:rFonts w:eastAsia="Arial"/>
          <w:color w:val="000000"/>
          <w:sz w:val="28"/>
        </w:rPr>
        <w:t>Haynes v. Dunkin' Donuts, LLC</w:t>
      </w:r>
    </w:p>
    <w:p w:rsidR="00E456CD" w:rsidRDefault="00000000">
      <w:pPr>
        <w:pStyle w:val="Normal18"/>
        <w:widowControl w:val="0"/>
        <w:spacing w:before="120" w:line="260" w:lineRule="atLeast"/>
        <w:jc w:val="center"/>
      </w:pPr>
      <w:r>
        <w:rPr>
          <w:rFonts w:ascii="Arial" w:eastAsia="Arial" w:hAnsi="Arial" w:cs="Arial"/>
          <w:color w:val="000000"/>
          <w:sz w:val="20"/>
        </w:rPr>
        <w:t>United States Court of Appeals for the Eleventh Circuit</w:t>
      </w:r>
    </w:p>
    <w:p w:rsidR="00E456CD" w:rsidRDefault="00000000">
      <w:pPr>
        <w:pStyle w:val="Normal18"/>
        <w:widowControl w:val="0"/>
        <w:spacing w:before="120" w:line="260" w:lineRule="atLeast"/>
        <w:jc w:val="center"/>
      </w:pPr>
      <w:r>
        <w:rPr>
          <w:rFonts w:ascii="Arial" w:eastAsia="Arial" w:hAnsi="Arial" w:cs="Arial"/>
          <w:color w:val="000000"/>
          <w:sz w:val="20"/>
        </w:rPr>
        <w:t>July 31, 2018, Decided</w:t>
      </w:r>
    </w:p>
    <w:p w:rsidR="00E456CD" w:rsidRDefault="00000000">
      <w:pPr>
        <w:pStyle w:val="Normal18"/>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18-10373 Non-Argument Calendar</w:t>
      </w:r>
    </w:p>
    <w:p w:rsidR="00E456CD" w:rsidRDefault="00E456CD">
      <w:pPr>
        <w:pStyle w:val="Normal18"/>
        <w:widowControl w:val="0"/>
        <w:spacing w:line="240" w:lineRule="atLeast"/>
        <w:jc w:val="both"/>
      </w:pPr>
      <w:bookmarkStart w:id="3573" w:name="Bookmark_19"/>
      <w:bookmarkEnd w:id="3573"/>
    </w:p>
    <w:p w:rsidR="00E456CD" w:rsidRDefault="00000000">
      <w:pPr>
        <w:pStyle w:val="Normal18"/>
        <w:widowControl w:val="0"/>
        <w:spacing w:before="200" w:line="240" w:lineRule="atLeast"/>
      </w:pPr>
      <w:bookmarkStart w:id="3574" w:name="Reporter_17"/>
      <w:bookmarkEnd w:id="3574"/>
      <w:r>
        <w:rPr>
          <w:rFonts w:ascii="Arial" w:eastAsia="Arial" w:hAnsi="Arial" w:cs="Arial"/>
          <w:b/>
          <w:color w:val="000000"/>
          <w:sz w:val="18"/>
        </w:rPr>
        <w:t>Reporter</w:t>
      </w:r>
    </w:p>
    <w:p w:rsidR="00E456CD" w:rsidRDefault="00000000">
      <w:pPr>
        <w:pStyle w:val="Normal18"/>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741 Fed. Appx. 752 *; 2018 U.S. App. LEXIS 21126 **; 2018 WL 3634720</w:t>
      </w:r>
    </w:p>
    <w:p w:rsidR="00E456CD" w:rsidRDefault="00000000">
      <w:pPr>
        <w:pStyle w:val="Normal18"/>
        <w:widowControl w:val="0"/>
        <w:spacing w:before="120" w:line="260" w:lineRule="atLeast"/>
      </w:pPr>
      <w:r>
        <w:rPr>
          <w:rFonts w:ascii="Arial" w:eastAsia="Arial" w:hAnsi="Arial" w:cs="Arial"/>
          <w:color w:val="000000"/>
          <w:sz w:val="20"/>
        </w:rPr>
        <w:t>DENNIS HAYNES, individually, Plaintiff-Appellant, versus DUNKIN' DONUTS LLC, a foreign limited liability company, DD IP HOLDER LLC, CASHSTAR, INC., Defendants-Appellees.</w:t>
      </w:r>
    </w:p>
    <w:p w:rsidR="00E456CD" w:rsidRDefault="00000000">
      <w:pPr>
        <w:pStyle w:val="Normal18"/>
        <w:widowControl w:val="0"/>
        <w:spacing w:before="240" w:line="260" w:lineRule="atLeast"/>
        <w:jc w:val="both"/>
      </w:pPr>
      <w:bookmarkStart w:id="3575" w:name="Notice_5"/>
      <w:bookmarkEnd w:id="3575"/>
      <w:r>
        <w:rPr>
          <w:rFonts w:ascii="Arial" w:eastAsia="Arial" w:hAnsi="Arial" w:cs="Arial"/>
          <w:b/>
          <w:color w:val="000000"/>
          <w:sz w:val="20"/>
        </w:rPr>
        <w:t>Notice:</w:t>
      </w:r>
      <w:r>
        <w:rPr>
          <w:rFonts w:ascii="Arial" w:eastAsia="Arial" w:hAnsi="Arial" w:cs="Arial"/>
          <w:color w:val="000000"/>
          <w:sz w:val="20"/>
        </w:rPr>
        <w:t> </w:t>
      </w:r>
      <w:bookmarkStart w:id="3576" w:name="Bookmark_para_1_17"/>
      <w:bookmarkEnd w:id="3576"/>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18"/>
        <w:widowControl w:val="0"/>
        <w:spacing w:before="240" w:line="260" w:lineRule="atLeast"/>
      </w:pPr>
      <w:bookmarkStart w:id="3577" w:name="Subsequent_History_5"/>
      <w:bookmarkEnd w:id="3577"/>
      <w:r>
        <w:rPr>
          <w:rFonts w:ascii="Arial" w:eastAsia="Arial" w:hAnsi="Arial" w:cs="Arial"/>
          <w:b/>
          <w:color w:val="000000"/>
          <w:sz w:val="20"/>
        </w:rPr>
        <w:t>Subsequent History:</w:t>
      </w:r>
      <w:r>
        <w:rPr>
          <w:rFonts w:ascii="Arial" w:eastAsia="Arial" w:hAnsi="Arial" w:cs="Arial"/>
          <w:color w:val="000000"/>
          <w:sz w:val="20"/>
        </w:rPr>
        <w:t> Settled by, Dismissed by Haynes v. Dunkin' Donuts LLC, 2018 U.S. Dist. LEXIS 144501 (S.D. Fla., Aug. 23, 2018)</w:t>
      </w:r>
    </w:p>
    <w:p w:rsidR="00E456CD" w:rsidRDefault="00000000">
      <w:pPr>
        <w:pStyle w:val="Normal18"/>
        <w:widowControl w:val="0"/>
        <w:spacing w:before="240" w:line="260" w:lineRule="atLeast"/>
        <w:jc w:val="both"/>
      </w:pPr>
      <w:bookmarkStart w:id="3578" w:name="Prior_History_17"/>
      <w:bookmarkEnd w:id="3578"/>
      <w:r>
        <w:rPr>
          <w:rFonts w:ascii="Arial" w:eastAsia="Arial" w:hAnsi="Arial" w:cs="Arial"/>
          <w:b/>
          <w:color w:val="000000"/>
          <w:sz w:val="20"/>
        </w:rPr>
        <w:t>Prior History:</w:t>
      </w:r>
      <w:r>
        <w:rPr>
          <w:rFonts w:ascii="Arial" w:eastAsia="Arial" w:hAnsi="Arial" w:cs="Arial"/>
          <w:color w:val="000000"/>
          <w:sz w:val="20"/>
        </w:rPr>
        <w:t> </w:t>
      </w:r>
      <w:bookmarkStart w:id="3579" w:name="Bookmark_para_2_17"/>
      <w:bookmarkEnd w:id="3579"/>
      <w:r>
        <w:rPr>
          <w:rFonts w:ascii="Arial" w:eastAsia="Arial" w:hAnsi="Arial" w:cs="Arial"/>
          <w:color w:val="000000"/>
          <w:sz w:val="20"/>
        </w:rPr>
        <w:t> [**1] Appeal from the United States District Court for the Southern District of Florida. D.C. Docket No. 0:17-cv-61072-WPD.</w:t>
      </w:r>
    </w:p>
    <w:p w:rsidR="00E456CD" w:rsidRDefault="00000000">
      <w:pPr>
        <w:pStyle w:val="Normal18"/>
        <w:widowControl w:val="0"/>
        <w:spacing w:before="120" w:line="260" w:lineRule="atLeast"/>
      </w:pPr>
      <w:r>
        <w:rPr>
          <w:rFonts w:ascii="Arial" w:eastAsia="Arial" w:hAnsi="Arial" w:cs="Arial"/>
          <w:color w:val="000000"/>
          <w:sz w:val="20"/>
        </w:rPr>
        <w:t>Haynes v. Dunkin' Donuts LLC, 2018 U.S. Dist. LEXIS 14776 (S.D. Fla., Jan. 29, 2018)</w:t>
      </w:r>
    </w:p>
    <w:p w:rsidR="00E456CD" w:rsidRDefault="00000000">
      <w:pPr>
        <w:pStyle w:val="Normal18"/>
        <w:widowControl w:val="0"/>
        <w:spacing w:before="240" w:line="260" w:lineRule="atLeast"/>
        <w:jc w:val="both"/>
      </w:pPr>
      <w:bookmarkStart w:id="3580" w:name="Disposition_3"/>
      <w:bookmarkEnd w:id="3580"/>
      <w:r>
        <w:rPr>
          <w:rFonts w:ascii="Arial" w:eastAsia="Arial" w:hAnsi="Arial" w:cs="Arial"/>
          <w:b/>
          <w:color w:val="000000"/>
          <w:sz w:val="20"/>
        </w:rPr>
        <w:t>Disposition:</w:t>
      </w:r>
      <w:r>
        <w:rPr>
          <w:rFonts w:ascii="Arial" w:eastAsia="Arial" w:hAnsi="Arial" w:cs="Arial"/>
          <w:color w:val="000000"/>
          <w:sz w:val="20"/>
        </w:rPr>
        <w:t> </w:t>
      </w:r>
      <w:bookmarkStart w:id="3581" w:name="Bookmark_clspara_4_3"/>
      <w:bookmarkEnd w:id="3581"/>
      <w:r>
        <w:rPr>
          <w:rFonts w:ascii="Arial" w:eastAsia="Arial" w:hAnsi="Arial" w:cs="Arial"/>
          <w:color w:val="000000"/>
          <w:sz w:val="20"/>
        </w:rPr>
        <w:t>REVERSED AND REMANDED.</w:t>
      </w:r>
    </w:p>
    <w:p w:rsidR="00E456CD" w:rsidRDefault="00000000">
      <w:pPr>
        <w:pStyle w:val="Normal18"/>
        <w:widowControl w:val="0"/>
        <w:spacing w:before="240" w:line="260" w:lineRule="atLeast"/>
      </w:pPr>
      <w:bookmarkStart w:id="3582" w:name="Counsel_17"/>
      <w:bookmarkEnd w:id="3582"/>
      <w:r>
        <w:rPr>
          <w:rFonts w:ascii="Arial" w:eastAsia="Arial" w:hAnsi="Arial" w:cs="Arial"/>
          <w:b/>
          <w:color w:val="000000"/>
          <w:sz w:val="20"/>
        </w:rPr>
        <w:t>Counsel:</w:t>
      </w:r>
      <w:r>
        <w:rPr>
          <w:rFonts w:ascii="Arial" w:eastAsia="Arial" w:hAnsi="Arial" w:cs="Arial"/>
          <w:color w:val="000000"/>
          <w:sz w:val="20"/>
        </w:rPr>
        <w:t> For DENNIS HAYNES, individually, Plaintiff - Appellant: Thomas B. Bacon, Thomas B. Bacon, PA, MOUNT DORA, FL; Aaron Scott Finesilver, Finesilver Law, PA, MIAMI, FL.</w:t>
      </w:r>
    </w:p>
    <w:p w:rsidR="00E456CD" w:rsidRDefault="00000000">
      <w:pPr>
        <w:pStyle w:val="Normal18"/>
        <w:widowControl w:val="0"/>
        <w:spacing w:before="120" w:line="260" w:lineRule="atLeast"/>
      </w:pPr>
      <w:r>
        <w:rPr>
          <w:rFonts w:ascii="Arial" w:eastAsia="Arial" w:hAnsi="Arial" w:cs="Arial"/>
          <w:color w:val="000000"/>
          <w:sz w:val="20"/>
        </w:rPr>
        <w:t>For DUNKIN DONUTS LLC, a foreign limited liability company, DD IP HOLDER LLC, Defendants - Appellees: Charles S. Marion, Blank Rome, LLP, PHILADELPHIA, PA.</w:t>
      </w:r>
    </w:p>
    <w:p w:rsidR="00E456CD" w:rsidRDefault="00000000">
      <w:pPr>
        <w:pStyle w:val="Normal18"/>
        <w:widowControl w:val="0"/>
        <w:spacing w:before="240" w:line="260" w:lineRule="atLeast"/>
      </w:pPr>
      <w:bookmarkStart w:id="3583" w:name="Judges_17"/>
      <w:bookmarkEnd w:id="3583"/>
      <w:r>
        <w:rPr>
          <w:rFonts w:ascii="Arial" w:eastAsia="Arial" w:hAnsi="Arial" w:cs="Arial"/>
          <w:b/>
          <w:color w:val="000000"/>
          <w:sz w:val="20"/>
        </w:rPr>
        <w:t>Judges:</w:t>
      </w:r>
      <w:r>
        <w:rPr>
          <w:rFonts w:ascii="Arial" w:eastAsia="Arial" w:hAnsi="Arial" w:cs="Arial"/>
          <w:color w:val="000000"/>
          <w:sz w:val="20"/>
        </w:rPr>
        <w:t> Before ED CARNES, Chief Judge, WILSON, and FAY, Circuit Judges.</w:t>
      </w:r>
    </w:p>
    <w:p w:rsidR="00E456CD" w:rsidRDefault="00000000">
      <w:pPr>
        <w:pStyle w:val="Normal18"/>
        <w:keepNext/>
        <w:widowControl w:val="0"/>
        <w:spacing w:before="240" w:line="340" w:lineRule="atLeast"/>
      </w:pPr>
      <w:bookmarkStart w:id="3584" w:name="Opinion_17"/>
      <w:bookmarkEnd w:id="3584"/>
      <w:r>
        <w:rPr>
          <w:rFonts w:ascii="Arial" w:eastAsia="Arial" w:hAnsi="Arial" w:cs="Arial"/>
          <w:b/>
          <w:color w:val="000000"/>
          <w:sz w:val="28"/>
        </w:rPr>
        <w:t>Opinion</w:t>
      </w:r>
    </w:p>
    <w:p w:rsidR="00E456CD" w:rsidRDefault="00E22289">
      <w:pPr>
        <w:pStyle w:val="Normal18"/>
        <w:spacing w:line="60" w:lineRule="exact"/>
      </w:pPr>
      <w:r>
        <w:rPr>
          <w:noProof/>
        </w:rPr>
        <mc:AlternateContent>
          <mc:Choice Requires="wps">
            <w:drawing>
              <wp:anchor distT="0" distB="0" distL="114300" distR="114300" simplePos="0" relativeHeight="25169817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601368018"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9CDD2" id="Line 4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8"/>
      </w:pPr>
    </w:p>
    <w:p w:rsidR="00E456CD" w:rsidRDefault="00000000">
      <w:pPr>
        <w:pStyle w:val="Normal18"/>
        <w:widowControl w:val="0"/>
        <w:spacing w:before="200" w:line="260" w:lineRule="atLeast"/>
        <w:jc w:val="both"/>
      </w:pPr>
      <w:bookmarkStart w:id="3585" w:name="Bookmark_para_3_17"/>
      <w:bookmarkEnd w:id="3585"/>
      <w:r>
        <w:rPr>
          <w:rFonts w:ascii="Arial" w:eastAsia="Arial" w:hAnsi="Arial" w:cs="Arial"/>
          <w:color w:val="000000"/>
          <w:sz w:val="20"/>
        </w:rPr>
        <w:t> [*752]  PER CURIAM:</w:t>
      </w:r>
    </w:p>
    <w:p w:rsidR="00E456CD" w:rsidRDefault="00000000">
      <w:pPr>
        <w:pStyle w:val="Normal18"/>
        <w:widowControl w:val="0"/>
        <w:spacing w:before="200" w:line="260" w:lineRule="atLeast"/>
        <w:jc w:val="both"/>
      </w:pPr>
      <w:bookmarkStart w:id="3586" w:name="Bookmark_para_4_17"/>
      <w:bookmarkEnd w:id="3586"/>
      <w:r>
        <w:rPr>
          <w:rFonts w:ascii="Arial" w:eastAsia="Arial" w:hAnsi="Arial" w:cs="Arial"/>
          <w:color w:val="000000"/>
          <w:sz w:val="20"/>
        </w:rPr>
        <w:t>Dennis Haynes is blind. To use the internet, he relies on screen reading software, specifically a program called "JAWS." According to the allegations in his third amended complaint, one day Haynes attempted to go to the website for Dunkin' Donuts, www.dunkindonuts.com, but the website was not compatible with his, or any, screen reading software.</w:t>
      </w:r>
    </w:p>
    <w:p w:rsidR="00E456CD" w:rsidRDefault="00000000">
      <w:pPr>
        <w:pStyle w:val="Normal18"/>
        <w:widowControl w:val="0"/>
        <w:spacing w:before="200" w:line="260" w:lineRule="atLeast"/>
        <w:jc w:val="both"/>
      </w:pPr>
      <w:bookmarkStart w:id="3587" w:name="Bookmark_para_5_17"/>
      <w:bookmarkEnd w:id="3587"/>
      <w:r>
        <w:rPr>
          <w:rFonts w:ascii="Arial" w:eastAsia="Arial" w:hAnsi="Arial" w:cs="Arial"/>
          <w:color w:val="000000"/>
          <w:sz w:val="20"/>
        </w:rPr>
        <w:t xml:space="preserve"> [*753]  Haynes sued Dunkin' Donuts, LLC, claiming that it violated Title III of the Americans with Disabilities Act, 42 U.S.C. § 12188 </w:t>
      </w:r>
      <w:r>
        <w:rPr>
          <w:rFonts w:ascii="Arial" w:eastAsia="Arial" w:hAnsi="Arial" w:cs="Arial"/>
          <w:color w:val="000000"/>
          <w:sz w:val="20"/>
          <w:u w:val="single"/>
        </w:rPr>
        <w:t>et seq.</w:t>
      </w:r>
      <w:r>
        <w:rPr>
          <w:rFonts w:ascii="Arial" w:eastAsia="Arial" w:hAnsi="Arial" w:cs="Arial"/>
          <w:color w:val="000000"/>
          <w:sz w:val="20"/>
        </w:rPr>
        <w:t>, by not maintaining a website compatible with screen reading software.</w:t>
      </w:r>
      <w:r>
        <w:rPr>
          <w:rFonts w:ascii="Arial" w:eastAsia="Arial" w:hAnsi="Arial" w:cs="Arial"/>
          <w:vertAlign w:val="superscript"/>
        </w:rPr>
        <w:footnoteReference w:customMarkFollows="1" w:id="155"/>
        <w:t>1</w:t>
      </w:r>
      <w:r>
        <w:rPr>
          <w:rFonts w:ascii="Arial" w:eastAsia="Arial" w:hAnsi="Arial" w:cs="Arial"/>
          <w:color w:val="000000"/>
          <w:sz w:val="20"/>
        </w:rPr>
        <w:t xml:space="preserve"> He sought declaratory and injunctive relief under 42 U.S.C. § 12188 and attorney's fees under 42 U.S.C § 12205.</w:t>
      </w:r>
    </w:p>
    <w:p w:rsidR="00E456CD" w:rsidRDefault="00000000">
      <w:pPr>
        <w:pStyle w:val="Normal18"/>
        <w:widowControl w:val="0"/>
        <w:spacing w:before="200" w:line="260" w:lineRule="atLeast"/>
        <w:jc w:val="both"/>
      </w:pPr>
      <w:bookmarkStart w:id="3589" w:name="Bookmark_para_6_17"/>
      <w:bookmarkEnd w:id="3589"/>
      <w:r>
        <w:rPr>
          <w:rFonts w:ascii="Arial" w:eastAsia="Arial" w:hAnsi="Arial" w:cs="Arial"/>
          <w:color w:val="000000"/>
          <w:sz w:val="20"/>
        </w:rPr>
        <w:t>On Dunkin' Donuts' motion, the district court dismissed Haynes' [**2]  complaint. It determined that Haynes did not state a plausible claim for relief under Title III of the ADA. It reasoned that Haynes failed to allege a nexus between the barriers to access that he faced on the website and his inability to access goods and services at Dunkin' Donuts' physical store. This is Haynes' appeal.</w:t>
      </w:r>
    </w:p>
    <w:p w:rsidR="00E456CD" w:rsidRDefault="00000000">
      <w:pPr>
        <w:pStyle w:val="Normal18"/>
        <w:widowControl w:val="0"/>
        <w:spacing w:before="200" w:line="260" w:lineRule="atLeast"/>
        <w:jc w:val="both"/>
      </w:pPr>
      <w:bookmarkStart w:id="3590" w:name="Bookmark_para_7_17"/>
      <w:bookmarkStart w:id="3591" w:name="Bookmark_I5T3XBHJ28T4PB0020000400"/>
      <w:bookmarkStart w:id="3592" w:name="Bookmark_I5T3XBHJ28T4PB0040000400"/>
      <w:bookmarkStart w:id="3593" w:name="Bookmark_I5T3XBHJ28T4PC0010000400"/>
      <w:bookmarkStart w:id="3594" w:name="Bookmark_LNHNREFclscc1_15"/>
      <w:bookmarkEnd w:id="3590"/>
      <w:bookmarkEnd w:id="3591"/>
      <w:bookmarkEnd w:id="3592"/>
      <w:bookmarkEnd w:id="3593"/>
      <w:bookmarkEnd w:id="3594"/>
      <w:r>
        <w:rPr>
          <w:rFonts w:ascii="Arial" w:eastAsia="Arial" w:hAnsi="Arial" w:cs="Arial"/>
          <w:color w:val="000000"/>
          <w:sz w:val="20"/>
        </w:rPr>
        <w:t xml:space="preserve">"We review </w:t>
      </w:r>
      <w:r>
        <w:rPr>
          <w:rFonts w:ascii="Arial" w:eastAsia="Arial" w:hAnsi="Arial" w:cs="Arial"/>
          <w:color w:val="000000"/>
          <w:sz w:val="20"/>
          <w:u w:val="single"/>
        </w:rPr>
        <w:t>de novo</w:t>
      </w:r>
      <w:r>
        <w:rPr>
          <w:rFonts w:ascii="Arial" w:eastAsia="Arial" w:hAnsi="Arial" w:cs="Arial"/>
          <w:color w:val="000000"/>
          <w:sz w:val="20"/>
        </w:rPr>
        <w:t xml:space="preserve"> the dismissal of a complaint for failure to state a claim, construing all [factual] allegations in the complaint as true and in the light most favorable to the plaintiff." </w:t>
      </w:r>
      <w:bookmarkStart w:id="3595" w:name="Bookmark_I5T3XBHJ28T4PB0010000400"/>
      <w:bookmarkEnd w:id="3595"/>
      <w:r>
        <w:rPr>
          <w:rFonts w:ascii="Arial" w:eastAsia="Arial" w:hAnsi="Arial" w:cs="Arial"/>
          <w:color w:val="000000"/>
          <w:sz w:val="20"/>
          <w:u w:val="single"/>
        </w:rPr>
        <w:t>Rendon v. Valleycrest Prods., Ltd.</w:t>
      </w:r>
      <w:r>
        <w:rPr>
          <w:rFonts w:ascii="Arial" w:eastAsia="Arial" w:hAnsi="Arial" w:cs="Arial"/>
          <w:color w:val="000000"/>
          <w:sz w:val="20"/>
        </w:rPr>
        <w:t xml:space="preserve">, 294 F.3d 1279, 1281-82 (11th Cir. 2002). </w:t>
      </w:r>
      <w:bookmarkStart w:id="3596" w:name="Bookmark_LNHNREFclscc2_15"/>
      <w:bookmarkEnd w:id="3596"/>
      <w:r>
        <w:rPr>
          <w:rFonts w:ascii="Arial" w:eastAsia="Arial" w:hAnsi="Arial" w:cs="Arial"/>
          <w:color w:val="000000"/>
          <w:sz w:val="20"/>
        </w:rPr>
        <w:t xml:space="preserve">"To survive a motion to dismiss, a complaint must contain sufficient factual matter ... to state a claim to relief that is plausible on its face." </w:t>
      </w:r>
      <w:bookmarkStart w:id="3597" w:name="Bookmark_I5T3XBHJ28T4PB0030000400"/>
      <w:bookmarkEnd w:id="3597"/>
      <w:r>
        <w:rPr>
          <w:rFonts w:ascii="Arial" w:eastAsia="Arial" w:hAnsi="Arial" w:cs="Arial"/>
          <w:color w:val="000000"/>
          <w:sz w:val="20"/>
          <w:u w:val="single"/>
        </w:rPr>
        <w:t>Ashcroft v. Iqbal</w:t>
      </w:r>
      <w:r>
        <w:rPr>
          <w:rFonts w:ascii="Arial" w:eastAsia="Arial" w:hAnsi="Arial" w:cs="Arial"/>
          <w:color w:val="000000"/>
          <w:sz w:val="20"/>
        </w:rPr>
        <w:t xml:space="preserve"> 556 U.S. 662, 678, 129 S. Ct. 1937, 1949, 173 L. Ed. 2d 868 (2009) (quotation marks omitted). "Determining whether a complaint states a plausible claim for relief [is]... a context-specific task that requires the reviewing court to draw on its judicial experience and common sense." </w:t>
      </w:r>
      <w:bookmarkStart w:id="3598" w:name="Bookmark_I5T3XBHJ28T4PB0050000400"/>
      <w:bookmarkEnd w:id="3598"/>
      <w:r>
        <w:rPr>
          <w:rFonts w:ascii="Arial" w:eastAsia="Arial" w:hAnsi="Arial" w:cs="Arial"/>
          <w:color w:val="000000"/>
          <w:sz w:val="20"/>
          <w:u w:val="single"/>
        </w:rPr>
        <w:t>Id.</w:t>
      </w:r>
      <w:r>
        <w:rPr>
          <w:rFonts w:ascii="Arial" w:eastAsia="Arial" w:hAnsi="Arial" w:cs="Arial"/>
          <w:color w:val="000000"/>
          <w:sz w:val="20"/>
        </w:rPr>
        <w:t xml:space="preserve"> at 679, 129 S. Ct. at 1950.</w:t>
      </w:r>
    </w:p>
    <w:p w:rsidR="00E456CD" w:rsidRDefault="00000000">
      <w:pPr>
        <w:pStyle w:val="Normal18"/>
        <w:widowControl w:val="0"/>
        <w:spacing w:before="200" w:line="260" w:lineRule="atLeast"/>
        <w:jc w:val="both"/>
      </w:pPr>
      <w:bookmarkStart w:id="3599" w:name="Bookmark_para_8_17"/>
      <w:bookmarkEnd w:id="3599"/>
      <w:r>
        <w:rPr>
          <w:rFonts w:ascii="Arial" w:eastAsia="Arial" w:hAnsi="Arial" w:cs="Arial"/>
          <w:color w:val="000000"/>
          <w:sz w:val="20"/>
        </w:rPr>
        <w:t xml:space="preserve">Haynes contends that the district court erred in dismissing his third amended complaint. He argues that Dunkin' Donuts' "website is a service, facility, privilege, advantage, benefit and accommodation of Dunkin' Donuts' place of public accommodation (that is, its shops), which means that the ADA requires the website to [**3]  be accessible to blind people like himself. Dunkin' Donuts does not dispute that the shops are places of public accommodation, </w:t>
      </w:r>
      <w:r>
        <w:rPr>
          <w:rFonts w:ascii="Arial" w:eastAsia="Arial" w:hAnsi="Arial" w:cs="Arial"/>
          <w:color w:val="000000"/>
          <w:sz w:val="20"/>
          <w:u w:val="single"/>
        </w:rPr>
        <w:t>see</w:t>
      </w:r>
      <w:r>
        <w:rPr>
          <w:rFonts w:ascii="Arial" w:eastAsia="Arial" w:hAnsi="Arial" w:cs="Arial"/>
          <w:color w:val="000000"/>
          <w:sz w:val="20"/>
        </w:rPr>
        <w:t xml:space="preserve"> 42 U.S.C. § 12181(7)(B) (listing "a restaurant" as an example of a "place of public accommodation"), but argues that its website is neither a place of public accommodation nor a good, service, facility, privilege, or advantage of its shops, and as a result, it claims that Haynes has failed to state a claim because the website is not covered by the ADA.</w:t>
      </w:r>
      <w:r>
        <w:rPr>
          <w:rFonts w:ascii="Arial" w:eastAsia="Arial" w:hAnsi="Arial" w:cs="Arial"/>
          <w:vertAlign w:val="superscript"/>
        </w:rPr>
        <w:footnoteReference w:customMarkFollows="1" w:id="156"/>
        <w:t>2</w:t>
      </w:r>
    </w:p>
    <w:p w:rsidR="00E456CD" w:rsidRDefault="00000000">
      <w:pPr>
        <w:pStyle w:val="Normal18"/>
        <w:widowControl w:val="0"/>
        <w:spacing w:before="200" w:line="260" w:lineRule="atLeast"/>
        <w:jc w:val="both"/>
      </w:pPr>
      <w:bookmarkStart w:id="3603" w:name="Bookmark_para_9_17"/>
      <w:bookmarkStart w:id="3604" w:name="Bookmark_LNHNREFclscc3_14"/>
      <w:bookmarkEnd w:id="3603"/>
      <w:bookmarkEnd w:id="3604"/>
      <w:r>
        <w:rPr>
          <w:rFonts w:ascii="Arial" w:eastAsia="Arial" w:hAnsi="Arial" w:cs="Arial"/>
          <w:color w:val="000000"/>
          <w:sz w:val="20"/>
        </w:rPr>
        <w:t xml:space="preserve">The ADA prohibits discrimination "on the basis of disability in the full and equal enjoyment of the goods, services, facilities, privileges, advantages, or accommodations of any place of public accommodation by any person who . . . operates aplace of public accommodation." 42 U.S. C. § 12182(a). One example of discrimination prohibited by the ADA is when a place of  [*754]  public accommodation "fail[s] to take such steps as may be necessary to ensure that no individual with a disability is excluded, denied services, segregated or otherwise treated differently than other individuals because of the absence of auxiliary aids and services </w:t>
      </w:r>
      <w:r>
        <w:rPr>
          <w:rFonts w:ascii="Arial" w:eastAsia="Arial" w:hAnsi="Arial" w:cs="Arial"/>
          <w:color w:val="000000"/>
          <w:sz w:val="20"/>
          <w:u w:val="single"/>
        </w:rPr>
        <w:t>Id.</w:t>
      </w:r>
      <w:r>
        <w:rPr>
          <w:rFonts w:ascii="Arial" w:eastAsia="Arial" w:hAnsi="Arial" w:cs="Arial"/>
          <w:color w:val="000000"/>
          <w:sz w:val="20"/>
        </w:rPr>
        <w:t xml:space="preserve"> § 12182(b)(2)(A)(iii).</w:t>
      </w:r>
    </w:p>
    <w:p w:rsidR="00E456CD" w:rsidRDefault="00000000">
      <w:pPr>
        <w:pStyle w:val="Normal18"/>
        <w:widowControl w:val="0"/>
        <w:spacing w:before="200" w:line="260" w:lineRule="atLeast"/>
        <w:jc w:val="both"/>
      </w:pPr>
      <w:bookmarkStart w:id="3605" w:name="Bookmark_para_10_17"/>
      <w:bookmarkStart w:id="3606" w:name="Bookmark_I0JWJVYBSV30010D7P300117"/>
      <w:bookmarkStart w:id="3607" w:name="Bookmark_I5T3XBHJ28T4PC0050000400"/>
      <w:bookmarkStart w:id="3608" w:name="Bookmark_LNHNREFclscc4_14"/>
      <w:bookmarkEnd w:id="3605"/>
      <w:bookmarkEnd w:id="3606"/>
      <w:bookmarkEnd w:id="3607"/>
      <w:bookmarkEnd w:id="3608"/>
      <w:r>
        <w:rPr>
          <w:rFonts w:ascii="Arial" w:eastAsia="Arial" w:hAnsi="Arial" w:cs="Arial"/>
          <w:color w:val="000000"/>
          <w:sz w:val="20"/>
        </w:rPr>
        <w:t xml:space="preserve">The prohibition on discrimination is not limited to tangible barriers that disabled persons face but can extend [**4]  to intangible barriers as well. </w:t>
      </w:r>
      <w:bookmarkStart w:id="3609" w:name="Bookmark_I5T3XBHJ28T4PC0040000400"/>
      <w:bookmarkEnd w:id="3609"/>
      <w:r>
        <w:rPr>
          <w:rFonts w:ascii="Arial" w:eastAsia="Arial" w:hAnsi="Arial" w:cs="Arial"/>
          <w:color w:val="000000"/>
          <w:sz w:val="20"/>
          <w:u w:val="single"/>
        </w:rPr>
        <w:t>Rendon</w:t>
      </w:r>
      <w:r>
        <w:rPr>
          <w:rFonts w:ascii="Arial" w:eastAsia="Arial" w:hAnsi="Arial" w:cs="Arial"/>
          <w:color w:val="000000"/>
          <w:sz w:val="20"/>
        </w:rPr>
        <w:t xml:space="preserve">, 294 F.3d at 1283 ("A reading of the plain and unambiguous statutory language at issue reveals that the definition of discrimination provided in Title III [of the ADA] covers both tangible barriers . . . and intangible barriers . . . that restrict a disabled person's ability to enjoy the defendant entity's goods, services and privileges.") (footnotes omitted). </w:t>
      </w:r>
      <w:bookmarkStart w:id="3610" w:name="Bookmark_I5T3XBHJ2HM5R40020000400"/>
      <w:bookmarkEnd w:id="3610"/>
      <w:r>
        <w:rPr>
          <w:rFonts w:ascii="Arial" w:eastAsia="Arial" w:hAnsi="Arial" w:cs="Arial"/>
          <w:color w:val="000000"/>
          <w:sz w:val="20"/>
        </w:rPr>
        <w:t xml:space="preserve">In </w:t>
      </w:r>
      <w:r>
        <w:rPr>
          <w:rFonts w:ascii="Arial" w:eastAsia="Arial" w:hAnsi="Arial" w:cs="Arial"/>
          <w:color w:val="000000"/>
          <w:sz w:val="20"/>
          <w:u w:val="single"/>
        </w:rPr>
        <w:t>Rendon</w:t>
      </w:r>
      <w:r>
        <w:rPr>
          <w:rFonts w:ascii="Arial" w:eastAsia="Arial" w:hAnsi="Arial" w:cs="Arial"/>
          <w:color w:val="000000"/>
          <w:sz w:val="20"/>
        </w:rPr>
        <w:t xml:space="preserve">, the plaintiffs alleged that a telephone selection process screened out disabled contestants from competing on the show </w:t>
      </w:r>
      <w:r>
        <w:rPr>
          <w:rFonts w:ascii="Arial" w:eastAsia="Arial" w:hAnsi="Arial" w:cs="Arial"/>
          <w:color w:val="000000"/>
          <w:sz w:val="20"/>
          <w:u w:val="single"/>
        </w:rPr>
        <w:t>Who Wants to be a Millionaire</w:t>
      </w:r>
      <w:r>
        <w:rPr>
          <w:rFonts w:ascii="Arial" w:eastAsia="Arial" w:hAnsi="Arial" w:cs="Arial"/>
          <w:color w:val="000000"/>
          <w:sz w:val="20"/>
        </w:rPr>
        <w:t xml:space="preserve">. </w:t>
      </w:r>
      <w:r>
        <w:rPr>
          <w:rFonts w:ascii="Arial" w:eastAsia="Arial" w:hAnsi="Arial" w:cs="Arial"/>
          <w:color w:val="000000"/>
          <w:sz w:val="20"/>
          <w:u w:val="single"/>
        </w:rPr>
        <w:t>Id.</w:t>
      </w:r>
      <w:r>
        <w:rPr>
          <w:rFonts w:ascii="Arial" w:eastAsia="Arial" w:hAnsi="Arial" w:cs="Arial"/>
          <w:color w:val="000000"/>
          <w:sz w:val="20"/>
        </w:rPr>
        <w:t xml:space="preserve"> Even though the telephone selection process was an intangible barrier, and was not at the studio's place of public accommodation, we held that the plaintiffs stated a claim for relief under the ADA because the inaccessibility of the telephone selection process prevented the plaintiffs from accessing a privilege (the opportunity to be a contestant on the show) that was afforded by the television studio. </w:t>
      </w:r>
      <w:bookmarkStart w:id="3611" w:name="Bookmark_I5T3XBHJ2HM5R40020000400_2"/>
      <w:bookmarkStart w:id="3612" w:name="Bookmark_I5T3XBHJ2HM5R40010000400"/>
      <w:bookmarkEnd w:id="3611"/>
      <w:bookmarkEnd w:id="3612"/>
      <w:r>
        <w:rPr>
          <w:rFonts w:ascii="Arial" w:eastAsia="Arial" w:hAnsi="Arial" w:cs="Arial"/>
          <w:color w:val="000000"/>
          <w:sz w:val="20"/>
          <w:u w:val="single"/>
        </w:rPr>
        <w:t>Id.</w:t>
      </w:r>
      <w:r>
        <w:rPr>
          <w:rFonts w:ascii="Arial" w:eastAsia="Arial" w:hAnsi="Arial" w:cs="Arial"/>
          <w:color w:val="000000"/>
          <w:sz w:val="20"/>
        </w:rPr>
        <w:t xml:space="preserve"> at 1283,1286.</w:t>
      </w:r>
    </w:p>
    <w:p w:rsidR="00E456CD" w:rsidRDefault="00000000">
      <w:pPr>
        <w:pStyle w:val="Normal18"/>
        <w:widowControl w:val="0"/>
        <w:spacing w:before="200" w:line="260" w:lineRule="atLeast"/>
        <w:jc w:val="both"/>
      </w:pPr>
      <w:bookmarkStart w:id="3613" w:name="Bookmark_para_11_17"/>
      <w:bookmarkEnd w:id="3613"/>
      <w:r>
        <w:rPr>
          <w:rFonts w:ascii="Arial" w:eastAsia="Arial" w:hAnsi="Arial" w:cs="Arial"/>
          <w:color w:val="000000"/>
          <w:sz w:val="20"/>
        </w:rPr>
        <w:t>Haynes alleges that the inaccessibility of Dunkin' Donuts' website has similarly denied blind people the ability to enjoy the goods, services, privileges, and advantages of Dunkin' Donuts' shops. Among other things, he alleges that Dunkin' Donuts' website [**5]  allows customers to locate physical Dunkin' Donuts store locations and purchase gift cards online. Haynes also alleges that Dunkin' Donuts' website "provides access to" and "information about... the goods, services, facilities, privileges, advantages or accommodations of Dunkin' Donuts' shops. Because the website isn't compatible with screen reader software, Haynes alleges that neither he, nor any blind person, can use those features.</w:t>
      </w:r>
    </w:p>
    <w:p w:rsidR="00E456CD" w:rsidRDefault="00000000">
      <w:pPr>
        <w:pStyle w:val="Normal18"/>
        <w:widowControl w:val="0"/>
        <w:spacing w:before="200" w:line="260" w:lineRule="atLeast"/>
        <w:jc w:val="both"/>
      </w:pPr>
      <w:bookmarkStart w:id="3614" w:name="Bookmark_para_12_16"/>
      <w:bookmarkStart w:id="3615" w:name="Bookmark_I5T3XBHJ2HM5R40040000400"/>
      <w:bookmarkStart w:id="3616" w:name="Bookmark_I0JWJVYBYXY0010D7P300118"/>
      <w:bookmarkStart w:id="3617" w:name="Bookmark_I5T3XBHJ2HM5R50010000400"/>
      <w:bookmarkEnd w:id="3614"/>
      <w:bookmarkEnd w:id="3615"/>
      <w:bookmarkEnd w:id="3616"/>
      <w:bookmarkEnd w:id="3617"/>
      <w:r>
        <w:rPr>
          <w:rFonts w:ascii="Arial" w:eastAsia="Arial" w:hAnsi="Arial" w:cs="Arial"/>
          <w:color w:val="000000"/>
          <w:sz w:val="20"/>
        </w:rPr>
        <w:t xml:space="preserve">Taking all of those allegations in the complaint as true and viewing them in the light most favorable to Haynes, as we must at this stage, </w:t>
      </w:r>
      <w:r>
        <w:rPr>
          <w:rFonts w:ascii="Arial" w:eastAsia="Arial" w:hAnsi="Arial" w:cs="Arial"/>
          <w:color w:val="000000"/>
          <w:sz w:val="20"/>
          <w:u w:val="single"/>
        </w:rPr>
        <w:t xml:space="preserve">see </w:t>
      </w:r>
      <w:bookmarkStart w:id="3618" w:name="Bookmark_I5T3XBHJ2HM5R40030000400"/>
      <w:bookmarkEnd w:id="3618"/>
      <w:r>
        <w:rPr>
          <w:rFonts w:ascii="Arial" w:eastAsia="Arial" w:hAnsi="Arial" w:cs="Arial"/>
          <w:color w:val="000000"/>
          <w:sz w:val="20"/>
          <w:u w:val="single"/>
        </w:rPr>
        <w:t>id.</w:t>
      </w:r>
      <w:r>
        <w:rPr>
          <w:rFonts w:ascii="Arial" w:eastAsia="Arial" w:hAnsi="Arial" w:cs="Arial"/>
          <w:color w:val="000000"/>
          <w:sz w:val="20"/>
        </w:rPr>
        <w:t xml:space="preserve"> at 1281-82, he has shown a plausible claim for relief under the ADA. It appears that the website is a service that facilitates the use of Dunkin' Donuts' shops, which are places of public accommodation. And the ADA is clear that whatever goods and services Dunkin' Donuts offers as a part of its place of public accommodation, it cannot discriminate against people on the basis of a disability, even if those goods and services are intangible. </w:t>
      </w:r>
      <w:r>
        <w:rPr>
          <w:rFonts w:ascii="Arial" w:eastAsia="Arial" w:hAnsi="Arial" w:cs="Arial"/>
          <w:color w:val="000000"/>
          <w:sz w:val="20"/>
          <w:u w:val="single"/>
        </w:rPr>
        <w:t>See</w:t>
      </w:r>
      <w:r>
        <w:rPr>
          <w:rFonts w:ascii="Arial" w:eastAsia="Arial" w:hAnsi="Arial" w:cs="Arial"/>
          <w:color w:val="000000"/>
          <w:sz w:val="20"/>
        </w:rPr>
        <w:t xml:space="preserve"> 42 U.S.C. § 12182(a); </w:t>
      </w:r>
      <w:r>
        <w:rPr>
          <w:rFonts w:ascii="Arial" w:eastAsia="Arial" w:hAnsi="Arial" w:cs="Arial"/>
          <w:color w:val="000000"/>
          <w:sz w:val="20"/>
          <w:u w:val="single"/>
        </w:rPr>
        <w:t xml:space="preserve">see also </w:t>
      </w:r>
      <w:bookmarkStart w:id="3619" w:name="Bookmark_I5T3XBHJ2HM5R40050000400"/>
      <w:bookmarkEnd w:id="3619"/>
      <w:r>
        <w:rPr>
          <w:rFonts w:ascii="Arial" w:eastAsia="Arial" w:hAnsi="Arial" w:cs="Arial"/>
          <w:color w:val="000000"/>
          <w:sz w:val="20"/>
          <w:u w:val="single"/>
        </w:rPr>
        <w:t>Rendon</w:t>
      </w:r>
      <w:r>
        <w:rPr>
          <w:rFonts w:ascii="Arial" w:eastAsia="Arial" w:hAnsi="Arial" w:cs="Arial"/>
          <w:color w:val="000000"/>
          <w:sz w:val="20"/>
        </w:rPr>
        <w:t xml:space="preserve"> 294 F.3d at 1283. As much as the telephone selection process in </w:t>
      </w:r>
      <w:r>
        <w:rPr>
          <w:rFonts w:ascii="Arial" w:eastAsia="Arial" w:hAnsi="Arial" w:cs="Arial"/>
          <w:color w:val="000000"/>
          <w:sz w:val="20"/>
          <w:u w:val="single"/>
        </w:rPr>
        <w:t>Rendon</w:t>
      </w:r>
      <w:r>
        <w:rPr>
          <w:rFonts w:ascii="Arial" w:eastAsia="Arial" w:hAnsi="Arial" w:cs="Arial"/>
          <w:color w:val="000000"/>
          <w:sz w:val="20"/>
        </w:rPr>
        <w:t xml:space="preserve"> prevented the plaintiffs in that case from accessing a privilege of that defendant's physical place of public accommodation, [**6]  the alleged inaccessibility of Dunkin' Donuts' website denies Haynes access to the services of the shops that are available on Dunkin' Donuts' website, which includes the information about store locations and the ability to buy gift cards online. The failure to make those services accessible to the blind can be said to exclude, deny, or otherwise treat blind people "differently than other individuals because of the absence of auxiliary aids and services . . . ." 42 U.S.C. § 12182(b)(2)(A)(iii); </w:t>
      </w:r>
      <w:r>
        <w:rPr>
          <w:rFonts w:ascii="Arial" w:eastAsia="Arial" w:hAnsi="Arial" w:cs="Arial"/>
          <w:color w:val="000000"/>
          <w:sz w:val="20"/>
          <w:u w:val="single"/>
        </w:rPr>
        <w:t>see also</w:t>
      </w:r>
      <w:r>
        <w:rPr>
          <w:rFonts w:ascii="Arial" w:eastAsia="Arial" w:hAnsi="Arial" w:cs="Arial"/>
          <w:color w:val="000000"/>
          <w:sz w:val="20"/>
        </w:rPr>
        <w:t xml:space="preserve"> 28 C.F.R § 36.303(b)(2) (giving "screen reader software" as an example of an auxiliary aid or service for "individuals who are blind or have low vision"). And as a result, Haynes has alleged a plausible claim for relief under the ADA.</w:t>
      </w:r>
    </w:p>
    <w:p w:rsidR="00E456CD" w:rsidRDefault="00000000">
      <w:pPr>
        <w:pStyle w:val="Normal18"/>
        <w:widowControl w:val="0"/>
        <w:spacing w:before="200" w:line="260" w:lineRule="atLeast"/>
        <w:jc w:val="both"/>
      </w:pPr>
      <w:bookmarkStart w:id="3620" w:name="Bookmark_para_13_15"/>
      <w:bookmarkEnd w:id="3620"/>
      <w:r>
        <w:rPr>
          <w:rFonts w:ascii="Arial" w:eastAsia="Arial" w:hAnsi="Arial" w:cs="Arial"/>
          <w:b/>
          <w:color w:val="000000"/>
          <w:sz w:val="20"/>
        </w:rPr>
        <w:t>REVERSED AND REMANDED</w:t>
      </w:r>
      <w:r>
        <w:rPr>
          <w:rFonts w:ascii="Arial" w:eastAsia="Arial" w:hAnsi="Arial" w:cs="Arial"/>
          <w:color w:val="000000"/>
          <w:sz w:val="20"/>
        </w:rPr>
        <w:t>.</w:t>
      </w:r>
    </w:p>
    <w:p w:rsidR="00E456CD" w:rsidRDefault="00E456CD">
      <w:pPr>
        <w:pStyle w:val="Normal18"/>
      </w:pPr>
    </w:p>
    <w:p w:rsidR="00E456CD" w:rsidRDefault="00000000">
      <w:pPr>
        <w:pStyle w:val="Normal18"/>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69920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44980992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A7906" id="Line 42"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19"/>
        <w:sectPr w:rsidR="00E456CD">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gutter="0"/>
          <w:cols w:space="720"/>
          <w:titlePg/>
        </w:sectPr>
      </w:pPr>
    </w:p>
    <w:p w:rsidR="00E456CD" w:rsidRDefault="00E456CD">
      <w:pPr>
        <w:pStyle w:val="Normal19"/>
      </w:pPr>
    </w:p>
    <w:p w:rsidR="00E456CD" w:rsidRDefault="00000000">
      <w:pPr>
        <w:pStyle w:val="Heading118"/>
        <w:keepNext w:val="0"/>
        <w:widowControl w:val="0"/>
        <w:spacing w:after="200" w:line="340" w:lineRule="atLeast"/>
        <w:jc w:val="center"/>
      </w:pPr>
      <w:r>
        <w:rPr>
          <w:rFonts w:eastAsia="Arial"/>
          <w:color w:val="000000"/>
          <w:sz w:val="28"/>
        </w:rPr>
        <w:t>Hillesheim v. Myron's Cards &amp; Gifts, Inc.</w:t>
      </w:r>
    </w:p>
    <w:p w:rsidR="00E456CD" w:rsidRDefault="00000000">
      <w:pPr>
        <w:pStyle w:val="Normal19"/>
        <w:widowControl w:val="0"/>
        <w:spacing w:before="120" w:line="260" w:lineRule="atLeast"/>
        <w:jc w:val="center"/>
      </w:pPr>
      <w:r>
        <w:rPr>
          <w:rFonts w:ascii="Arial" w:eastAsia="Arial" w:hAnsi="Arial" w:cs="Arial"/>
          <w:color w:val="000000"/>
          <w:sz w:val="20"/>
        </w:rPr>
        <w:t>United States Court of Appeals for the Eighth Circuit</w:t>
      </w:r>
    </w:p>
    <w:p w:rsidR="00E456CD" w:rsidRDefault="00000000">
      <w:pPr>
        <w:pStyle w:val="Normal19"/>
        <w:widowControl w:val="0"/>
        <w:spacing w:before="120" w:line="260" w:lineRule="atLeast"/>
        <w:jc w:val="center"/>
      </w:pPr>
      <w:r>
        <w:rPr>
          <w:rFonts w:ascii="Arial" w:eastAsia="Arial" w:hAnsi="Arial" w:cs="Arial"/>
          <w:color w:val="000000"/>
          <w:sz w:val="20"/>
        </w:rPr>
        <w:t>May 16, 2018, Submitted; July 27, 2018, Filed</w:t>
      </w:r>
    </w:p>
    <w:p w:rsidR="00E456CD" w:rsidRDefault="00000000">
      <w:pPr>
        <w:pStyle w:val="Normal19"/>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17-1408</w:t>
      </w:r>
    </w:p>
    <w:p w:rsidR="00E456CD" w:rsidRDefault="00E456CD">
      <w:pPr>
        <w:pStyle w:val="Normal19"/>
        <w:widowControl w:val="0"/>
        <w:spacing w:line="240" w:lineRule="atLeast"/>
        <w:jc w:val="both"/>
      </w:pPr>
      <w:bookmarkStart w:id="3621" w:name="Bookmark_20"/>
      <w:bookmarkEnd w:id="3621"/>
    </w:p>
    <w:p w:rsidR="00E456CD" w:rsidRDefault="00000000">
      <w:pPr>
        <w:pStyle w:val="Normal19"/>
        <w:widowControl w:val="0"/>
        <w:spacing w:before="200" w:line="240" w:lineRule="atLeast"/>
      </w:pPr>
      <w:bookmarkStart w:id="3622" w:name="Reporter_18"/>
      <w:bookmarkEnd w:id="3622"/>
      <w:r>
        <w:rPr>
          <w:rFonts w:ascii="Arial" w:eastAsia="Arial" w:hAnsi="Arial" w:cs="Arial"/>
          <w:b/>
          <w:color w:val="000000"/>
          <w:sz w:val="18"/>
        </w:rPr>
        <w:t>Reporter</w:t>
      </w:r>
    </w:p>
    <w:p w:rsidR="00E456CD" w:rsidRDefault="00000000">
      <w:pPr>
        <w:pStyle w:val="Normal19"/>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897 F.3d 953 *; 2018 U.S. App. LEXIS 20884 **</w:t>
      </w:r>
    </w:p>
    <w:p w:rsidR="00E456CD" w:rsidRDefault="00000000">
      <w:pPr>
        <w:pStyle w:val="Normal19"/>
        <w:widowControl w:val="0"/>
        <w:spacing w:before="120" w:line="260" w:lineRule="atLeast"/>
      </w:pPr>
      <w:r>
        <w:rPr>
          <w:rFonts w:ascii="Arial" w:eastAsia="Arial" w:hAnsi="Arial" w:cs="Arial"/>
          <w:color w:val="000000"/>
          <w:sz w:val="20"/>
        </w:rPr>
        <w:t>Zach Hillesheim, Plaintiff - Appellant v. Myron's Cards and Gifts, Inc., Defendant - Appellee</w:t>
      </w:r>
    </w:p>
    <w:p w:rsidR="00E456CD" w:rsidRDefault="00000000">
      <w:pPr>
        <w:pStyle w:val="Normal19"/>
        <w:widowControl w:val="0"/>
        <w:spacing w:before="240" w:line="260" w:lineRule="atLeast"/>
        <w:jc w:val="both"/>
      </w:pPr>
      <w:bookmarkStart w:id="3623" w:name="Prior_History_18"/>
      <w:bookmarkEnd w:id="3623"/>
      <w:r>
        <w:rPr>
          <w:rFonts w:ascii="Arial" w:eastAsia="Arial" w:hAnsi="Arial" w:cs="Arial"/>
          <w:b/>
          <w:color w:val="000000"/>
          <w:sz w:val="20"/>
        </w:rPr>
        <w:t>Prior History:</w:t>
      </w:r>
      <w:r>
        <w:rPr>
          <w:rFonts w:ascii="Arial" w:eastAsia="Arial" w:hAnsi="Arial" w:cs="Arial"/>
          <w:color w:val="000000"/>
          <w:sz w:val="20"/>
        </w:rPr>
        <w:t> </w:t>
      </w:r>
      <w:bookmarkStart w:id="3624" w:name="Bookmark_para_1_18"/>
      <w:bookmarkEnd w:id="3624"/>
      <w:r>
        <w:rPr>
          <w:rFonts w:ascii="Arial" w:eastAsia="Arial" w:hAnsi="Arial" w:cs="Arial"/>
          <w:color w:val="000000"/>
          <w:sz w:val="20"/>
        </w:rPr>
        <w:t> [**1] Appeal from United States District Court for the District of Minnesota - Minneapolis.</w:t>
      </w:r>
    </w:p>
    <w:p w:rsidR="00E456CD" w:rsidRDefault="00000000">
      <w:pPr>
        <w:pStyle w:val="Normal19"/>
        <w:widowControl w:val="0"/>
        <w:spacing w:before="120" w:line="260" w:lineRule="atLeast"/>
      </w:pPr>
      <w:r>
        <w:rPr>
          <w:rFonts w:ascii="Arial" w:eastAsia="Arial" w:hAnsi="Arial" w:cs="Arial"/>
          <w:color w:val="000000"/>
          <w:sz w:val="20"/>
        </w:rPr>
        <w:t>Hillesheim v. Myron's Cards &amp; Gifts, Inc., 2017 U.S. Dist. LEXIS 11642 (D. Minn., Jan. 26, 2017)</w:t>
      </w:r>
    </w:p>
    <w:p w:rsidR="00E456CD" w:rsidRDefault="00000000">
      <w:pPr>
        <w:pStyle w:val="Normal19"/>
        <w:widowControl w:val="0"/>
        <w:spacing w:before="240" w:line="260" w:lineRule="atLeast"/>
      </w:pPr>
      <w:bookmarkStart w:id="3625" w:name="Counsel_18"/>
      <w:bookmarkEnd w:id="3625"/>
      <w:r>
        <w:rPr>
          <w:rFonts w:ascii="Arial" w:eastAsia="Arial" w:hAnsi="Arial" w:cs="Arial"/>
          <w:b/>
          <w:color w:val="000000"/>
          <w:sz w:val="20"/>
        </w:rPr>
        <w:t>Counsel:</w:t>
      </w:r>
      <w:r>
        <w:rPr>
          <w:rFonts w:ascii="Arial" w:eastAsia="Arial" w:hAnsi="Arial" w:cs="Arial"/>
          <w:color w:val="000000"/>
          <w:sz w:val="20"/>
        </w:rPr>
        <w:t> For Zach Hillesheim, Plaintiff - Appellant: Padraigin L. Browne, BROWNE LAW, LLC, Lake Elmo, MN.</w:t>
      </w:r>
    </w:p>
    <w:p w:rsidR="00E456CD" w:rsidRDefault="00000000">
      <w:pPr>
        <w:pStyle w:val="Normal19"/>
        <w:widowControl w:val="0"/>
        <w:spacing w:before="120" w:line="260" w:lineRule="atLeast"/>
      </w:pPr>
      <w:r>
        <w:rPr>
          <w:rFonts w:ascii="Arial" w:eastAsia="Arial" w:hAnsi="Arial" w:cs="Arial"/>
          <w:color w:val="000000"/>
          <w:sz w:val="20"/>
        </w:rPr>
        <w:t>For Myron's Cards and Gifts, Inc., Defendant - Appellee: Bradley Allen Kletscher, BARNA &amp; GUZY, Coon Rapids, MN.</w:t>
      </w:r>
    </w:p>
    <w:p w:rsidR="00E456CD" w:rsidRDefault="00000000">
      <w:pPr>
        <w:pStyle w:val="Normal19"/>
        <w:widowControl w:val="0"/>
        <w:spacing w:before="240" w:line="260" w:lineRule="atLeast"/>
      </w:pPr>
      <w:bookmarkStart w:id="3626" w:name="Judges_18"/>
      <w:bookmarkEnd w:id="3626"/>
      <w:r>
        <w:rPr>
          <w:rFonts w:ascii="Arial" w:eastAsia="Arial" w:hAnsi="Arial" w:cs="Arial"/>
          <w:b/>
          <w:color w:val="000000"/>
          <w:sz w:val="20"/>
        </w:rPr>
        <w:t>Judges:</w:t>
      </w:r>
      <w:r>
        <w:rPr>
          <w:rFonts w:ascii="Arial" w:eastAsia="Arial" w:hAnsi="Arial" w:cs="Arial"/>
          <w:color w:val="000000"/>
          <w:sz w:val="20"/>
        </w:rPr>
        <w:t> Before BENTON, KELLY, and STRAS, Circuit Judges.</w:t>
      </w:r>
    </w:p>
    <w:p w:rsidR="00E456CD" w:rsidRDefault="00000000">
      <w:pPr>
        <w:pStyle w:val="Normal19"/>
        <w:widowControl w:val="0"/>
        <w:spacing w:before="240" w:line="260" w:lineRule="atLeast"/>
      </w:pPr>
      <w:bookmarkStart w:id="3627" w:name="Opinion_by_13"/>
      <w:bookmarkEnd w:id="3627"/>
      <w:r>
        <w:rPr>
          <w:rFonts w:ascii="Arial" w:eastAsia="Arial" w:hAnsi="Arial" w:cs="Arial"/>
          <w:b/>
          <w:color w:val="000000"/>
          <w:sz w:val="20"/>
        </w:rPr>
        <w:t>Opinion by:</w:t>
      </w:r>
      <w:r>
        <w:rPr>
          <w:rFonts w:ascii="Arial" w:eastAsia="Arial" w:hAnsi="Arial" w:cs="Arial"/>
          <w:color w:val="000000"/>
          <w:sz w:val="20"/>
        </w:rPr>
        <w:t> BENTON</w:t>
      </w:r>
    </w:p>
    <w:p w:rsidR="00E456CD" w:rsidRDefault="00000000">
      <w:pPr>
        <w:pStyle w:val="Normal19"/>
        <w:keepNext/>
        <w:widowControl w:val="0"/>
        <w:spacing w:before="240" w:line="340" w:lineRule="atLeast"/>
      </w:pPr>
      <w:bookmarkStart w:id="3628" w:name="Opinion_18"/>
      <w:bookmarkEnd w:id="3628"/>
      <w:r>
        <w:rPr>
          <w:rFonts w:ascii="Arial" w:eastAsia="Arial" w:hAnsi="Arial" w:cs="Arial"/>
          <w:b/>
          <w:color w:val="000000"/>
          <w:sz w:val="28"/>
        </w:rPr>
        <w:t>Opinion</w:t>
      </w:r>
    </w:p>
    <w:p w:rsidR="00E456CD" w:rsidRDefault="00E22289">
      <w:pPr>
        <w:pStyle w:val="Normal19"/>
        <w:spacing w:line="60" w:lineRule="exact"/>
      </w:pPr>
      <w:r>
        <w:rPr>
          <w:noProof/>
        </w:rPr>
        <mc:AlternateContent>
          <mc:Choice Requires="wps">
            <w:drawing>
              <wp:anchor distT="0" distB="0" distL="114300" distR="114300" simplePos="0" relativeHeight="25170022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02725726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69731" id="Line 4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19"/>
      </w:pPr>
    </w:p>
    <w:p w:rsidR="00E456CD" w:rsidRDefault="00000000">
      <w:pPr>
        <w:pStyle w:val="Normal19"/>
        <w:widowControl w:val="0"/>
        <w:spacing w:before="200" w:line="260" w:lineRule="atLeast"/>
        <w:jc w:val="both"/>
      </w:pPr>
      <w:bookmarkStart w:id="3629" w:name="Bookmark_para_2_18"/>
      <w:bookmarkEnd w:id="3629"/>
      <w:r>
        <w:rPr>
          <w:rFonts w:ascii="Arial" w:eastAsia="Arial" w:hAnsi="Arial" w:cs="Arial"/>
          <w:color w:val="000000"/>
          <w:sz w:val="20"/>
        </w:rPr>
        <w:t> [*954]  BENTON, Circuit Judge.</w:t>
      </w:r>
    </w:p>
    <w:p w:rsidR="00E456CD" w:rsidRDefault="00000000">
      <w:pPr>
        <w:pStyle w:val="Normal19"/>
        <w:widowControl w:val="0"/>
        <w:spacing w:before="200" w:line="260" w:lineRule="atLeast"/>
        <w:jc w:val="both"/>
      </w:pPr>
      <w:bookmarkStart w:id="3630" w:name="Bookmark_para_3_18"/>
      <w:bookmarkStart w:id="3631" w:name="Bookmark_I5T32F3V2HM6CW0040000400"/>
      <w:bookmarkEnd w:id="3630"/>
      <w:bookmarkEnd w:id="3631"/>
      <w:r>
        <w:rPr>
          <w:rFonts w:ascii="Arial" w:eastAsia="Arial" w:hAnsi="Arial" w:cs="Arial"/>
          <w:color w:val="000000"/>
          <w:sz w:val="20"/>
        </w:rPr>
        <w:t>Zach Hillesheim sued Myron's Cards and Gifts, Inc., seeking declaratory and injunctive relief for alleged violations of the Americans with Disabilities Act (ADA), 42 U.S.C. §§ 12101-12213, and the Minnesota Human Rights Act, Minn. Stat. chapter 363A.</w:t>
      </w:r>
      <w:r>
        <w:rPr>
          <w:rFonts w:ascii="Arial" w:eastAsia="Arial" w:hAnsi="Arial" w:cs="Arial"/>
          <w:vertAlign w:val="superscript"/>
        </w:rPr>
        <w:footnoteReference w:customMarkFollows="1" w:id="157"/>
        <w:t>1</w:t>
      </w:r>
      <w:r>
        <w:rPr>
          <w:rFonts w:ascii="Arial" w:eastAsia="Arial" w:hAnsi="Arial" w:cs="Arial"/>
          <w:color w:val="000000"/>
          <w:sz w:val="20"/>
        </w:rPr>
        <w:t xml:space="preserve"> He also seeks state-law damages. Myron's moved to dismiss. </w:t>
      </w:r>
      <w:bookmarkStart w:id="3634" w:name="Bookmark_I5T32F3V2HM6CW0020000400"/>
      <w:bookmarkStart w:id="3635" w:name="Bookmark_I5T32F3V2HM6CW0040000400_2"/>
      <w:bookmarkEnd w:id="3634"/>
      <w:bookmarkEnd w:id="3635"/>
      <w:r>
        <w:rPr>
          <w:rFonts w:ascii="Arial" w:eastAsia="Arial" w:hAnsi="Arial" w:cs="Arial"/>
          <w:color w:val="000000"/>
          <w:sz w:val="20"/>
        </w:rPr>
        <w:t xml:space="preserve">Hillesheim did not respond to the motion, instead moving to amend his complaint. The district court ruled that amendment would be futile and dismissed the lawsuit. </w:t>
      </w:r>
      <w:bookmarkStart w:id="3636" w:name="Bookmark_I5T32F3V2HM6CW0010000400"/>
      <w:bookmarkEnd w:id="3636"/>
      <w:r>
        <w:rPr>
          <w:rFonts w:ascii="Arial" w:eastAsia="Arial" w:hAnsi="Arial" w:cs="Arial"/>
          <w:b/>
          <w:i/>
          <w:color w:val="000000"/>
          <w:sz w:val="20"/>
        </w:rPr>
        <w:t>Hillesheim v. Myron's Cards &amp; Gifts, Inc.</w:t>
      </w:r>
      <w:r>
        <w:rPr>
          <w:rFonts w:ascii="Arial" w:eastAsia="Arial" w:hAnsi="Arial" w:cs="Arial"/>
          <w:color w:val="000000"/>
          <w:sz w:val="20"/>
        </w:rPr>
        <w:t>, 2017 U.S. Dist. LEXIS 11642, 2017 WL 379408 (D. Minn. Jan. 26, 2017). Having jurisdiction under 28 U.S.C. § 1291, this court reverses and remands.</w:t>
      </w:r>
    </w:p>
    <w:p w:rsidR="00E456CD" w:rsidRDefault="00000000">
      <w:pPr>
        <w:pStyle w:val="Normal19"/>
        <w:widowControl w:val="0"/>
        <w:spacing w:before="120" w:line="260" w:lineRule="atLeast"/>
      </w:pPr>
      <w:r>
        <w:rPr>
          <w:rFonts w:ascii="Arial" w:eastAsia="Arial" w:hAnsi="Arial" w:cs="Arial"/>
          <w:color w:val="000000"/>
          <w:sz w:val="20"/>
        </w:rPr>
        <w:t>I.</w:t>
      </w:r>
    </w:p>
    <w:p w:rsidR="00E456CD" w:rsidRDefault="00000000">
      <w:pPr>
        <w:pStyle w:val="Normal19"/>
        <w:widowControl w:val="0"/>
        <w:spacing w:before="200" w:line="260" w:lineRule="atLeast"/>
        <w:jc w:val="both"/>
      </w:pPr>
      <w:bookmarkStart w:id="3637" w:name="Bookmark_para_4_18"/>
      <w:bookmarkEnd w:id="3637"/>
      <w:r>
        <w:rPr>
          <w:rFonts w:ascii="Arial" w:eastAsia="Arial" w:hAnsi="Arial" w:cs="Arial"/>
          <w:color w:val="000000"/>
          <w:sz w:val="20"/>
        </w:rPr>
        <w:t xml:space="preserve">Paralyzed from the waist down, Hillesheim uses a wheelchair. </w:t>
      </w:r>
      <w:bookmarkStart w:id="3638" w:name="Bookmark_I5T32F3V2N1RF10010000400"/>
      <w:bookmarkEnd w:id="3638"/>
      <w:r>
        <w:rPr>
          <w:rFonts w:ascii="Arial" w:eastAsia="Arial" w:hAnsi="Arial" w:cs="Arial"/>
          <w:color w:val="000000"/>
          <w:sz w:val="20"/>
        </w:rPr>
        <w:t xml:space="preserve">He alleged that in October 2016, he visited a store owned and operated by Myron's. He encountered "displays and excess merchandise" in boxes that obstructed the aisles in the store. This was, he concluded, discrimination under the ADA because the aisles had "a clear width of less [**2]  than 36 inches," violating the ADA Accessibility Guidelines (ADAAG)— [*955]  "a comprehensive set of structural guidelines that articulates detailed design requirements to accommodate persons with disabilities." </w:t>
      </w:r>
      <w:bookmarkStart w:id="3639" w:name="Bookmark_I5T32F3V2HM6CW0050000400"/>
      <w:bookmarkEnd w:id="3639"/>
      <w:r>
        <w:rPr>
          <w:rFonts w:ascii="Arial" w:eastAsia="Arial" w:hAnsi="Arial" w:cs="Arial"/>
          <w:b/>
          <w:i/>
          <w:color w:val="000000"/>
          <w:sz w:val="20"/>
        </w:rPr>
        <w:t>Davis v. Anthony, Inc.</w:t>
      </w:r>
      <w:r>
        <w:rPr>
          <w:rFonts w:ascii="Arial" w:eastAsia="Arial" w:hAnsi="Arial" w:cs="Arial"/>
          <w:color w:val="000000"/>
          <w:sz w:val="20"/>
        </w:rPr>
        <w:t xml:space="preserve">, 886 F.3d 674, 676 n.2 (8th Cir. 2018), </w:t>
      </w:r>
      <w:r>
        <w:rPr>
          <w:rFonts w:ascii="Arial" w:eastAsia="Arial" w:hAnsi="Arial" w:cs="Arial"/>
          <w:i/>
          <w:color w:val="000000"/>
          <w:sz w:val="20"/>
        </w:rPr>
        <w:t>quoting</w:t>
      </w:r>
      <w:r>
        <w:rPr>
          <w:rFonts w:ascii="Arial" w:eastAsia="Arial" w:hAnsi="Arial" w:cs="Arial"/>
          <w:color w:val="000000"/>
          <w:sz w:val="20"/>
        </w:rPr>
        <w:t xml:space="preserve"> </w:t>
      </w:r>
      <w:bookmarkStart w:id="3640" w:name="Bookmark_I5T32F3V2N1RF10020000400"/>
      <w:bookmarkEnd w:id="3640"/>
      <w:r>
        <w:rPr>
          <w:rFonts w:ascii="Arial" w:eastAsia="Arial" w:hAnsi="Arial" w:cs="Arial"/>
          <w:b/>
          <w:i/>
          <w:color w:val="000000"/>
          <w:sz w:val="20"/>
        </w:rPr>
        <w:t>Daubert v. Lindsay Unified Sch. Dist.</w:t>
      </w:r>
      <w:r>
        <w:rPr>
          <w:rFonts w:ascii="Arial" w:eastAsia="Arial" w:hAnsi="Arial" w:cs="Arial"/>
          <w:color w:val="000000"/>
          <w:sz w:val="20"/>
        </w:rPr>
        <w:t xml:space="preserve">, 760 F.3d 982, 986 (9th Cir. 2014); </w:t>
      </w:r>
      <w:r>
        <w:rPr>
          <w:rFonts w:ascii="Arial" w:eastAsia="Arial" w:hAnsi="Arial" w:cs="Arial"/>
          <w:i/>
          <w:color w:val="000000"/>
          <w:sz w:val="20"/>
        </w:rPr>
        <w:t>see also</w:t>
      </w:r>
      <w:r>
        <w:rPr>
          <w:rFonts w:ascii="Arial" w:eastAsia="Arial" w:hAnsi="Arial" w:cs="Arial"/>
          <w:color w:val="000000"/>
          <w:sz w:val="20"/>
        </w:rPr>
        <w:t xml:space="preserve"> </w:t>
      </w:r>
      <w:bookmarkStart w:id="3641" w:name="Bookmark_I5T32F3V2N1RF10010000400_2"/>
      <w:bookmarkEnd w:id="3641"/>
      <w:r>
        <w:rPr>
          <w:rFonts w:ascii="Arial" w:eastAsia="Arial" w:hAnsi="Arial" w:cs="Arial"/>
          <w:b/>
          <w:color w:val="000000"/>
          <w:sz w:val="20"/>
        </w:rPr>
        <w:t>36 C.F.R. pt. 1191, app. D, § 403.5.1</w:t>
      </w:r>
      <w:r>
        <w:rPr>
          <w:rFonts w:ascii="Arial" w:eastAsia="Arial" w:hAnsi="Arial" w:cs="Arial"/>
          <w:color w:val="000000"/>
          <w:sz w:val="20"/>
        </w:rPr>
        <w:t xml:space="preserve"> ("the clear width of walking surfaces shall be 36 inches (915 mm) minimum.").</w:t>
      </w:r>
    </w:p>
    <w:p w:rsidR="00E456CD" w:rsidRDefault="00000000">
      <w:pPr>
        <w:pStyle w:val="Normal19"/>
        <w:widowControl w:val="0"/>
        <w:spacing w:before="200" w:line="260" w:lineRule="atLeast"/>
        <w:jc w:val="both"/>
      </w:pPr>
      <w:bookmarkStart w:id="3642" w:name="Bookmark_para_5_18"/>
      <w:bookmarkEnd w:id="3642"/>
      <w:r>
        <w:rPr>
          <w:rFonts w:ascii="Arial" w:eastAsia="Arial" w:hAnsi="Arial" w:cs="Arial"/>
          <w:color w:val="000000"/>
          <w:sz w:val="20"/>
        </w:rPr>
        <w:t>Moving to dismiss, Myron's argued the displays and excess merchandise were only temporary or removable obstructions that do not violate the ADA. Hillesheim proposed an amended complaint, alleging he visited the store "approximately 15 times over the last four years. To the best of his recollection, the aisles were obstructed by displays and excess merchandise each of the times he visited." He again pled that "temporary displays and excess merchandise" caused the aisles to have a width less than 36 inches, violating the ADAAG. He also alleged "extra displays near the entrance of the store narrow[ed] the path of travel."</w:t>
      </w:r>
    </w:p>
    <w:p w:rsidR="00E456CD" w:rsidRDefault="00000000">
      <w:pPr>
        <w:pStyle w:val="Normal19"/>
        <w:widowControl w:val="0"/>
        <w:spacing w:before="200" w:line="260" w:lineRule="atLeast"/>
        <w:jc w:val="both"/>
      </w:pPr>
      <w:bookmarkStart w:id="3643" w:name="Bookmark_para_6_18"/>
      <w:bookmarkStart w:id="3644" w:name="Bookmark_I5T32F3V2N1RF10050000400"/>
      <w:bookmarkEnd w:id="3643"/>
      <w:bookmarkEnd w:id="3644"/>
      <w:r>
        <w:rPr>
          <w:rFonts w:ascii="Arial" w:eastAsia="Arial" w:hAnsi="Arial" w:cs="Arial"/>
          <w:color w:val="000000"/>
          <w:sz w:val="20"/>
        </w:rPr>
        <w:t xml:space="preserve">Myron's countered that amendment was futile because, like the original, the proposed complaint alleged that Hillesheim encountered only temporary or removable obstructions that (according to Myron's) do not violate the ADA. The district court agreed: "temporary objects like [**3]  excess merchandise blocking a store's aisles is not an ADA violation." </w:t>
      </w:r>
      <w:bookmarkStart w:id="3645" w:name="Bookmark_I5T32F3V2N1RF10040000400"/>
      <w:bookmarkEnd w:id="3645"/>
      <w:r>
        <w:rPr>
          <w:rFonts w:ascii="Arial" w:eastAsia="Arial" w:hAnsi="Arial" w:cs="Arial"/>
          <w:b/>
          <w:i/>
          <w:color w:val="000000"/>
          <w:sz w:val="20"/>
        </w:rPr>
        <w:t>Hillesheim</w:t>
      </w:r>
      <w:r>
        <w:rPr>
          <w:rFonts w:ascii="Arial" w:eastAsia="Arial" w:hAnsi="Arial" w:cs="Arial"/>
          <w:color w:val="000000"/>
          <w:sz w:val="20"/>
        </w:rPr>
        <w:t xml:space="preserve">, 2017 U.S. Dist. LEXIS 11642, 2017 WL 379408, at *2. It also concluded that Hillesheim's allegation that he encountered the barriers "approximately 15 times over the last four years" was inconsequential: "Encountering temporary obstructions more often does not change the fact that temporary obstructions do not violate the ADA." </w:t>
      </w:r>
      <w:r>
        <w:rPr>
          <w:rFonts w:ascii="Arial" w:eastAsia="Arial" w:hAnsi="Arial" w:cs="Arial"/>
          <w:b/>
          <w:i/>
          <w:color w:val="000000"/>
          <w:sz w:val="20"/>
        </w:rPr>
        <w:t>Id.</w:t>
      </w:r>
    </w:p>
    <w:p w:rsidR="00E456CD" w:rsidRDefault="00000000">
      <w:pPr>
        <w:pStyle w:val="Normal19"/>
        <w:widowControl w:val="0"/>
        <w:spacing w:before="120" w:line="260" w:lineRule="atLeast"/>
      </w:pPr>
      <w:r>
        <w:rPr>
          <w:rFonts w:ascii="Arial" w:eastAsia="Arial" w:hAnsi="Arial" w:cs="Arial"/>
          <w:color w:val="000000"/>
          <w:sz w:val="20"/>
        </w:rPr>
        <w:t>II.</w:t>
      </w:r>
    </w:p>
    <w:p w:rsidR="00E456CD" w:rsidRDefault="00000000">
      <w:pPr>
        <w:pStyle w:val="Normal19"/>
        <w:widowControl w:val="0"/>
        <w:spacing w:before="200" w:line="260" w:lineRule="atLeast"/>
        <w:jc w:val="both"/>
      </w:pPr>
      <w:bookmarkStart w:id="3646" w:name="Bookmark_para_7_18"/>
      <w:bookmarkStart w:id="3647" w:name="Bookmark_I5T32F3V2HM6CX0020000400"/>
      <w:bookmarkStart w:id="3648" w:name="Bookmark_I5T32F3V2SF8D00010000400"/>
      <w:bookmarkStart w:id="3649" w:name="Bookmark_I3WXXXVJBP700079WNN0018R"/>
      <w:bookmarkStart w:id="3650" w:name="Bookmark_I5T32F3V2SF8D00030000400"/>
      <w:bookmarkStart w:id="3651" w:name="Bookmark_LNHNREFclscc1_16"/>
      <w:bookmarkEnd w:id="3646"/>
      <w:bookmarkEnd w:id="3647"/>
      <w:bookmarkEnd w:id="3648"/>
      <w:bookmarkEnd w:id="3649"/>
      <w:bookmarkEnd w:id="3650"/>
      <w:bookmarkEnd w:id="3651"/>
      <w:r>
        <w:rPr>
          <w:rFonts w:ascii="Arial" w:eastAsia="Arial" w:hAnsi="Arial" w:cs="Arial"/>
          <w:color w:val="000000"/>
          <w:sz w:val="20"/>
        </w:rPr>
        <w:t xml:space="preserve">"[D]enial of leave to amend pleadings is appropriate only in those limited circumstances in which undue delay, bad faith on the part of the moving party, futility of the amendment, or unfair prejudice to the non-moving party can be demonstrated." </w:t>
      </w:r>
      <w:bookmarkStart w:id="3652" w:name="Bookmark_I5T32F3V2HM6CX0010000400"/>
      <w:bookmarkEnd w:id="3652"/>
      <w:r>
        <w:rPr>
          <w:rFonts w:ascii="Arial" w:eastAsia="Arial" w:hAnsi="Arial" w:cs="Arial"/>
          <w:b/>
          <w:i/>
          <w:color w:val="000000"/>
          <w:sz w:val="20"/>
        </w:rPr>
        <w:t>Roberson v. Hayti Police Dep't</w:t>
      </w:r>
      <w:r>
        <w:rPr>
          <w:rFonts w:ascii="Arial" w:eastAsia="Arial" w:hAnsi="Arial" w:cs="Arial"/>
          <w:color w:val="000000"/>
          <w:sz w:val="20"/>
        </w:rPr>
        <w:t xml:space="preserve">, 241 F.3d 992, 995 (8th Cir. 2001), </w:t>
      </w:r>
      <w:r>
        <w:rPr>
          <w:rFonts w:ascii="Arial" w:eastAsia="Arial" w:hAnsi="Arial" w:cs="Arial"/>
          <w:i/>
          <w:color w:val="000000"/>
          <w:sz w:val="20"/>
        </w:rPr>
        <w:t xml:space="preserve">citing </w:t>
      </w:r>
      <w:bookmarkStart w:id="3653" w:name="Bookmark_I5T32F3V2HM6CX0030000400"/>
      <w:bookmarkEnd w:id="3653"/>
      <w:r>
        <w:rPr>
          <w:rFonts w:ascii="Arial" w:eastAsia="Arial" w:hAnsi="Arial" w:cs="Arial"/>
          <w:b/>
          <w:i/>
          <w:color w:val="000000"/>
          <w:sz w:val="20"/>
        </w:rPr>
        <w:t>Foman v. Davis</w:t>
      </w:r>
      <w:r>
        <w:rPr>
          <w:rFonts w:ascii="Arial" w:eastAsia="Arial" w:hAnsi="Arial" w:cs="Arial"/>
          <w:color w:val="000000"/>
          <w:sz w:val="20"/>
        </w:rPr>
        <w:t xml:space="preserve">, 371 U.S. 178, 182, 83 S. Ct. 227, 9 L. Ed. 2d 222 (1962). </w:t>
      </w:r>
      <w:bookmarkStart w:id="3654" w:name="Bookmark_I5T32F3V2SF8D00050000400"/>
      <w:bookmarkEnd w:id="3654"/>
      <w:r>
        <w:rPr>
          <w:rFonts w:ascii="Arial" w:eastAsia="Arial" w:hAnsi="Arial" w:cs="Arial"/>
          <w:color w:val="000000"/>
          <w:sz w:val="20"/>
        </w:rPr>
        <w:t xml:space="preserve">"A district court's denial of leave to amend a complaint may be justified if the amendment would be futile." </w:t>
      </w:r>
      <w:bookmarkStart w:id="3655" w:name="Bookmark_I5T32F3V2HM6CX0050000400"/>
      <w:bookmarkEnd w:id="3655"/>
      <w:r>
        <w:rPr>
          <w:rFonts w:ascii="Arial" w:eastAsia="Arial" w:hAnsi="Arial" w:cs="Arial"/>
          <w:b/>
          <w:i/>
          <w:color w:val="000000"/>
          <w:sz w:val="20"/>
        </w:rPr>
        <w:t>Geier v. Missouri Ethics Comm'n</w:t>
      </w:r>
      <w:r>
        <w:rPr>
          <w:rFonts w:ascii="Arial" w:eastAsia="Arial" w:hAnsi="Arial" w:cs="Arial"/>
          <w:color w:val="000000"/>
          <w:sz w:val="20"/>
        </w:rPr>
        <w:t xml:space="preserve">, 715 F.3d 674, 678 (8th Cir. 2013). </w:t>
      </w:r>
      <w:bookmarkStart w:id="3656" w:name="Bookmark_I5T32F3W28T43G0040000400"/>
      <w:bookmarkEnd w:id="3656"/>
      <w:r>
        <w:rPr>
          <w:rFonts w:ascii="Arial" w:eastAsia="Arial" w:hAnsi="Arial" w:cs="Arial"/>
          <w:color w:val="000000"/>
          <w:sz w:val="20"/>
        </w:rPr>
        <w:t xml:space="preserve">An amendment is futile if the amended claim "could not withstand a motion to dismiss under Rule 12(b)(6)." </w:t>
      </w:r>
      <w:bookmarkStart w:id="3657" w:name="Bookmark_I5T32F3V2SF8D00020000400"/>
      <w:bookmarkEnd w:id="3657"/>
      <w:r>
        <w:rPr>
          <w:rFonts w:ascii="Arial" w:eastAsia="Arial" w:hAnsi="Arial" w:cs="Arial"/>
          <w:b/>
          <w:i/>
          <w:color w:val="000000"/>
          <w:sz w:val="20"/>
        </w:rPr>
        <w:t>Silva v. Metropolitan Life Ins. Co.</w:t>
      </w:r>
      <w:r>
        <w:rPr>
          <w:rFonts w:ascii="Arial" w:eastAsia="Arial" w:hAnsi="Arial" w:cs="Arial"/>
          <w:color w:val="000000"/>
          <w:sz w:val="20"/>
        </w:rPr>
        <w:t xml:space="preserve">, 762 F.3d 711, 719 (8th Cir. 2014) (citation omitted). </w:t>
      </w:r>
      <w:bookmarkStart w:id="3658" w:name="Bookmark_I5T32F3W28T43G0040000400_2"/>
      <w:bookmarkStart w:id="3659" w:name="Bookmark_I5T32F3V2SF8D00050000400_2"/>
      <w:bookmarkEnd w:id="3658"/>
      <w:bookmarkEnd w:id="3659"/>
      <w:r>
        <w:rPr>
          <w:rFonts w:ascii="Arial" w:eastAsia="Arial" w:hAnsi="Arial" w:cs="Arial"/>
          <w:color w:val="000000"/>
          <w:sz w:val="20"/>
        </w:rPr>
        <w:t xml:space="preserve">"To survive a motion to dismiss for failure to state a claim, the complaint must show the plaintiff 'is entitled to relief,' Fed. R. Civ. P. 8(a)(2), by alleging 'sufficient factual matter, accepted as true, to state a claim to relief that is plausible on its face.'" </w:t>
      </w:r>
      <w:bookmarkStart w:id="3660" w:name="Bookmark_I5T32F3V2SF8D00040000400"/>
      <w:bookmarkEnd w:id="3660"/>
      <w:r>
        <w:rPr>
          <w:rFonts w:ascii="Arial" w:eastAsia="Arial" w:hAnsi="Arial" w:cs="Arial"/>
          <w:b/>
          <w:i/>
          <w:color w:val="000000"/>
          <w:sz w:val="20"/>
        </w:rPr>
        <w:t>In re Pre-Filled Propane Tank Antitrust Litig.</w:t>
      </w:r>
      <w:r>
        <w:rPr>
          <w:rFonts w:ascii="Arial" w:eastAsia="Arial" w:hAnsi="Arial" w:cs="Arial"/>
          <w:color w:val="000000"/>
          <w:sz w:val="20"/>
        </w:rPr>
        <w:t xml:space="preserve">, 860 F.3d 1059, 1063 (8th Cir. 2017) (en banc), </w:t>
      </w:r>
      <w:r>
        <w:rPr>
          <w:rFonts w:ascii="Arial" w:eastAsia="Arial" w:hAnsi="Arial" w:cs="Arial"/>
          <w:i/>
          <w:color w:val="000000"/>
          <w:sz w:val="20"/>
        </w:rPr>
        <w:t xml:space="preserve">quoting </w:t>
      </w:r>
      <w:bookmarkStart w:id="3661" w:name="Bookmark_I5T32F3W28T43G0010000400"/>
      <w:bookmarkEnd w:id="3661"/>
      <w:r>
        <w:rPr>
          <w:rFonts w:ascii="Arial" w:eastAsia="Arial" w:hAnsi="Arial" w:cs="Arial"/>
          <w:b/>
          <w:i/>
          <w:color w:val="000000"/>
          <w:sz w:val="20"/>
        </w:rPr>
        <w:t>Ashcroft v. Iqbal</w:t>
      </w:r>
      <w:r>
        <w:rPr>
          <w:rFonts w:ascii="Arial" w:eastAsia="Arial" w:hAnsi="Arial" w:cs="Arial"/>
          <w:color w:val="000000"/>
          <w:sz w:val="20"/>
        </w:rPr>
        <w:t xml:space="preserve">, 556 U.S. 662, 678, 129 S. Ct. 1937, 173 L. Ed. 2d 868 (2009). This court reviews "the district court's denial of the motion [**4]  to amend a complaint for an abuse of discretion and issues regarding an amendment's futility de novo." </w:t>
      </w:r>
      <w:bookmarkStart w:id="3662" w:name="Bookmark_I5T32F3W28T43G0030000400"/>
      <w:bookmarkEnd w:id="3662"/>
      <w:r>
        <w:rPr>
          <w:rFonts w:ascii="Arial" w:eastAsia="Arial" w:hAnsi="Arial" w:cs="Arial"/>
          <w:b/>
          <w:i/>
          <w:color w:val="000000"/>
          <w:sz w:val="20"/>
        </w:rPr>
        <w:t>Geier</w:t>
      </w:r>
      <w:r>
        <w:rPr>
          <w:rFonts w:ascii="Arial" w:eastAsia="Arial" w:hAnsi="Arial" w:cs="Arial"/>
          <w:color w:val="000000"/>
          <w:sz w:val="20"/>
        </w:rPr>
        <w:t>, 715 F.3d at 677.</w:t>
      </w:r>
    </w:p>
    <w:p w:rsidR="00E456CD" w:rsidRDefault="00000000">
      <w:pPr>
        <w:pStyle w:val="Normal19"/>
        <w:widowControl w:val="0"/>
        <w:spacing w:before="200" w:line="260" w:lineRule="atLeast"/>
        <w:jc w:val="both"/>
      </w:pPr>
      <w:bookmarkStart w:id="3663" w:name="Bookmark_para_8_18"/>
      <w:bookmarkStart w:id="3664" w:name="Bookmark_I5T32F3W2N1RF20010000400"/>
      <w:bookmarkEnd w:id="3663"/>
      <w:bookmarkEnd w:id="3664"/>
      <w:r>
        <w:rPr>
          <w:rFonts w:ascii="Arial" w:eastAsia="Arial" w:hAnsi="Arial" w:cs="Arial"/>
          <w:color w:val="000000"/>
          <w:sz w:val="20"/>
        </w:rPr>
        <w:t xml:space="preserve">Hillesheim argues that amendment is not futile because some temporary obstructions to store's aisles are ADA discrimination. </w:t>
      </w:r>
      <w:bookmarkStart w:id="3665" w:name="Bookmark_I3WXXXVJNM700079WNN0018T"/>
      <w:bookmarkStart w:id="3666" w:name="Bookmark_I5T32F3W2N1RF20030000400"/>
      <w:bookmarkStart w:id="3667" w:name="Bookmark_LNHNREFclscc2_16"/>
      <w:bookmarkEnd w:id="3665"/>
      <w:bookmarkEnd w:id="3666"/>
      <w:bookmarkEnd w:id="3667"/>
      <w:r>
        <w:rPr>
          <w:rFonts w:ascii="Arial" w:eastAsia="Arial" w:hAnsi="Arial" w:cs="Arial"/>
          <w:color w:val="000000"/>
          <w:sz w:val="20"/>
        </w:rPr>
        <w:t xml:space="preserve">"Title III of the ADA prohibits discrimination against the disabled in the full and equal enjoyment of public accommodations." </w:t>
      </w:r>
      <w:bookmarkStart w:id="3668" w:name="Bookmark_I5T32F3W28T43G0050000400"/>
      <w:bookmarkEnd w:id="3668"/>
      <w:r>
        <w:rPr>
          <w:rFonts w:ascii="Arial" w:eastAsia="Arial" w:hAnsi="Arial" w:cs="Arial"/>
          <w:b/>
          <w:i/>
          <w:color w:val="000000"/>
          <w:sz w:val="20"/>
        </w:rPr>
        <w:t>Spector v. Norwegian Cruise Line Ltd.</w:t>
      </w:r>
      <w:r>
        <w:rPr>
          <w:rFonts w:ascii="Arial" w:eastAsia="Arial" w:hAnsi="Arial" w:cs="Arial"/>
          <w:color w:val="000000"/>
          <w:sz w:val="20"/>
        </w:rPr>
        <w:t xml:space="preserve">, 545 U.S. 119, 128, 125 S. Ct. 2169, 162 L. Ed. 2d 97 (2005), </w:t>
      </w:r>
      <w:r>
        <w:rPr>
          <w:rFonts w:ascii="Arial" w:eastAsia="Arial" w:hAnsi="Arial" w:cs="Arial"/>
          <w:i/>
          <w:color w:val="000000"/>
          <w:sz w:val="20"/>
        </w:rPr>
        <w:t>citing</w:t>
      </w:r>
      <w:r>
        <w:rPr>
          <w:rFonts w:ascii="Arial" w:eastAsia="Arial" w:hAnsi="Arial" w:cs="Arial"/>
          <w:color w:val="000000"/>
          <w:sz w:val="20"/>
        </w:rPr>
        <w:t xml:space="preserve"> </w:t>
      </w:r>
      <w:r>
        <w:rPr>
          <w:rFonts w:ascii="Arial" w:eastAsia="Arial" w:hAnsi="Arial" w:cs="Arial"/>
          <w:b/>
          <w:color w:val="000000"/>
          <w:sz w:val="20"/>
        </w:rPr>
        <w:t>42 U.S.C. § 12182(a)</w:t>
      </w:r>
      <w:r>
        <w:rPr>
          <w:rFonts w:ascii="Arial" w:eastAsia="Arial" w:hAnsi="Arial" w:cs="Arial"/>
          <w:color w:val="000000"/>
          <w:sz w:val="20"/>
        </w:rPr>
        <w:t xml:space="preserve"> ("No individual shall be discriminated against on the basis of disability in the full and equal enjoyment of the goods, services, facilities, privileges, advantages, or accommodations of any  [*956]  place of public accommodation by any person who owns, leases (or leases to), or operates a place of public accommodation."). </w:t>
      </w:r>
      <w:bookmarkStart w:id="3669" w:name="Bookmark_I5T32F3W2N1RF20030000400_2"/>
      <w:bookmarkEnd w:id="3669"/>
      <w:r>
        <w:rPr>
          <w:rFonts w:ascii="Arial" w:eastAsia="Arial" w:hAnsi="Arial" w:cs="Arial"/>
          <w:color w:val="000000"/>
          <w:sz w:val="20"/>
        </w:rPr>
        <w:t xml:space="preserve">An ADA discrimination claim "requires that a plaintiff establish that (1) he or she is disabled within the meaning of the ADA; (2) that the defendants own, lease, or operate a place of public accommodation; and (3) that the defendants discriminated against the plaintiff within the meaning of the ADA." </w:t>
      </w:r>
      <w:bookmarkStart w:id="3670" w:name="Bookmark_I5T32F3W2N1RF20020000400"/>
      <w:bookmarkEnd w:id="3670"/>
      <w:r>
        <w:rPr>
          <w:rFonts w:ascii="Arial" w:eastAsia="Arial" w:hAnsi="Arial" w:cs="Arial"/>
          <w:b/>
          <w:i/>
          <w:color w:val="000000"/>
          <w:sz w:val="20"/>
        </w:rPr>
        <w:t>Roberts v. Royal Atl. Corp.</w:t>
      </w:r>
      <w:r>
        <w:rPr>
          <w:rFonts w:ascii="Arial" w:eastAsia="Arial" w:hAnsi="Arial" w:cs="Arial"/>
          <w:color w:val="000000"/>
          <w:sz w:val="20"/>
        </w:rPr>
        <w:t>, 542 F.3d 363, 368 (2d Cir. 2008). Only the third element is at issue here.</w:t>
      </w:r>
    </w:p>
    <w:p w:rsidR="00E456CD" w:rsidRDefault="00000000">
      <w:pPr>
        <w:pStyle w:val="Normal19"/>
        <w:widowControl w:val="0"/>
        <w:spacing w:before="200" w:line="260" w:lineRule="atLeast"/>
        <w:jc w:val="both"/>
      </w:pPr>
      <w:bookmarkStart w:id="3671" w:name="Bookmark_para_9_18"/>
      <w:bookmarkStart w:id="3672" w:name="Bookmark_LNHNREFclscc3_15"/>
      <w:bookmarkEnd w:id="3671"/>
      <w:bookmarkEnd w:id="3672"/>
      <w:r>
        <w:rPr>
          <w:rFonts w:ascii="Arial" w:eastAsia="Arial" w:hAnsi="Arial" w:cs="Arial"/>
          <w:color w:val="000000"/>
          <w:sz w:val="20"/>
        </w:rPr>
        <w:t xml:space="preserve">One form of ADA discrimination occurs when a public accommodation is not "readily accessible to and usable by individuals with disabilities." </w:t>
      </w:r>
      <w:r>
        <w:rPr>
          <w:rFonts w:ascii="Arial" w:eastAsia="Arial" w:hAnsi="Arial" w:cs="Arial"/>
          <w:b/>
          <w:color w:val="000000"/>
          <w:sz w:val="20"/>
        </w:rPr>
        <w:t>42 U.S.C. § 12183(a)(1)</w:t>
      </w:r>
      <w:r>
        <w:rPr>
          <w:rFonts w:ascii="Arial" w:eastAsia="Arial" w:hAnsi="Arial" w:cs="Arial"/>
          <w:color w:val="000000"/>
          <w:sz w:val="20"/>
        </w:rPr>
        <w:t xml:space="preserve">. "A public accommodation shall [**5]  maintain in operable working condition those features of facilities and equipment that are required to be readily accessible to and usable by persons with disabilities by the Act or this part." </w:t>
      </w:r>
      <w:r>
        <w:rPr>
          <w:rFonts w:ascii="Arial" w:eastAsia="Arial" w:hAnsi="Arial" w:cs="Arial"/>
          <w:b/>
          <w:color w:val="000000"/>
          <w:sz w:val="20"/>
        </w:rPr>
        <w:t>28 C.F.R. § 36.211(a)</w:t>
      </w:r>
      <w:r>
        <w:rPr>
          <w:rFonts w:ascii="Arial" w:eastAsia="Arial" w:hAnsi="Arial" w:cs="Arial"/>
          <w:color w:val="000000"/>
          <w:sz w:val="20"/>
        </w:rPr>
        <w:t>.</w:t>
      </w:r>
    </w:p>
    <w:p w:rsidR="00E456CD" w:rsidRDefault="00000000">
      <w:pPr>
        <w:pStyle w:val="Normal19"/>
        <w:widowControl w:val="0"/>
        <w:spacing w:before="200" w:line="260" w:lineRule="atLeast"/>
        <w:jc w:val="both"/>
      </w:pPr>
      <w:bookmarkStart w:id="3673" w:name="Bookmark_para_10_18"/>
      <w:bookmarkStart w:id="3674" w:name="Bookmark_I5T32F3W2N1RF20050000400"/>
      <w:bookmarkStart w:id="3675" w:name="Bookmark_LNHNREFclscc4_15"/>
      <w:bookmarkEnd w:id="3673"/>
      <w:bookmarkEnd w:id="3674"/>
      <w:bookmarkEnd w:id="3675"/>
      <w:r>
        <w:rPr>
          <w:rFonts w:ascii="Arial" w:eastAsia="Arial" w:hAnsi="Arial" w:cs="Arial"/>
          <w:color w:val="000000"/>
          <w:sz w:val="20"/>
        </w:rPr>
        <w:t xml:space="preserve">That regulation, however, "does not prohibit isolated or temporary interruptions in service or access due to maintenance or repairs." </w:t>
      </w:r>
      <w:r>
        <w:rPr>
          <w:rFonts w:ascii="Arial" w:eastAsia="Arial" w:hAnsi="Arial" w:cs="Arial"/>
          <w:b/>
          <w:color w:val="000000"/>
          <w:sz w:val="20"/>
        </w:rPr>
        <w:t>28 C.F.R. § 36.211(b)</w:t>
      </w:r>
      <w:r>
        <w:rPr>
          <w:rFonts w:ascii="Arial" w:eastAsia="Arial" w:hAnsi="Arial" w:cs="Arial"/>
          <w:color w:val="000000"/>
          <w:sz w:val="20"/>
        </w:rPr>
        <w:t xml:space="preserve">. In addition to maintenance and repairs, section 36.211(b) permits "a temporary interruption that blocks an accessible route, such as restocking of shelves." </w:t>
      </w:r>
      <w:bookmarkStart w:id="3676" w:name="Bookmark_I5T32F3W2N1RF20040000400"/>
      <w:bookmarkEnd w:id="3676"/>
      <w:r>
        <w:rPr>
          <w:rFonts w:ascii="Arial" w:eastAsia="Arial" w:hAnsi="Arial" w:cs="Arial"/>
          <w:b/>
          <w:color w:val="000000"/>
          <w:sz w:val="20"/>
        </w:rPr>
        <w:t>Nondiscrimination on the Basis of Disability by Public Accommodations and in Commercial Facilities</w:t>
      </w:r>
      <w:r>
        <w:rPr>
          <w:rFonts w:ascii="Arial" w:eastAsia="Arial" w:hAnsi="Arial" w:cs="Arial"/>
          <w:color w:val="000000"/>
          <w:sz w:val="20"/>
        </w:rPr>
        <w:t>, 75 Fed. Reg. 56,236, 56,270 (Sept. 15, 2010). Specifically:</w:t>
      </w:r>
    </w:p>
    <w:p w:rsidR="00E456CD" w:rsidRDefault="00000000">
      <w:pPr>
        <w:pStyle w:val="Normal19"/>
        <w:widowControl w:val="0"/>
        <w:spacing w:line="260" w:lineRule="atLeast"/>
        <w:ind w:left="400"/>
        <w:jc w:val="both"/>
      </w:pPr>
      <w:bookmarkStart w:id="3677" w:name="Bookmark_para_11_18"/>
      <w:bookmarkEnd w:id="3677"/>
      <w:r>
        <w:rPr>
          <w:rFonts w:ascii="Arial" w:eastAsia="Arial" w:hAnsi="Arial" w:cs="Arial"/>
          <w:color w:val="000000"/>
          <w:sz w:val="20"/>
        </w:rPr>
        <w:t xml:space="preserve">[T]he accessible routes in offices or stores are commonly obstructed by boxes, potted plants, display racks, or other items so that the routes are inaccessible to people who use wheelchairs. </w:t>
      </w:r>
      <w:bookmarkStart w:id="3678" w:name="Bookmark_I5T32F3W2D6N8T0020000400"/>
      <w:bookmarkEnd w:id="3678"/>
      <w:r>
        <w:rPr>
          <w:rFonts w:ascii="Arial" w:eastAsia="Arial" w:hAnsi="Arial" w:cs="Arial"/>
          <w:color w:val="000000"/>
          <w:sz w:val="20"/>
        </w:rPr>
        <w:t>Under the ADA, the accessible route must be maintained and, therefore, these items are required to be removed. If the items are placed there temporarily—for example, if an office receives multiple boxes of supplies and is moving them from the hall to the storage room—then § 36.211(b) excuses such "isolated or temporary interruptions."</w:t>
      </w:r>
    </w:p>
    <w:p w:rsidR="00E456CD" w:rsidRDefault="00000000">
      <w:pPr>
        <w:pStyle w:val="Normal19"/>
        <w:widowControl w:val="0"/>
        <w:spacing w:before="200" w:line="260" w:lineRule="atLeast"/>
        <w:jc w:val="both"/>
      </w:pPr>
      <w:bookmarkStart w:id="3679" w:name="Bookmark_I5T32F3W2D6N8T0020000400_2"/>
      <w:bookmarkStart w:id="3680" w:name="Bookmark_I5T32F3W2D6N8T0010000400"/>
      <w:bookmarkEnd w:id="3679"/>
      <w:bookmarkEnd w:id="3680"/>
      <w:r>
        <w:rPr>
          <w:rFonts w:ascii="Arial" w:eastAsia="Arial" w:hAnsi="Arial" w:cs="Arial"/>
          <w:b/>
          <w:color w:val="000000"/>
          <w:sz w:val="20"/>
        </w:rPr>
        <w:t>Nondiscrimination on the Basis of Disability by Public Accommodations and in Commercial Facilities</w:t>
      </w:r>
      <w:r>
        <w:rPr>
          <w:rFonts w:ascii="Arial" w:eastAsia="Arial" w:hAnsi="Arial" w:cs="Arial"/>
          <w:color w:val="000000"/>
          <w:sz w:val="20"/>
        </w:rPr>
        <w:t xml:space="preserve">, 73 Fed. Reg. 34,508, 34,523 (June 17, 2008). Finally, the Department of Justice's "Technical Assistance Manual" explains, "An isolated instance of placement of an object on an accessible route would not be a violation, if the object is promptly [**6]  removed." </w:t>
      </w:r>
      <w:r>
        <w:rPr>
          <w:rFonts w:ascii="Arial" w:eastAsia="Arial" w:hAnsi="Arial" w:cs="Arial"/>
          <w:b/>
          <w:color w:val="000000"/>
          <w:sz w:val="20"/>
        </w:rPr>
        <w:t>Technical Assistance Manual § III-3.7000.5</w:t>
      </w:r>
      <w:r>
        <w:rPr>
          <w:rFonts w:ascii="Arial" w:eastAsia="Arial" w:hAnsi="Arial" w:cs="Arial"/>
          <w:color w:val="000000"/>
          <w:sz w:val="20"/>
        </w:rPr>
        <w:t xml:space="preserve">, </w:t>
      </w:r>
      <w:r>
        <w:rPr>
          <w:rFonts w:ascii="Arial" w:eastAsia="Arial" w:hAnsi="Arial" w:cs="Arial"/>
          <w:i/>
          <w:color w:val="000000"/>
          <w:sz w:val="20"/>
        </w:rPr>
        <w:t>available at</w:t>
      </w:r>
      <w:r>
        <w:rPr>
          <w:rFonts w:ascii="Arial" w:eastAsia="Arial" w:hAnsi="Arial" w:cs="Arial"/>
          <w:color w:val="000000"/>
          <w:sz w:val="20"/>
        </w:rPr>
        <w:t xml:space="preserve"> http://www.ada.gov/taman3.html (last visited Jul. 18, 2018).</w:t>
      </w:r>
    </w:p>
    <w:p w:rsidR="00E456CD" w:rsidRDefault="00000000">
      <w:pPr>
        <w:pStyle w:val="Normal19"/>
        <w:widowControl w:val="0"/>
        <w:spacing w:before="200" w:line="260" w:lineRule="atLeast"/>
        <w:jc w:val="both"/>
      </w:pPr>
      <w:bookmarkStart w:id="3681" w:name="Bookmark_para_12_17"/>
      <w:bookmarkEnd w:id="3681"/>
      <w:r>
        <w:rPr>
          <w:rFonts w:ascii="Arial" w:eastAsia="Arial" w:hAnsi="Arial" w:cs="Arial"/>
          <w:color w:val="000000"/>
          <w:sz w:val="20"/>
        </w:rPr>
        <w:t xml:space="preserve">These provisions mean that </w:t>
      </w:r>
      <w:bookmarkStart w:id="3682" w:name="Bookmark_LNHNREFclscc5_14"/>
      <w:bookmarkEnd w:id="3682"/>
      <w:r>
        <w:rPr>
          <w:rFonts w:ascii="Arial" w:eastAsia="Arial" w:hAnsi="Arial" w:cs="Arial"/>
          <w:color w:val="000000"/>
          <w:sz w:val="20"/>
        </w:rPr>
        <w:t>an obstruction of an accessible route violates the readily accessible standard unless the obstruction is isolated or temporary, like those due to maintenance or repairs, restocking shelves, or moving items to a storage room. An obstruction is not isolated or temporary unless it is promptly removed. The district court's conclusion—that "temporary objects like excess merchandise blocking a store's aisles is not an ADA violations"—is too broad, reflecting neither § 36.211(b)'s text nor interpretations of it.</w:t>
      </w:r>
    </w:p>
    <w:p w:rsidR="00E456CD" w:rsidRDefault="00000000">
      <w:pPr>
        <w:pStyle w:val="Normal19"/>
        <w:widowControl w:val="0"/>
        <w:spacing w:before="200" w:line="260" w:lineRule="atLeast"/>
        <w:jc w:val="both"/>
      </w:pPr>
      <w:bookmarkStart w:id="3683" w:name="Bookmark_para_13_16"/>
      <w:bookmarkStart w:id="3684" w:name="Bookmark_I5T32F3W2D6N8T0040000400"/>
      <w:bookmarkEnd w:id="3683"/>
      <w:bookmarkEnd w:id="3684"/>
      <w:r>
        <w:rPr>
          <w:rFonts w:ascii="Arial" w:eastAsia="Arial" w:hAnsi="Arial" w:cs="Arial"/>
          <w:color w:val="000000"/>
          <w:sz w:val="20"/>
        </w:rPr>
        <w:t xml:space="preserve">Myron's emphasizes that the Seventh Circuit concluded that a "weather-related breakdown of elevator service" did not violate the ADA because "occasional elevator malfunctions, unaccompanied by systemic problems of poor maintenance policy or frequent denials of access, do not constitute violations." </w:t>
      </w:r>
      <w:bookmarkStart w:id="3685" w:name="Bookmark_I5T32F3W2D6N8T0030000400"/>
      <w:bookmarkEnd w:id="3685"/>
      <w:r>
        <w:rPr>
          <w:rFonts w:ascii="Arial" w:eastAsia="Arial" w:hAnsi="Arial" w:cs="Arial"/>
          <w:b/>
          <w:i/>
          <w:color w:val="000000"/>
          <w:sz w:val="20"/>
        </w:rPr>
        <w:t>Foley v. City of Lafayette, Ind.</w:t>
      </w:r>
      <w:r>
        <w:rPr>
          <w:rFonts w:ascii="Arial" w:eastAsia="Arial" w:hAnsi="Arial" w:cs="Arial"/>
          <w:color w:val="000000"/>
          <w:sz w:val="20"/>
        </w:rPr>
        <w:t xml:space="preserve">, 359 F.3d 925, 930 (7th Cir. 2004), </w:t>
      </w:r>
      <w:r>
        <w:rPr>
          <w:rFonts w:ascii="Arial" w:eastAsia="Arial" w:hAnsi="Arial" w:cs="Arial"/>
          <w:i/>
          <w:color w:val="000000"/>
          <w:sz w:val="20"/>
        </w:rPr>
        <w:t>citing</w:t>
      </w:r>
      <w:r>
        <w:rPr>
          <w:rFonts w:ascii="Arial" w:eastAsia="Arial" w:hAnsi="Arial" w:cs="Arial"/>
          <w:color w:val="000000"/>
          <w:sz w:val="20"/>
        </w:rPr>
        <w:t xml:space="preserve"> </w:t>
      </w:r>
      <w:r>
        <w:rPr>
          <w:rFonts w:ascii="Arial" w:eastAsia="Arial" w:hAnsi="Arial" w:cs="Arial"/>
          <w:b/>
          <w:color w:val="000000"/>
          <w:sz w:val="20"/>
        </w:rPr>
        <w:t>49 C.F.R. § 37.161</w:t>
      </w:r>
      <w:r>
        <w:rPr>
          <w:rFonts w:ascii="Arial" w:eastAsia="Arial" w:hAnsi="Arial" w:cs="Arial"/>
          <w:color w:val="000000"/>
          <w:sz w:val="20"/>
        </w:rPr>
        <w:t xml:space="preserve">, </w:t>
      </w:r>
      <w:r>
        <w:rPr>
          <w:rFonts w:ascii="Arial" w:eastAsia="Arial" w:hAnsi="Arial" w:cs="Arial"/>
          <w:i/>
          <w:color w:val="000000"/>
          <w:sz w:val="20"/>
        </w:rPr>
        <w:t>interpreted in</w:t>
      </w:r>
      <w:r>
        <w:rPr>
          <w:rFonts w:ascii="Arial" w:eastAsia="Arial" w:hAnsi="Arial" w:cs="Arial"/>
          <w:color w:val="000000"/>
          <w:sz w:val="20"/>
        </w:rPr>
        <w:t xml:space="preserve"> </w:t>
      </w:r>
      <w:r>
        <w:rPr>
          <w:rFonts w:ascii="Arial" w:eastAsia="Arial" w:hAnsi="Arial" w:cs="Arial"/>
          <w:b/>
          <w:color w:val="000000"/>
          <w:sz w:val="20"/>
        </w:rPr>
        <w:t>49 C.F.R. pt. 37, app. D, subpt. G, § 37.161</w:t>
      </w:r>
      <w:bookmarkStart w:id="3686" w:name="Bookmark_I5T32F3W2SF8D10010000400"/>
      <w:bookmarkEnd w:id="3686"/>
      <w:r>
        <w:rPr>
          <w:rFonts w:ascii="Arial" w:eastAsia="Arial" w:hAnsi="Arial" w:cs="Arial"/>
          <w:color w:val="000000"/>
          <w:sz w:val="20"/>
        </w:rPr>
        <w:t xml:space="preserve"> ("temporary obstructions or isolated instances of mechanical failure would not be considered violations of the ADA . . . . </w:t>
      </w:r>
      <w:bookmarkStart w:id="3687" w:name="Bookmark_I5T32F3W2SF8D10010000400_2"/>
      <w:bookmarkEnd w:id="3687"/>
      <w:r>
        <w:rPr>
          <w:rFonts w:ascii="Arial" w:eastAsia="Arial" w:hAnsi="Arial" w:cs="Arial"/>
          <w:color w:val="000000"/>
          <w:sz w:val="20"/>
        </w:rPr>
        <w:t xml:space="preserve">Repairs must be made 'promptly.'"). Affirming summary judgment for the public accommodation, the [**7]  court explained,  [*957]  "Nothing in the record indicates frequent denial of access to disabled persons or a policy that neglects elevator maintenance," and "the undisputed facts" showed that the elevator "was repaired promptly." </w:t>
      </w:r>
      <w:bookmarkStart w:id="3688" w:name="Bookmark_I5T32F3W2D6N8T0050000400"/>
      <w:bookmarkEnd w:id="3688"/>
      <w:r>
        <w:rPr>
          <w:rFonts w:ascii="Arial" w:eastAsia="Arial" w:hAnsi="Arial" w:cs="Arial"/>
          <w:b/>
          <w:i/>
          <w:color w:val="000000"/>
          <w:sz w:val="20"/>
        </w:rPr>
        <w:t>Foley</w:t>
      </w:r>
      <w:r>
        <w:rPr>
          <w:rFonts w:ascii="Arial" w:eastAsia="Arial" w:hAnsi="Arial" w:cs="Arial"/>
          <w:color w:val="000000"/>
          <w:sz w:val="20"/>
        </w:rPr>
        <w:t>, 359 F.3d at 929-30.</w:t>
      </w:r>
    </w:p>
    <w:p w:rsidR="00E456CD" w:rsidRDefault="00000000">
      <w:pPr>
        <w:pStyle w:val="Normal19"/>
        <w:widowControl w:val="0"/>
        <w:spacing w:before="200" w:line="260" w:lineRule="atLeast"/>
        <w:jc w:val="both"/>
      </w:pPr>
      <w:bookmarkStart w:id="3689" w:name="Bookmark_para_14_15"/>
      <w:bookmarkStart w:id="3690" w:name="Bookmark_I3WXXXVK0J700079WNN003B3"/>
      <w:bookmarkStart w:id="3691" w:name="Bookmark_I5T32F3W2SF8D10030000400"/>
      <w:bookmarkEnd w:id="3689"/>
      <w:bookmarkEnd w:id="3690"/>
      <w:bookmarkEnd w:id="3691"/>
      <w:r>
        <w:rPr>
          <w:rFonts w:ascii="Arial" w:eastAsia="Arial" w:hAnsi="Arial" w:cs="Arial"/>
          <w:color w:val="000000"/>
          <w:sz w:val="20"/>
        </w:rPr>
        <w:t xml:space="preserve">This case does not involve a mechanical failure, and has not been factually developed like </w:t>
      </w:r>
      <w:bookmarkStart w:id="3692" w:name="Bookmark_I5T32F3W2SF8D10020000400"/>
      <w:bookmarkEnd w:id="3692"/>
      <w:r>
        <w:rPr>
          <w:rFonts w:ascii="Arial" w:eastAsia="Arial" w:hAnsi="Arial" w:cs="Arial"/>
          <w:i/>
          <w:color w:val="000000"/>
          <w:sz w:val="20"/>
        </w:rPr>
        <w:t>Foley</w:t>
      </w:r>
      <w:bookmarkStart w:id="3693" w:name="Bookmark_I5T32F3W2SF8D10050000400"/>
      <w:bookmarkEnd w:id="3693"/>
      <w:r>
        <w:rPr>
          <w:rFonts w:ascii="Arial" w:eastAsia="Arial" w:hAnsi="Arial" w:cs="Arial"/>
          <w:color w:val="000000"/>
          <w:sz w:val="20"/>
        </w:rPr>
        <w:t xml:space="preserve"> because it is at the motion-to-dismiss stage. Hillesheim alleged that on an October 2016 visit to the store, he encountered "temporary displays and excess merchandise" in boxes that obstructed the accessible routes so they were less than 36 inches wide. He attached pictures of the alleged obstructions to the complaint. </w:t>
      </w:r>
      <w:bookmarkStart w:id="3694" w:name="Bookmark_I5T32F3W2SF8D10050000400_2"/>
      <w:bookmarkEnd w:id="3694"/>
      <w:r>
        <w:rPr>
          <w:rFonts w:ascii="Arial" w:eastAsia="Arial" w:hAnsi="Arial" w:cs="Arial"/>
          <w:i/>
          <w:color w:val="000000"/>
          <w:sz w:val="20"/>
        </w:rPr>
        <w:t>See</w:t>
      </w:r>
      <w:r>
        <w:rPr>
          <w:rFonts w:ascii="Arial" w:eastAsia="Arial" w:hAnsi="Arial" w:cs="Arial"/>
          <w:color w:val="000000"/>
          <w:sz w:val="20"/>
        </w:rPr>
        <w:t xml:space="preserve"> </w:t>
      </w:r>
      <w:bookmarkStart w:id="3695" w:name="Bookmark_I5T32F3W2SF8D10040000400"/>
      <w:bookmarkEnd w:id="3695"/>
      <w:r>
        <w:rPr>
          <w:rFonts w:ascii="Arial" w:eastAsia="Arial" w:hAnsi="Arial" w:cs="Arial"/>
          <w:b/>
          <w:i/>
          <w:color w:val="000000"/>
          <w:sz w:val="20"/>
        </w:rPr>
        <w:t>Brown v. Medtronic, Inc.</w:t>
      </w:r>
      <w:r>
        <w:rPr>
          <w:rFonts w:ascii="Arial" w:eastAsia="Arial" w:hAnsi="Arial" w:cs="Arial"/>
          <w:color w:val="000000"/>
          <w:sz w:val="20"/>
        </w:rPr>
        <w:t>, 628 F.3d 451, 459-60 (8th Cir. 2010) ("Documents attached to or incorporated within a complaint are considered part of the pleadings, and courts may look at such documents 'for all purposes,' Fed.R.Civ.P. 10(c), including to determine whether a plaintiff has stated a plausible claim."). He alleged: (1) "To the best of his recollection, the aisles were obstructed by displays and excess merchandise" on 15 visits before October 2016; and (2) Myron's "violations of the ADA and ADAAG are ongoing."</w:t>
      </w:r>
    </w:p>
    <w:p w:rsidR="00E456CD" w:rsidRDefault="00000000">
      <w:pPr>
        <w:pStyle w:val="Normal19"/>
        <w:widowControl w:val="0"/>
        <w:spacing w:before="200" w:line="260" w:lineRule="atLeast"/>
        <w:jc w:val="both"/>
      </w:pPr>
      <w:bookmarkStart w:id="3696" w:name="Bookmark_para_15_15"/>
      <w:bookmarkStart w:id="3697" w:name="Bookmark_I5T32F3W28T43H0020000400"/>
      <w:bookmarkEnd w:id="3696"/>
      <w:bookmarkEnd w:id="3697"/>
      <w:r>
        <w:rPr>
          <w:rFonts w:ascii="Arial" w:eastAsia="Arial" w:hAnsi="Arial" w:cs="Arial"/>
          <w:color w:val="000000"/>
          <w:sz w:val="20"/>
        </w:rPr>
        <w:t xml:space="preserve">Myron's contends that "it is undisputed that the alleged obstruction is a merchandise shipment temporarily placed [**8]  in the aisle to restock shelves." That, however, is not clear on the face of the complaint (or from the attached pictures). This court must construe "all reasonable inferences in favor of the non-moving party," Hillesheim. </w:t>
      </w:r>
      <w:bookmarkStart w:id="3698" w:name="Bookmark_I5T32F3W28T43H0040000400"/>
      <w:bookmarkStart w:id="3699" w:name="Bookmark_I5T32F3W28T43H0010000400"/>
      <w:bookmarkEnd w:id="3698"/>
      <w:bookmarkEnd w:id="3699"/>
      <w:r>
        <w:rPr>
          <w:rFonts w:ascii="Arial" w:eastAsia="Arial" w:hAnsi="Arial" w:cs="Arial"/>
          <w:b/>
          <w:i/>
          <w:color w:val="000000"/>
          <w:sz w:val="20"/>
        </w:rPr>
        <w:t>Van Zee v. Hanson</w:t>
      </w:r>
      <w:r>
        <w:rPr>
          <w:rFonts w:ascii="Arial" w:eastAsia="Arial" w:hAnsi="Arial" w:cs="Arial"/>
          <w:color w:val="000000"/>
          <w:sz w:val="20"/>
        </w:rPr>
        <w:t xml:space="preserve">, 630 F.3d 1126, 1128 (8th Cir. 2011). </w:t>
      </w:r>
      <w:bookmarkStart w:id="3700" w:name="Bookmark_I5T32F3W28T43H0040000400_2"/>
      <w:bookmarkEnd w:id="3700"/>
      <w:r>
        <w:rPr>
          <w:rFonts w:ascii="Arial" w:eastAsia="Arial" w:hAnsi="Arial" w:cs="Arial"/>
          <w:color w:val="000000"/>
          <w:sz w:val="20"/>
        </w:rPr>
        <w:t xml:space="preserve">Hillesheim has alleged ADA discrimination—that the store is not "readily accessible to and usable by individuals with disabilities." </w:t>
      </w:r>
      <w:r>
        <w:rPr>
          <w:rFonts w:ascii="Arial" w:eastAsia="Arial" w:hAnsi="Arial" w:cs="Arial"/>
          <w:b/>
          <w:color w:val="000000"/>
          <w:sz w:val="20"/>
        </w:rPr>
        <w:t>42 U.S.C. § 12183(a)(1)</w:t>
      </w:r>
      <w:r>
        <w:rPr>
          <w:rFonts w:ascii="Arial" w:eastAsia="Arial" w:hAnsi="Arial" w:cs="Arial"/>
          <w:color w:val="000000"/>
          <w:sz w:val="20"/>
        </w:rPr>
        <w:t xml:space="preserve">; </w:t>
      </w:r>
      <w:r>
        <w:rPr>
          <w:rFonts w:ascii="Arial" w:eastAsia="Arial" w:hAnsi="Arial" w:cs="Arial"/>
          <w:i/>
          <w:color w:val="000000"/>
          <w:sz w:val="20"/>
        </w:rPr>
        <w:t>see generally</w:t>
      </w:r>
      <w:r>
        <w:rPr>
          <w:rFonts w:ascii="Arial" w:eastAsia="Arial" w:hAnsi="Arial" w:cs="Arial"/>
          <w:color w:val="000000"/>
          <w:sz w:val="20"/>
        </w:rPr>
        <w:t xml:space="preserve"> </w:t>
      </w:r>
      <w:bookmarkStart w:id="3701" w:name="Bookmark_I5T32F3W28T43H0040000400_3"/>
      <w:bookmarkStart w:id="3702" w:name="Bookmark_I5T32F3W28T43H0030000400"/>
      <w:bookmarkEnd w:id="3701"/>
      <w:bookmarkEnd w:id="3702"/>
      <w:r>
        <w:rPr>
          <w:rFonts w:ascii="Arial" w:eastAsia="Arial" w:hAnsi="Arial" w:cs="Arial"/>
          <w:b/>
          <w:color w:val="000000"/>
          <w:sz w:val="20"/>
        </w:rPr>
        <w:t>73 Fed. Reg. at 34,523</w:t>
      </w:r>
      <w:r>
        <w:rPr>
          <w:rFonts w:ascii="Arial" w:eastAsia="Arial" w:hAnsi="Arial" w:cs="Arial"/>
          <w:color w:val="000000"/>
          <w:sz w:val="20"/>
        </w:rPr>
        <w:t xml:space="preserve"> (displays and boxes are "items [that] are required to be removed" from accessible routes).</w:t>
      </w:r>
    </w:p>
    <w:p w:rsidR="00E456CD" w:rsidRDefault="00000000">
      <w:pPr>
        <w:pStyle w:val="Normal19"/>
        <w:widowControl w:val="0"/>
        <w:spacing w:before="200" w:line="260" w:lineRule="atLeast"/>
        <w:jc w:val="both"/>
      </w:pPr>
      <w:bookmarkStart w:id="3703" w:name="Bookmark_para_16_14"/>
      <w:bookmarkEnd w:id="3703"/>
      <w:r>
        <w:rPr>
          <w:rFonts w:ascii="Arial" w:eastAsia="Arial" w:hAnsi="Arial" w:cs="Arial"/>
          <w:color w:val="000000"/>
          <w:sz w:val="20"/>
        </w:rPr>
        <w:t xml:space="preserve">True, instead of "readily accessible" discrimination under § 12183(a)(1), the amended complaint focuses mostly on "architectural barrier" discrimination.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b/>
          <w:color w:val="000000"/>
          <w:sz w:val="20"/>
        </w:rPr>
        <w:t>§ 12182(b)(2)(A)(iv)</w:t>
      </w:r>
      <w:r>
        <w:rPr>
          <w:rFonts w:ascii="Arial" w:eastAsia="Arial" w:hAnsi="Arial" w:cs="Arial"/>
          <w:color w:val="000000"/>
          <w:sz w:val="20"/>
        </w:rPr>
        <w:t xml:space="preserve"> (discrimination includes "a failure to remove architectural barriers . . . in existing facilities . . . where such removal is readily available"). But in addition to the specific facts, the amended complaint alleges Myron's discriminated against Hillesheim under § 12182(a): "Defendant has discriminated against Plaintiff and others in that they failed to make their place of public accommodation fully accessible to persons with disabilities on a full and equal basis in violation of 42 U.S.C. § 12182(a) and the regulations promulgated thereunder, including the ADAAG, as described above." And, "discrimination for purposes [**9]  of section 12182(a)" occurs when a public accommodation is not "readily accessible to and usable by individuals with disabilities." § 12183(a)(1). The amended complaint also says that the district court</w:t>
      </w:r>
    </w:p>
    <w:p w:rsidR="00E456CD" w:rsidRDefault="00000000">
      <w:pPr>
        <w:pStyle w:val="Normal19"/>
        <w:widowControl w:val="0"/>
        <w:spacing w:before="200" w:line="260" w:lineRule="atLeast"/>
        <w:ind w:left="400"/>
        <w:jc w:val="both"/>
      </w:pPr>
      <w:bookmarkStart w:id="3704" w:name="Bookmark_para_17_13"/>
      <w:bookmarkEnd w:id="3704"/>
      <w:r>
        <w:rPr>
          <w:rFonts w:ascii="Arial" w:eastAsia="Arial" w:hAnsi="Arial" w:cs="Arial"/>
          <w:color w:val="000000"/>
          <w:sz w:val="20"/>
        </w:rPr>
        <w:t xml:space="preserve">has authority under 42 U.S.C. § 12188 to grant Plaintiff injunctive relief, including an order requiring Defendant to make [the store] </w:t>
      </w:r>
      <w:r>
        <w:rPr>
          <w:rFonts w:ascii="Arial" w:eastAsia="Arial" w:hAnsi="Arial" w:cs="Arial"/>
          <w:i/>
          <w:color w:val="000000"/>
          <w:sz w:val="20"/>
        </w:rPr>
        <w:t>readily accessible</w:t>
      </w:r>
      <w:r>
        <w:rPr>
          <w:rFonts w:ascii="Arial" w:eastAsia="Arial" w:hAnsi="Arial" w:cs="Arial"/>
          <w:color w:val="000000"/>
          <w:sz w:val="20"/>
        </w:rPr>
        <w:t xml:space="preserve"> to and independently usable by individuals with disabilities to the extent required by the ADA and ADAAG, and/or to close [the store] until such time as Defendant cures the access barriers.</w:t>
      </w:r>
    </w:p>
    <w:p w:rsidR="00E456CD" w:rsidRDefault="00000000">
      <w:pPr>
        <w:pStyle w:val="Normal19"/>
        <w:widowControl w:val="0"/>
        <w:spacing w:line="260" w:lineRule="atLeast"/>
        <w:jc w:val="both"/>
      </w:pPr>
      <w:r>
        <w:rPr>
          <w:rFonts w:ascii="Arial" w:eastAsia="Arial" w:hAnsi="Arial" w:cs="Arial"/>
          <w:color w:val="000000"/>
          <w:sz w:val="20"/>
        </w:rPr>
        <w:t>(Emphasis added.)</w:t>
      </w:r>
    </w:p>
    <w:p w:rsidR="00E456CD" w:rsidRDefault="00000000">
      <w:pPr>
        <w:pStyle w:val="Normal19"/>
        <w:widowControl w:val="0"/>
        <w:spacing w:before="200" w:line="260" w:lineRule="atLeast"/>
        <w:jc w:val="both"/>
      </w:pPr>
      <w:bookmarkStart w:id="3705" w:name="Bookmark_para_18_13"/>
      <w:bookmarkStart w:id="3706" w:name="Bookmark_I5T32F3W2HM6CY0010000400"/>
      <w:bookmarkEnd w:id="3705"/>
      <w:bookmarkEnd w:id="3706"/>
      <w:r>
        <w:rPr>
          <w:rFonts w:ascii="Arial" w:eastAsia="Arial" w:hAnsi="Arial" w:cs="Arial"/>
          <w:color w:val="000000"/>
          <w:sz w:val="20"/>
        </w:rPr>
        <w:t xml:space="preserve">Hillesheim's allegations "raise a right to relief above the speculative level" and are not just "labels and conclusions." </w:t>
      </w:r>
      <w:bookmarkStart w:id="3707" w:name="Bookmark_I5T32F3W28T43H0050000400"/>
      <w:bookmarkEnd w:id="3707"/>
      <w:r>
        <w:rPr>
          <w:rFonts w:ascii="Arial" w:eastAsia="Arial" w:hAnsi="Arial" w:cs="Arial"/>
          <w:b/>
          <w:i/>
          <w:color w:val="000000"/>
          <w:sz w:val="20"/>
        </w:rPr>
        <w:t>Bell Atlantic Corp. v. Twombly</w:t>
      </w:r>
      <w:r>
        <w:rPr>
          <w:rFonts w:ascii="Arial" w:eastAsia="Arial" w:hAnsi="Arial" w:cs="Arial"/>
          <w:color w:val="000000"/>
          <w:sz w:val="20"/>
        </w:rPr>
        <w:t xml:space="preserve">, 550 U.S. 544, 555, 127 S. Ct. 1955, 167 L. Ed. 2d 929 (2007); </w:t>
      </w:r>
      <w:r>
        <w:rPr>
          <w:rFonts w:ascii="Arial" w:eastAsia="Arial" w:hAnsi="Arial" w:cs="Arial"/>
          <w:i/>
          <w:color w:val="000000"/>
          <w:sz w:val="20"/>
        </w:rPr>
        <w:t xml:space="preserve">see also </w:t>
      </w:r>
      <w:bookmarkStart w:id="3708" w:name="Bookmark_I5T32F3W2HM6CY0020000400"/>
      <w:bookmarkEnd w:id="3708"/>
      <w:r>
        <w:rPr>
          <w:rFonts w:ascii="Arial" w:eastAsia="Arial" w:hAnsi="Arial" w:cs="Arial"/>
          <w:b/>
          <w:i/>
          <w:color w:val="000000"/>
          <w:sz w:val="20"/>
        </w:rPr>
        <w:t>Chapman v. Pier 1 Imports (U.S.) Inc.</w:t>
      </w:r>
      <w:r>
        <w:rPr>
          <w:rFonts w:ascii="Arial" w:eastAsia="Arial" w:hAnsi="Arial" w:cs="Arial"/>
          <w:color w:val="000000"/>
          <w:sz w:val="20"/>
        </w:rPr>
        <w:t>, 779 F.3d 1001, 1008 (9th Cir. 2015) (where a store's "aisles appear[ed] inaccessible due to the presence of large items, such as furniture (armchairs and tables), or display racks holding merchandise and ladders," the court affirmed  [*958]  an injunction against the store, partly due to no "indication that the interruption of access was 'due to maintenance or repairs,' or occurred in the course of moving the items from one place to another, or during re-stocking."). Amendment here is not futile.</w:t>
      </w:r>
    </w:p>
    <w:p w:rsidR="00E456CD" w:rsidRDefault="00000000">
      <w:pPr>
        <w:pStyle w:val="Normal19"/>
        <w:widowControl w:val="0"/>
        <w:spacing w:before="200" w:line="260" w:lineRule="atLeast"/>
        <w:jc w:val="both"/>
      </w:pPr>
      <w:bookmarkStart w:id="3709" w:name="Bookmark_para_19_13"/>
      <w:bookmarkEnd w:id="3709"/>
      <w:r>
        <w:rPr>
          <w:rFonts w:ascii="Arial" w:eastAsia="Arial" w:hAnsi="Arial" w:cs="Arial"/>
          <w:color w:val="000000"/>
          <w:sz w:val="20"/>
        </w:rPr>
        <w:t>****</w:t>
      </w:r>
    </w:p>
    <w:p w:rsidR="00E456CD" w:rsidRDefault="00000000">
      <w:pPr>
        <w:pStyle w:val="Normal19"/>
        <w:widowControl w:val="0"/>
        <w:spacing w:before="200" w:line="260" w:lineRule="atLeast"/>
        <w:jc w:val="both"/>
      </w:pPr>
      <w:bookmarkStart w:id="3710" w:name="Bookmark_para_20_13"/>
      <w:bookmarkEnd w:id="3710"/>
      <w:r>
        <w:rPr>
          <w:rFonts w:ascii="Arial" w:eastAsia="Arial" w:hAnsi="Arial" w:cs="Arial"/>
          <w:color w:val="000000"/>
          <w:sz w:val="20"/>
        </w:rPr>
        <w:t>The judgment is reversed, and the case remanded for proceedings [**10]  consistent with this opinion.</w:t>
      </w:r>
      <w:r>
        <w:rPr>
          <w:rFonts w:ascii="Arial" w:eastAsia="Arial" w:hAnsi="Arial" w:cs="Arial"/>
          <w:vertAlign w:val="superscript"/>
        </w:rPr>
        <w:footnoteReference w:customMarkFollows="1" w:id="158"/>
        <w:t>2</w:t>
      </w:r>
    </w:p>
    <w:p w:rsidR="00E456CD" w:rsidRDefault="00E456CD">
      <w:pPr>
        <w:pStyle w:val="Normal19"/>
      </w:pPr>
    </w:p>
    <w:p w:rsidR="00E456CD" w:rsidRDefault="00000000">
      <w:pPr>
        <w:pStyle w:val="Normal19"/>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0124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223932559"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65537" id="Line 4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0"/>
        <w:sectPr w:rsidR="00E456CD">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gutter="0"/>
          <w:cols w:space="720"/>
          <w:titlePg/>
        </w:sectPr>
      </w:pPr>
    </w:p>
    <w:p w:rsidR="00E456CD" w:rsidRDefault="00E456CD">
      <w:pPr>
        <w:pStyle w:val="Normal20"/>
      </w:pPr>
    </w:p>
    <w:p w:rsidR="00E456CD" w:rsidRDefault="00000000">
      <w:pPr>
        <w:pStyle w:val="Heading119"/>
        <w:keepNext w:val="0"/>
        <w:widowControl w:val="0"/>
        <w:spacing w:after="200" w:line="340" w:lineRule="atLeast"/>
        <w:jc w:val="center"/>
      </w:pPr>
      <w:r>
        <w:rPr>
          <w:rFonts w:eastAsia="Arial"/>
          <w:color w:val="000000"/>
          <w:sz w:val="28"/>
        </w:rPr>
        <w:t>Mielo v. Steak 'N Shake Operations, Inc.</w:t>
      </w:r>
    </w:p>
    <w:p w:rsidR="00E456CD" w:rsidRDefault="00000000">
      <w:pPr>
        <w:pStyle w:val="Normal20"/>
        <w:widowControl w:val="0"/>
        <w:spacing w:before="120" w:line="260" w:lineRule="atLeast"/>
        <w:jc w:val="center"/>
      </w:pPr>
      <w:r>
        <w:rPr>
          <w:rFonts w:ascii="Arial" w:eastAsia="Arial" w:hAnsi="Arial" w:cs="Arial"/>
          <w:color w:val="000000"/>
          <w:sz w:val="20"/>
        </w:rPr>
        <w:t>United States Court of Appeals for the Third Circuit</w:t>
      </w:r>
    </w:p>
    <w:p w:rsidR="00E456CD" w:rsidRDefault="00000000">
      <w:pPr>
        <w:pStyle w:val="Normal20"/>
        <w:widowControl w:val="0"/>
        <w:spacing w:before="120" w:line="260" w:lineRule="atLeast"/>
        <w:jc w:val="center"/>
      </w:pPr>
      <w:r>
        <w:rPr>
          <w:rFonts w:ascii="Arial" w:eastAsia="Arial" w:hAnsi="Arial" w:cs="Arial"/>
          <w:color w:val="000000"/>
          <w:sz w:val="20"/>
        </w:rPr>
        <w:t>May 2, 2018, Argued; July 26, 2018, Filed</w:t>
      </w:r>
    </w:p>
    <w:p w:rsidR="00E456CD" w:rsidRDefault="00000000">
      <w:pPr>
        <w:pStyle w:val="Normal20"/>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17-2678</w:t>
      </w:r>
    </w:p>
    <w:p w:rsidR="00E456CD" w:rsidRDefault="00E456CD">
      <w:pPr>
        <w:pStyle w:val="Normal20"/>
        <w:widowControl w:val="0"/>
        <w:spacing w:line="240" w:lineRule="atLeast"/>
        <w:jc w:val="both"/>
      </w:pPr>
      <w:bookmarkStart w:id="3714" w:name="Bookmark_21"/>
      <w:bookmarkEnd w:id="3714"/>
    </w:p>
    <w:p w:rsidR="00E456CD" w:rsidRDefault="00000000">
      <w:pPr>
        <w:pStyle w:val="Normal20"/>
        <w:widowControl w:val="0"/>
        <w:spacing w:before="200" w:line="240" w:lineRule="atLeast"/>
      </w:pPr>
      <w:bookmarkStart w:id="3715" w:name="Reporter_19"/>
      <w:bookmarkEnd w:id="3715"/>
      <w:r>
        <w:rPr>
          <w:rFonts w:ascii="Arial" w:eastAsia="Arial" w:hAnsi="Arial" w:cs="Arial"/>
          <w:b/>
          <w:color w:val="000000"/>
          <w:sz w:val="18"/>
        </w:rPr>
        <w:t>Reporter</w:t>
      </w:r>
    </w:p>
    <w:p w:rsidR="00E456CD" w:rsidRDefault="00000000">
      <w:pPr>
        <w:pStyle w:val="Normal20"/>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897 F.3d 467 *; 2018 U.S. App. LEXIS 20793 **; 101 Fed. R. Serv. 3d (Callaghan) 343; 2018 WL 3581450</w:t>
      </w:r>
    </w:p>
    <w:p w:rsidR="00E456CD" w:rsidRDefault="00000000">
      <w:pPr>
        <w:pStyle w:val="Normal20"/>
        <w:widowControl w:val="0"/>
        <w:spacing w:before="120" w:line="260" w:lineRule="atLeast"/>
      </w:pPr>
      <w:r>
        <w:rPr>
          <w:rFonts w:ascii="Arial" w:eastAsia="Arial" w:hAnsi="Arial" w:cs="Arial"/>
          <w:color w:val="000000"/>
          <w:sz w:val="20"/>
        </w:rPr>
        <w:t>CHRISTOPHER MIELO; SARAH HEINZL, individually and on behalf of all others similarly situated v. STEAK 'N SHAKE OPERATIONS, INC., Appellant</w:t>
      </w:r>
    </w:p>
    <w:p w:rsidR="00E456CD" w:rsidRDefault="00000000">
      <w:pPr>
        <w:pStyle w:val="Normal20"/>
        <w:widowControl w:val="0"/>
        <w:spacing w:before="240" w:line="260" w:lineRule="atLeast"/>
        <w:jc w:val="both"/>
      </w:pPr>
      <w:bookmarkStart w:id="3716" w:name="Prior_History_19"/>
      <w:bookmarkEnd w:id="3716"/>
      <w:r>
        <w:rPr>
          <w:rFonts w:ascii="Arial" w:eastAsia="Arial" w:hAnsi="Arial" w:cs="Arial"/>
          <w:b/>
          <w:color w:val="000000"/>
          <w:sz w:val="20"/>
        </w:rPr>
        <w:t>Prior History:</w:t>
      </w:r>
      <w:r>
        <w:rPr>
          <w:rFonts w:ascii="Arial" w:eastAsia="Arial" w:hAnsi="Arial" w:cs="Arial"/>
          <w:color w:val="000000"/>
          <w:sz w:val="20"/>
        </w:rPr>
        <w:t> </w:t>
      </w:r>
      <w:bookmarkStart w:id="3717" w:name="Bookmark_para_1_19"/>
      <w:bookmarkEnd w:id="3717"/>
      <w:r>
        <w:rPr>
          <w:rFonts w:ascii="Arial" w:eastAsia="Arial" w:hAnsi="Arial" w:cs="Arial"/>
          <w:color w:val="000000"/>
          <w:sz w:val="20"/>
        </w:rPr>
        <w:t> [**1] On Appeal from the United States District Court for the Western District of Pennsylvania. (W.D. Pa. No. 2-15-cv-00180). District Judge: Honorable Robert C. Mitchell.</w:t>
      </w:r>
    </w:p>
    <w:p w:rsidR="00E456CD" w:rsidRDefault="00000000">
      <w:pPr>
        <w:pStyle w:val="Normal20"/>
        <w:widowControl w:val="0"/>
        <w:spacing w:before="120" w:line="260" w:lineRule="atLeast"/>
      </w:pPr>
      <w:r>
        <w:rPr>
          <w:rFonts w:ascii="Arial" w:eastAsia="Arial" w:hAnsi="Arial" w:cs="Arial"/>
          <w:color w:val="000000"/>
          <w:sz w:val="20"/>
        </w:rPr>
        <w:t>Mielo v. Steak 'n Shake Operations, Inc., 2017 U.S. Dist. LEXIS 64051 (W.D. Pa., Apr. 27, 2017)</w:t>
      </w:r>
    </w:p>
    <w:p w:rsidR="00E456CD" w:rsidRDefault="00000000">
      <w:pPr>
        <w:pStyle w:val="Normal20"/>
        <w:widowControl w:val="0"/>
        <w:spacing w:before="240" w:line="260" w:lineRule="atLeast"/>
      </w:pPr>
      <w:bookmarkStart w:id="3718" w:name="Counsel_19"/>
      <w:bookmarkEnd w:id="3718"/>
      <w:r>
        <w:rPr>
          <w:rFonts w:ascii="Arial" w:eastAsia="Arial" w:hAnsi="Arial" w:cs="Arial"/>
          <w:b/>
          <w:color w:val="000000"/>
          <w:sz w:val="20"/>
        </w:rPr>
        <w:t>Counsel:</w:t>
      </w:r>
      <w:r>
        <w:rPr>
          <w:rFonts w:ascii="Arial" w:eastAsia="Arial" w:hAnsi="Arial" w:cs="Arial"/>
          <w:color w:val="000000"/>
          <w:sz w:val="20"/>
        </w:rPr>
        <w:t> Maria G. Danaher, Patrick J. Fazzini, Ogletree, Deakins, Nash, Smoak &amp; Stewart, Pittsburgh, PA.</w:t>
      </w:r>
    </w:p>
    <w:p w:rsidR="00E456CD" w:rsidRDefault="00000000">
      <w:pPr>
        <w:pStyle w:val="Normal20"/>
        <w:widowControl w:val="0"/>
        <w:spacing w:before="120" w:line="260" w:lineRule="atLeast"/>
      </w:pPr>
      <w:r>
        <w:rPr>
          <w:rFonts w:ascii="Arial" w:eastAsia="Arial" w:hAnsi="Arial" w:cs="Arial"/>
          <w:color w:val="000000"/>
          <w:sz w:val="20"/>
        </w:rPr>
        <w:t>David H. Raizman [ARGUED], Ogletree Deakins, Los Angeles, CA, Counsel for Appellant.</w:t>
      </w:r>
    </w:p>
    <w:p w:rsidR="00E456CD" w:rsidRDefault="00000000">
      <w:pPr>
        <w:pStyle w:val="Normal20"/>
        <w:widowControl w:val="0"/>
        <w:spacing w:before="120" w:line="260" w:lineRule="atLeast"/>
      </w:pPr>
      <w:r>
        <w:rPr>
          <w:rFonts w:ascii="Arial" w:eastAsia="Arial" w:hAnsi="Arial" w:cs="Arial"/>
          <w:color w:val="000000"/>
          <w:sz w:val="20"/>
        </w:rPr>
        <w:t>Teresa L. Jakubowski, Barnes &amp; Thornburg, Washington, DC, Counsel for Amicus Appellants.</w:t>
      </w:r>
    </w:p>
    <w:p w:rsidR="00E456CD" w:rsidRDefault="00000000">
      <w:pPr>
        <w:pStyle w:val="Normal20"/>
        <w:widowControl w:val="0"/>
        <w:spacing w:before="120" w:line="260" w:lineRule="atLeast"/>
      </w:pPr>
      <w:r>
        <w:rPr>
          <w:rFonts w:ascii="Arial" w:eastAsia="Arial" w:hAnsi="Arial" w:cs="Arial"/>
          <w:color w:val="000000"/>
          <w:sz w:val="20"/>
        </w:rPr>
        <w:t>Cary Silverman, Shook Hardy &amp; Bacon, Washington, DC, Counsel for Amicus Appellants.</w:t>
      </w:r>
    </w:p>
    <w:p w:rsidR="00E456CD" w:rsidRDefault="00000000">
      <w:pPr>
        <w:pStyle w:val="Normal20"/>
        <w:widowControl w:val="0"/>
        <w:spacing w:before="120" w:line="260" w:lineRule="atLeast"/>
      </w:pPr>
      <w:r>
        <w:rPr>
          <w:rFonts w:ascii="Arial" w:eastAsia="Arial" w:hAnsi="Arial" w:cs="Arial"/>
          <w:color w:val="000000"/>
          <w:sz w:val="20"/>
        </w:rPr>
        <w:t>R. Bruce Carlson, Stephanie K. Goldin, Edwin J. Kilpela, Jr. [ARGUED], Benjamin J. Sweet, Carlson Lynch Sweet &amp; Kilpela, Pittsburgh, PA, Counsel for Appellee.</w:t>
      </w:r>
    </w:p>
    <w:p w:rsidR="00E456CD" w:rsidRDefault="00000000">
      <w:pPr>
        <w:pStyle w:val="Normal20"/>
        <w:widowControl w:val="0"/>
        <w:spacing w:before="120" w:line="260" w:lineRule="atLeast"/>
      </w:pPr>
      <w:r>
        <w:rPr>
          <w:rFonts w:ascii="Arial" w:eastAsia="Arial" w:hAnsi="Arial" w:cs="Arial"/>
          <w:color w:val="000000"/>
          <w:sz w:val="20"/>
        </w:rPr>
        <w:t>Sharon M. Krevor-Weisbaum, Brown Goldstein &amp; Levy, Baltimore, MD, Counsel for Amicus Appellee.</w:t>
      </w:r>
    </w:p>
    <w:p w:rsidR="00E456CD" w:rsidRDefault="00000000">
      <w:pPr>
        <w:pStyle w:val="Normal20"/>
        <w:widowControl w:val="0"/>
        <w:spacing w:before="120" w:line="260" w:lineRule="atLeast"/>
      </w:pPr>
      <w:r>
        <w:rPr>
          <w:rFonts w:ascii="Arial" w:eastAsia="Arial" w:hAnsi="Arial" w:cs="Arial"/>
          <w:color w:val="000000"/>
          <w:sz w:val="20"/>
        </w:rPr>
        <w:t>Amy F. Robertston, Civil Rights &amp; Enforcement Center, Denver, CO, Counsel for Amicus Appellees.</w:t>
      </w:r>
    </w:p>
    <w:p w:rsidR="00E456CD" w:rsidRDefault="00000000">
      <w:pPr>
        <w:pStyle w:val="Normal20"/>
        <w:widowControl w:val="0"/>
        <w:spacing w:before="240" w:line="260" w:lineRule="atLeast"/>
      </w:pPr>
      <w:bookmarkStart w:id="3719" w:name="Judges_19"/>
      <w:bookmarkEnd w:id="3719"/>
      <w:r>
        <w:rPr>
          <w:rFonts w:ascii="Arial" w:eastAsia="Arial" w:hAnsi="Arial" w:cs="Arial"/>
          <w:b/>
          <w:color w:val="000000"/>
          <w:sz w:val="20"/>
        </w:rPr>
        <w:t>Judges:</w:t>
      </w:r>
      <w:r>
        <w:rPr>
          <w:rFonts w:ascii="Arial" w:eastAsia="Arial" w:hAnsi="Arial" w:cs="Arial"/>
          <w:color w:val="000000"/>
          <w:sz w:val="20"/>
        </w:rPr>
        <w:t> Before: SMITH, Chief Judge, HARDIMAN, and RESTREPO, Circuit Judges.</w:t>
      </w:r>
    </w:p>
    <w:p w:rsidR="00E456CD" w:rsidRDefault="00000000">
      <w:pPr>
        <w:pStyle w:val="Normal20"/>
        <w:widowControl w:val="0"/>
        <w:spacing w:before="240" w:line="260" w:lineRule="atLeast"/>
      </w:pPr>
      <w:bookmarkStart w:id="3720" w:name="Opinion_by_14"/>
      <w:bookmarkEnd w:id="3720"/>
      <w:r>
        <w:rPr>
          <w:rFonts w:ascii="Arial" w:eastAsia="Arial" w:hAnsi="Arial" w:cs="Arial"/>
          <w:b/>
          <w:color w:val="000000"/>
          <w:sz w:val="20"/>
        </w:rPr>
        <w:t>Opinion by:</w:t>
      </w:r>
      <w:r>
        <w:rPr>
          <w:rFonts w:ascii="Arial" w:eastAsia="Arial" w:hAnsi="Arial" w:cs="Arial"/>
          <w:color w:val="000000"/>
          <w:sz w:val="20"/>
        </w:rPr>
        <w:t> SMITH</w:t>
      </w:r>
    </w:p>
    <w:p w:rsidR="00E456CD" w:rsidRDefault="00000000">
      <w:pPr>
        <w:pStyle w:val="Normal20"/>
        <w:keepNext/>
        <w:widowControl w:val="0"/>
        <w:spacing w:before="240" w:line="340" w:lineRule="atLeast"/>
      </w:pPr>
      <w:bookmarkStart w:id="3721" w:name="Opinion_19"/>
      <w:bookmarkEnd w:id="3721"/>
      <w:r>
        <w:rPr>
          <w:rFonts w:ascii="Arial" w:eastAsia="Arial" w:hAnsi="Arial" w:cs="Arial"/>
          <w:b/>
          <w:color w:val="000000"/>
          <w:sz w:val="28"/>
        </w:rPr>
        <w:t>Opinion</w:t>
      </w:r>
    </w:p>
    <w:p w:rsidR="00E456CD" w:rsidRDefault="00E22289">
      <w:pPr>
        <w:pStyle w:val="Normal20"/>
        <w:spacing w:line="60" w:lineRule="exact"/>
      </w:pPr>
      <w:r>
        <w:rPr>
          <w:noProof/>
        </w:rPr>
        <mc:AlternateContent>
          <mc:Choice Requires="wps">
            <w:drawing>
              <wp:anchor distT="0" distB="0" distL="114300" distR="114300" simplePos="0" relativeHeight="25170227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3395481"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DEB09" id="Line 45"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0"/>
      </w:pPr>
    </w:p>
    <w:p w:rsidR="00E456CD" w:rsidRDefault="00000000">
      <w:pPr>
        <w:pStyle w:val="Normal20"/>
        <w:widowControl w:val="0"/>
        <w:spacing w:before="200" w:line="260" w:lineRule="atLeast"/>
        <w:jc w:val="both"/>
      </w:pPr>
      <w:bookmarkStart w:id="3722" w:name="Bookmark_para_2_19"/>
      <w:bookmarkEnd w:id="3722"/>
      <w:r>
        <w:rPr>
          <w:rFonts w:ascii="Arial" w:eastAsia="Arial" w:hAnsi="Arial" w:cs="Arial"/>
          <w:color w:val="000000"/>
          <w:sz w:val="20"/>
        </w:rPr>
        <w:t xml:space="preserve"> [*473]  SMITH, </w:t>
      </w:r>
      <w:r>
        <w:rPr>
          <w:rFonts w:ascii="Arial" w:eastAsia="Arial" w:hAnsi="Arial" w:cs="Arial"/>
          <w:i/>
          <w:color w:val="000000"/>
          <w:sz w:val="20"/>
        </w:rPr>
        <w:t>Chief Judge</w:t>
      </w:r>
      <w:r>
        <w:rPr>
          <w:rFonts w:ascii="Arial" w:eastAsia="Arial" w:hAnsi="Arial" w:cs="Arial"/>
          <w:color w:val="000000"/>
          <w:sz w:val="20"/>
        </w:rPr>
        <w:t>.</w:t>
      </w:r>
    </w:p>
    <w:p w:rsidR="00E456CD" w:rsidRDefault="00000000">
      <w:pPr>
        <w:pStyle w:val="Normal20"/>
        <w:widowControl w:val="0"/>
        <w:spacing w:before="240" w:line="260" w:lineRule="atLeast"/>
      </w:pPr>
      <w:r>
        <w:br/>
      </w:r>
      <w:r>
        <w:rPr>
          <w:rFonts w:ascii="Arial" w:eastAsia="Arial" w:hAnsi="Arial" w:cs="Arial"/>
          <w:b/>
          <w:smallCaps/>
          <w:color w:val="000000"/>
          <w:sz w:val="20"/>
        </w:rPr>
        <w:t>Table of Contents</w:t>
      </w:r>
    </w:p>
    <w:p w:rsidR="00E456CD" w:rsidRDefault="00E22289">
      <w:pPr>
        <w:pStyle w:val="Normal20"/>
        <w:widowControl w:val="0"/>
        <w:spacing w:before="240" w:line="260" w:lineRule="atLeast"/>
      </w:pPr>
      <w:r>
        <w:rPr>
          <w:noProof/>
        </w:rPr>
        <w:drawing>
          <wp:inline distT="0" distB="0" distL="0" distR="0">
            <wp:extent cx="190500" cy="190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bookmarkStart w:id="3723" w:name="Table1_insert_0"/>
      <w:r w:rsidR="00000000">
        <w:fldChar w:fldCharType="begin"/>
      </w:r>
      <w:r w:rsidR="00000000">
        <w:instrText>HYPERLINK \l "Table1"</w:instrText>
      </w:r>
      <w:r w:rsidR="00000000">
        <w:fldChar w:fldCharType="separate"/>
      </w:r>
      <w:r w:rsidR="00000000">
        <w:rPr>
          <w:rFonts w:ascii="Arial" w:eastAsia="Arial" w:hAnsi="Arial" w:cs="Arial"/>
          <w:color w:val="0077CC"/>
          <w:sz w:val="20"/>
          <w:u w:val="single"/>
          <w:shd w:val="clear" w:color="auto" w:fill="FFFFFF"/>
        </w:rPr>
        <w:t>Go to table1</w:t>
      </w:r>
      <w:r w:rsidR="00000000">
        <w:rPr>
          <w:rFonts w:ascii="Arial" w:eastAsia="Arial" w:hAnsi="Arial" w:cs="Arial"/>
          <w:color w:val="0077CC"/>
          <w:sz w:val="20"/>
          <w:u w:val="single"/>
          <w:shd w:val="clear" w:color="auto" w:fill="FFFFFF"/>
        </w:rPr>
        <w:fldChar w:fldCharType="end"/>
      </w:r>
      <w:bookmarkEnd w:id="3723"/>
    </w:p>
    <w:p w:rsidR="00E456CD" w:rsidRDefault="00000000">
      <w:pPr>
        <w:pStyle w:val="Normal20"/>
        <w:widowControl w:val="0"/>
        <w:spacing w:before="240" w:line="260" w:lineRule="atLeast"/>
      </w:pPr>
      <w:r>
        <w:br/>
      </w:r>
      <w:r>
        <w:rPr>
          <w:rFonts w:ascii="Arial" w:eastAsia="Arial" w:hAnsi="Arial" w:cs="Arial"/>
          <w:b/>
          <w:smallCaps/>
          <w:color w:val="000000"/>
          <w:sz w:val="20"/>
        </w:rPr>
        <w:t>Introduction</w:t>
      </w:r>
    </w:p>
    <w:p w:rsidR="00E456CD" w:rsidRDefault="00000000">
      <w:pPr>
        <w:pStyle w:val="Normal20"/>
        <w:widowControl w:val="0"/>
        <w:spacing w:before="200" w:line="260" w:lineRule="atLeast"/>
        <w:jc w:val="both"/>
      </w:pPr>
      <w:bookmarkStart w:id="3724" w:name="Bookmark_para_3_19"/>
      <w:bookmarkEnd w:id="3724"/>
      <w:r>
        <w:rPr>
          <w:rFonts w:ascii="Arial" w:eastAsia="Arial" w:hAnsi="Arial" w:cs="Arial"/>
          <w:color w:val="000000"/>
          <w:sz w:val="20"/>
        </w:rPr>
        <w:t>In this class action lawsuit, two disability rights advocates have sued Steak 'n Shake under the Americans with Disabilities Act ("ADA"). Alleging they have personally experienced difficulty ambulating in their wheelchairs through two sloped parking facilities, these Plaintiffs seek to sue on behalf of all physically disabled individuals who may have experienced similar difficulties at Steak 'n Shake restaurants throughout the country. The District Court certified Plaintiffs' proposed class, and Steak 'n Shake now appeals that certification decision. We are tasked with answering two questions: First, whether Plaintiffs have standing under Article III of the United States Constitution, and second, whether they have satisfied the requirements set out in Federal Rule of Civil Procedure 23(a).</w:t>
      </w:r>
    </w:p>
    <w:p w:rsidR="00E456CD" w:rsidRDefault="00000000">
      <w:pPr>
        <w:pStyle w:val="Normal20"/>
        <w:widowControl w:val="0"/>
        <w:spacing w:before="200" w:line="260" w:lineRule="atLeast"/>
        <w:jc w:val="both"/>
      </w:pPr>
      <w:bookmarkStart w:id="3725" w:name="Bookmark_para_4_19"/>
      <w:bookmarkEnd w:id="3725"/>
      <w:r>
        <w:rPr>
          <w:rFonts w:ascii="Arial" w:eastAsia="Arial" w:hAnsi="Arial" w:cs="Arial"/>
          <w:color w:val="000000"/>
          <w:sz w:val="20"/>
        </w:rPr>
        <w:t>As to the first question, we conclude that Plaintiffs have standing to bring their claims in federal court. Although a mere procedural violation of the ADA does not qualify as an injury in fact under Article III, Plaintiffs allege to have personally experienced concrete injuries as a result of ADA violations on at least two occasions. Further, Plaintiffs have sufficiently alleged that these injuries were caused by unlawful corporate [**3]  policies that can be redressed with injunctive relief. We withhold judgment as to whether those corporate policies are indeed unlawful, as our standing inquiry extends only so far as to permit us to ensure that Plaintiffs have sufficiently pled as much.</w:t>
      </w:r>
    </w:p>
    <w:p w:rsidR="00E456CD" w:rsidRDefault="00000000">
      <w:pPr>
        <w:pStyle w:val="Normal20"/>
        <w:widowControl w:val="0"/>
        <w:spacing w:before="200" w:line="260" w:lineRule="atLeast"/>
        <w:jc w:val="both"/>
      </w:pPr>
      <w:bookmarkStart w:id="3726" w:name="Bookmark_para_5_19"/>
      <w:bookmarkEnd w:id="3726"/>
      <w:r>
        <w:rPr>
          <w:rFonts w:ascii="Arial" w:eastAsia="Arial" w:hAnsi="Arial" w:cs="Arial"/>
          <w:color w:val="000000"/>
          <w:sz w:val="20"/>
        </w:rPr>
        <w:t>As to the second question before us, we conclude that Plaintiffs have failed to satisfy Rule 23(a). The extraordinarily broad class certified by the District Court runs afoul of at least two of Rule 23(a)'s requirements. In light of this conclusion, the District Court's judgment will be reversed, and this matter will be remanded to the District Court to reconsider if a class should be certified.</w:t>
      </w:r>
    </w:p>
    <w:p w:rsidR="00E456CD" w:rsidRDefault="00000000">
      <w:pPr>
        <w:pStyle w:val="Normal20"/>
        <w:widowControl w:val="0"/>
        <w:spacing w:before="240" w:line="260" w:lineRule="atLeast"/>
      </w:pPr>
      <w:r>
        <w:br/>
      </w:r>
      <w:r>
        <w:rPr>
          <w:rFonts w:ascii="Arial" w:eastAsia="Arial" w:hAnsi="Arial" w:cs="Arial"/>
          <w:b/>
          <w:color w:val="000000"/>
          <w:sz w:val="20"/>
        </w:rPr>
        <w:t xml:space="preserve">I. </w:t>
      </w:r>
      <w:r>
        <w:rPr>
          <w:rFonts w:ascii="Arial" w:eastAsia="Arial" w:hAnsi="Arial" w:cs="Arial"/>
          <w:b/>
          <w:smallCaps/>
          <w:color w:val="000000"/>
          <w:sz w:val="20"/>
        </w:rPr>
        <w:t>Background</w:t>
      </w:r>
    </w:p>
    <w:p w:rsidR="00E456CD" w:rsidRDefault="00000000">
      <w:pPr>
        <w:pStyle w:val="Normal20"/>
        <w:widowControl w:val="0"/>
        <w:spacing w:before="200" w:line="260" w:lineRule="atLeast"/>
        <w:jc w:val="both"/>
      </w:pPr>
      <w:bookmarkStart w:id="3727" w:name="Bookmark_para_6_19"/>
      <w:bookmarkEnd w:id="3727"/>
      <w:r>
        <w:rPr>
          <w:rFonts w:ascii="Arial" w:eastAsia="Arial" w:hAnsi="Arial" w:cs="Arial"/>
          <w:color w:val="000000"/>
          <w:sz w:val="20"/>
        </w:rPr>
        <w:t xml:space="preserve">The District Court had jurisdiction pursuant to 28 U.S.C. § 1331 and 42 U.S.C. § 12188. This matter comes to us pursuant to </w:t>
      </w:r>
      <w:bookmarkStart w:id="3728" w:name="Bookmark_LNHNREFclscc1_17"/>
      <w:bookmarkEnd w:id="3728"/>
      <w:r>
        <w:rPr>
          <w:rFonts w:ascii="Arial" w:eastAsia="Arial" w:hAnsi="Arial" w:cs="Arial"/>
          <w:color w:val="000000"/>
          <w:sz w:val="20"/>
        </w:rPr>
        <w:t xml:space="preserve">Federal Rule of Civil Procedure 23(f), which permits a court of appeals to allow "an appeal from an order granting or denying class-action certification." </w:t>
      </w:r>
      <w:r>
        <w:rPr>
          <w:rFonts w:ascii="Arial" w:eastAsia="Arial" w:hAnsi="Arial" w:cs="Arial"/>
          <w:smallCaps/>
          <w:color w:val="000000"/>
          <w:sz w:val="20"/>
        </w:rPr>
        <w:t>Fed. R. Civ. P.</w:t>
      </w:r>
      <w:r>
        <w:rPr>
          <w:rFonts w:ascii="Arial" w:eastAsia="Arial" w:hAnsi="Arial" w:cs="Arial"/>
          <w:color w:val="000000"/>
          <w:sz w:val="20"/>
        </w:rPr>
        <w:t xml:space="preserve"> 23(f). </w:t>
      </w:r>
      <w:bookmarkStart w:id="3729" w:name="Bookmark_I5T2VJ0P2HM6WR0020000400"/>
      <w:bookmarkEnd w:id="3729"/>
      <w:r>
        <w:rPr>
          <w:rFonts w:ascii="Arial" w:eastAsia="Arial" w:hAnsi="Arial" w:cs="Arial"/>
          <w:color w:val="000000"/>
          <w:sz w:val="20"/>
        </w:rPr>
        <w:t xml:space="preserve">We exercise appellate jurisdiction pursuant to 28 U.S.C. § 1292(e).  [*474]  We review a district court's class certification decision under an abuse of discretion standard. </w:t>
      </w:r>
      <w:bookmarkStart w:id="3730" w:name="Bookmark_I5T2VJ0P2HM6WR0010000400"/>
      <w:bookmarkEnd w:id="3730"/>
      <w:r>
        <w:rPr>
          <w:rFonts w:ascii="Arial" w:eastAsia="Arial" w:hAnsi="Arial" w:cs="Arial"/>
          <w:i/>
          <w:color w:val="000000"/>
          <w:sz w:val="20"/>
        </w:rPr>
        <w:t>In re Hydrogen Peroxide Antitrust Litig.</w:t>
      </w:r>
      <w:r>
        <w:rPr>
          <w:rFonts w:ascii="Arial" w:eastAsia="Arial" w:hAnsi="Arial" w:cs="Arial"/>
          <w:color w:val="000000"/>
          <w:sz w:val="20"/>
        </w:rPr>
        <w:t xml:space="preserve">, 552 F.3d 305, 312 (3d Cir. 2008). We review </w:t>
      </w:r>
      <w:r>
        <w:rPr>
          <w:rFonts w:ascii="Arial" w:eastAsia="Arial" w:hAnsi="Arial" w:cs="Arial"/>
          <w:i/>
          <w:color w:val="000000"/>
          <w:sz w:val="20"/>
        </w:rPr>
        <w:t>de novo</w:t>
      </w:r>
      <w:r>
        <w:rPr>
          <w:rFonts w:ascii="Arial" w:eastAsia="Arial" w:hAnsi="Arial" w:cs="Arial"/>
          <w:color w:val="000000"/>
          <w:sz w:val="20"/>
        </w:rPr>
        <w:t xml:space="preserve"> the legal standards applied by a district court in reaching the certification decision. </w:t>
      </w:r>
      <w:r>
        <w:rPr>
          <w:rFonts w:ascii="Arial" w:eastAsia="Arial" w:hAnsi="Arial" w:cs="Arial"/>
          <w:i/>
          <w:color w:val="000000"/>
          <w:sz w:val="20"/>
        </w:rPr>
        <w:t>Id.</w:t>
      </w:r>
    </w:p>
    <w:p w:rsidR="00E456CD" w:rsidRDefault="00000000">
      <w:pPr>
        <w:pStyle w:val="Normal20"/>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Factual Background</w:t>
      </w:r>
    </w:p>
    <w:p w:rsidR="00E456CD" w:rsidRDefault="00000000">
      <w:pPr>
        <w:pStyle w:val="Normal20"/>
        <w:widowControl w:val="0"/>
        <w:spacing w:before="200" w:line="260" w:lineRule="atLeast"/>
        <w:jc w:val="both"/>
      </w:pPr>
      <w:bookmarkStart w:id="3731" w:name="Bookmark_para_7_19"/>
      <w:bookmarkEnd w:id="3731"/>
      <w:r>
        <w:rPr>
          <w:rFonts w:ascii="Arial" w:eastAsia="Arial" w:hAnsi="Arial" w:cs="Arial"/>
          <w:color w:val="000000"/>
          <w:sz w:val="20"/>
        </w:rPr>
        <w:t>Christopher Mielo and Sarah Heinzl ("Plaintiffs") are physically disabled [**4]  individuals who claim they have personally experienced difficulty in ambulating through steeply graded parking facilities at one Steak 'n Shake location each. Specifically, Mielo alleges that he "experienced unnecessary difficulty and risk due to excessive slopes in a purportedly accessible parking space and access aisle"</w:t>
      </w:r>
      <w:r>
        <w:rPr>
          <w:rFonts w:ascii="Arial" w:eastAsia="Arial" w:hAnsi="Arial" w:cs="Arial"/>
          <w:vertAlign w:val="superscript"/>
        </w:rPr>
        <w:footnoteReference w:customMarkFollows="1" w:id="159"/>
        <w:t>1</w:t>
      </w:r>
      <w:r>
        <w:rPr>
          <w:rFonts w:ascii="Arial" w:eastAsia="Arial" w:hAnsi="Arial" w:cs="Arial"/>
          <w:color w:val="000000"/>
          <w:sz w:val="20"/>
        </w:rPr>
        <w:t xml:space="preserve"> at a Steak 'n Shake in East Munhall, Pennsylvania. JA 90, 439. Heinzl alleges that she "experienced unnecessary difficulty and risk due to excessive surface slope in purportedly accessible parking spaces and access aisles, and excessive cross slope along the route connecting purportedly accessible parking spaces to the facility's entrance" at a Steak 'n Shake in Pleasant Hills, Pennsylvania. JA 90, 404-07. After experiencing these alleged violations, neither Mielo nor Heinzl notified anyone at Steak 'n Shake, although they did contact a lawyer. JA 408-10, 441-42; </w:t>
      </w:r>
      <w:r>
        <w:rPr>
          <w:rFonts w:ascii="Arial" w:eastAsia="Arial" w:hAnsi="Arial" w:cs="Arial"/>
          <w:i/>
          <w:color w:val="000000"/>
          <w:sz w:val="20"/>
        </w:rPr>
        <w:t>see also</w:t>
      </w:r>
      <w:r>
        <w:rPr>
          <w:rFonts w:ascii="Arial" w:eastAsia="Arial" w:hAnsi="Arial" w:cs="Arial"/>
          <w:color w:val="000000"/>
          <w:sz w:val="20"/>
        </w:rPr>
        <w:t xml:space="preserve"> National Association of Convenience Stores, National Grocers Association, and Food Marketing Institute Amici Br. 8 (stating that "21 of the 135 [ADA] Title III lawsuits filed in federal court in Pennsylvania in 2014 were filed on behalf of one of the plaintiffs in this case, Christopher Mielo"); [**5]  Katherine Corbett, Julie Farrar-Kuhn, Carrie Ann Lucas, Julie Reiskin, and the Civil Rights Education and Enforcement Center Amici Br. 3 n.1, 18 (noting it is not uncommon for disability advocates to serve as repeat class representatives).</w:t>
      </w:r>
    </w:p>
    <w:p w:rsidR="00E456CD" w:rsidRDefault="00000000">
      <w:pPr>
        <w:pStyle w:val="Normal20"/>
        <w:widowControl w:val="0"/>
        <w:spacing w:before="200" w:line="260" w:lineRule="atLeast"/>
        <w:jc w:val="both"/>
      </w:pPr>
      <w:bookmarkStart w:id="3733" w:name="Bookmark_para_8_19"/>
      <w:bookmarkEnd w:id="3733"/>
      <w:r>
        <w:rPr>
          <w:rFonts w:ascii="Arial" w:eastAsia="Arial" w:hAnsi="Arial" w:cs="Arial"/>
          <w:color w:val="000000"/>
          <w:sz w:val="20"/>
        </w:rPr>
        <w:t>In addition to these two Pennsylvania locations, Plaintiffs allege specific ADA violations at six other Steak 'n Shake restaurants located throughout Pennsylvania and Ohio. JA 90-92. Although Mielo and Heinzl do not claim to have personally experienced violations at the six other locations,</w:t>
      </w:r>
      <w:r>
        <w:rPr>
          <w:rFonts w:ascii="Arial" w:eastAsia="Arial" w:hAnsi="Arial" w:cs="Arial"/>
          <w:vertAlign w:val="superscript"/>
        </w:rPr>
        <w:footnoteReference w:customMarkFollows="1" w:id="160"/>
        <w:t>2</w:t>
      </w:r>
      <w:r>
        <w:rPr>
          <w:rFonts w:ascii="Arial" w:eastAsia="Arial" w:hAnsi="Arial" w:cs="Arial"/>
          <w:color w:val="000000"/>
          <w:sz w:val="20"/>
        </w:rPr>
        <w:t xml:space="preserve"> the law firm representing them hired an investigator who visited these locations and recorded evidence purportedly supporting the existence of violations. JA 90. Relying on the investigator's discoveries at these six additional locations, as well as their own experiences at the East Munhall and Pleasant Hills locations, Mielo and Heinzl seek to enjoin Steak 'n Shake on a national basis by requiring the company to adopt corporate policies relating to ADA compliance. There are over 500 Steak 'n Shake restaurants located throughout the United States, approximately 417 of which are at issue in this appeal.</w:t>
      </w:r>
      <w:r>
        <w:rPr>
          <w:rFonts w:ascii="Arial" w:eastAsia="Arial" w:hAnsi="Arial" w:cs="Arial"/>
          <w:vertAlign w:val="superscript"/>
        </w:rPr>
        <w:footnoteReference w:customMarkFollows="1" w:id="161"/>
        <w:t>3</w:t>
      </w:r>
    </w:p>
    <w:p w:rsidR="00E456CD" w:rsidRDefault="00000000">
      <w:pPr>
        <w:pStyle w:val="Normal20"/>
        <w:widowControl w:val="0"/>
        <w:spacing w:before="240" w:line="260" w:lineRule="atLeast"/>
      </w:pPr>
      <w:r>
        <w:br/>
      </w:r>
      <w:r>
        <w:rPr>
          <w:rFonts w:ascii="Arial" w:eastAsia="Arial" w:hAnsi="Arial" w:cs="Arial"/>
          <w:color w:val="000000"/>
          <w:sz w:val="20"/>
        </w:rPr>
        <w:t xml:space="preserve"> [*475]  </w:t>
      </w:r>
      <w:r>
        <w:rPr>
          <w:rFonts w:ascii="Arial" w:eastAsia="Arial" w:hAnsi="Arial" w:cs="Arial"/>
          <w:b/>
          <w:color w:val="000000"/>
          <w:sz w:val="20"/>
        </w:rPr>
        <w:t xml:space="preserve">B. </w:t>
      </w:r>
      <w:r>
        <w:rPr>
          <w:rFonts w:ascii="Arial" w:eastAsia="Arial" w:hAnsi="Arial" w:cs="Arial"/>
          <w:b/>
          <w:i/>
          <w:color w:val="000000"/>
          <w:sz w:val="20"/>
        </w:rPr>
        <w:t>Procedural History</w:t>
      </w:r>
    </w:p>
    <w:p w:rsidR="00E456CD" w:rsidRDefault="00000000">
      <w:pPr>
        <w:pStyle w:val="Normal20"/>
        <w:widowControl w:val="0"/>
        <w:spacing w:before="200" w:line="260" w:lineRule="atLeast"/>
        <w:jc w:val="both"/>
      </w:pPr>
      <w:bookmarkStart w:id="3736" w:name="Bookmark_para_9_19"/>
      <w:bookmarkEnd w:id="3736"/>
      <w:r>
        <w:rPr>
          <w:rFonts w:ascii="Arial" w:eastAsia="Arial" w:hAnsi="Arial" w:cs="Arial"/>
          <w:color w:val="000000"/>
          <w:sz w:val="20"/>
        </w:rPr>
        <w:t>Plaintiffs' complaint requests [**6]  both "a declaration that [Steak 'n Shake's] facilities violate federal law," and "an injunction requiring [Steak 'n Shake] to remove the identified access barriers so that [Steak 'n Shake's] facilities are fully accessible to, and independently usable by individuals with mobility disabilities, as required by the ADA." JA 87. Plaintiffs propose novel interpretations of the ADA and its corresponding regulations, according to which Steak 'n Shake would not only be required to correct access barriers, but would also be required to adopt corporate policies directing Steak 'n Shake employees to continually search for hypothetical access barriers that might need correcting. Despite the novelty of these interpretations, Steak 'n Shake has not yet filed a motion to dismiss or motion for summary judgment.</w:t>
      </w:r>
    </w:p>
    <w:p w:rsidR="00E456CD" w:rsidRDefault="00000000">
      <w:pPr>
        <w:pStyle w:val="Normal20"/>
        <w:widowControl w:val="0"/>
        <w:spacing w:before="200" w:line="260" w:lineRule="atLeast"/>
        <w:jc w:val="both"/>
      </w:pPr>
      <w:bookmarkStart w:id="3737" w:name="Bookmark_para_10_19"/>
      <w:bookmarkEnd w:id="3737"/>
      <w:r>
        <w:rPr>
          <w:rFonts w:ascii="Arial" w:eastAsia="Arial" w:hAnsi="Arial" w:cs="Arial"/>
          <w:color w:val="000000"/>
          <w:sz w:val="20"/>
        </w:rPr>
        <w:t>On April 27, 2017, the District Court granted Plaintiffs' motion to certify a class under Federal Rule of Civil Procedure 23(b)(2). JA 75. The certified class was defined as follows:</w:t>
      </w:r>
    </w:p>
    <w:p w:rsidR="00E456CD" w:rsidRDefault="00000000">
      <w:pPr>
        <w:pStyle w:val="Normal20"/>
        <w:widowControl w:val="0"/>
        <w:spacing w:before="200" w:line="260" w:lineRule="atLeast"/>
        <w:ind w:left="400"/>
        <w:jc w:val="both"/>
      </w:pPr>
      <w:bookmarkStart w:id="3738" w:name="Bookmark_para_11_19"/>
      <w:bookmarkEnd w:id="3738"/>
      <w:r>
        <w:rPr>
          <w:rFonts w:ascii="Arial" w:eastAsia="Arial" w:hAnsi="Arial" w:cs="Arial"/>
          <w:color w:val="000000"/>
          <w:sz w:val="20"/>
        </w:rPr>
        <w:t>All persons with qualified mobility disabilities who were or will be denied the full and equal enjoyment of the goods, services, facilities, privileges, advantages or accommodations of any Steak 'n Shake restaurant location in the United States on the [**7]  basis of a disability because such persons encountered accessibility barriers at any Steak 'n Shake restaurant where Defendant owns, controls and/or operates the parking facilities.</w:t>
      </w:r>
    </w:p>
    <w:p w:rsidR="00E456CD" w:rsidRDefault="00000000">
      <w:pPr>
        <w:pStyle w:val="Normal20"/>
        <w:widowControl w:val="0"/>
        <w:spacing w:line="260" w:lineRule="atLeast"/>
        <w:jc w:val="both"/>
      </w:pPr>
      <w:r>
        <w:rPr>
          <w:rFonts w:ascii="Arial" w:eastAsia="Arial" w:hAnsi="Arial" w:cs="Arial"/>
          <w:color w:val="000000"/>
          <w:sz w:val="20"/>
        </w:rPr>
        <w:t>JA 75. As part of its certification ruling, the District Court appointed Mielo and Heinzl as class representatives. JA 75.</w:t>
      </w:r>
    </w:p>
    <w:p w:rsidR="00E456CD" w:rsidRDefault="00000000">
      <w:pPr>
        <w:pStyle w:val="Normal20"/>
        <w:widowControl w:val="0"/>
        <w:spacing w:before="200" w:line="260" w:lineRule="atLeast"/>
        <w:jc w:val="both"/>
      </w:pPr>
      <w:bookmarkStart w:id="3739" w:name="Bookmark_para_12_18"/>
      <w:bookmarkStart w:id="3740" w:name="Bookmark_I5T2VJ0P2HM6WR0040000400"/>
      <w:bookmarkStart w:id="3741" w:name="Bookmark_I5T2VJ0P2N1PN50010000400"/>
      <w:bookmarkEnd w:id="3739"/>
      <w:bookmarkEnd w:id="3740"/>
      <w:bookmarkEnd w:id="3741"/>
      <w:r>
        <w:rPr>
          <w:rFonts w:ascii="Arial" w:eastAsia="Arial" w:hAnsi="Arial" w:cs="Arial"/>
          <w:color w:val="000000"/>
          <w:sz w:val="20"/>
        </w:rPr>
        <w:t xml:space="preserve">In certifying the class, the District Court analyzed the underlying law in this case. </w:t>
      </w:r>
      <w:bookmarkStart w:id="3742" w:name="Bookmark_LNHNREFclscc2_17"/>
      <w:bookmarkEnd w:id="3742"/>
      <w:r>
        <w:rPr>
          <w:rFonts w:ascii="Arial" w:eastAsia="Arial" w:hAnsi="Arial" w:cs="Arial"/>
          <w:color w:val="000000"/>
          <w:sz w:val="20"/>
        </w:rPr>
        <w:t xml:space="preserve">Although discussion of such underlying law must necessarily be limited when conducting the standing analysis here, </w:t>
      </w:r>
      <w:bookmarkStart w:id="3743" w:name="Bookmark_I5T2VJ0P2HM6WR0030000400"/>
      <w:bookmarkEnd w:id="3743"/>
      <w:r>
        <w:rPr>
          <w:rFonts w:ascii="Arial" w:eastAsia="Arial" w:hAnsi="Arial" w:cs="Arial"/>
          <w:i/>
          <w:color w:val="000000"/>
          <w:sz w:val="20"/>
        </w:rPr>
        <w:t>Cottrell v. Alcon Labs.</w:t>
      </w:r>
      <w:r>
        <w:rPr>
          <w:rFonts w:ascii="Arial" w:eastAsia="Arial" w:hAnsi="Arial" w:cs="Arial"/>
          <w:color w:val="000000"/>
          <w:sz w:val="20"/>
        </w:rPr>
        <w:t xml:space="preserve">, 874 F.3d 154, 162 (3d Cir. 2017) (referring to the "fundamental separation between standing and merits at the dismissal stage"), that law is intertwined with our Rule 23 inquiry. </w:t>
      </w:r>
      <w:bookmarkStart w:id="3744" w:name="Bookmark_I5T2VJ0P2HM6WR0050000400"/>
      <w:bookmarkEnd w:id="3744"/>
      <w:r>
        <w:rPr>
          <w:rFonts w:ascii="Arial" w:eastAsia="Arial" w:hAnsi="Arial" w:cs="Arial"/>
          <w:i/>
          <w:color w:val="000000"/>
          <w:sz w:val="20"/>
        </w:rPr>
        <w:t>Hydrogen Peroxide</w:t>
      </w:r>
      <w:r>
        <w:rPr>
          <w:rFonts w:ascii="Arial" w:eastAsia="Arial" w:hAnsi="Arial" w:cs="Arial"/>
          <w:color w:val="000000"/>
          <w:sz w:val="20"/>
        </w:rPr>
        <w:t xml:space="preserve">, 552 F.3d at 307 ("[T]he court must resolve all factual or legal disputes relevant to class certification, even if they overlap with the merits—including disputes touching on elements of the cause of action."); </w:t>
      </w:r>
      <w:bookmarkStart w:id="3745" w:name="Bookmark_I5T2VJ0P2N1PN50020000400"/>
      <w:bookmarkEnd w:id="3745"/>
      <w:r>
        <w:rPr>
          <w:rFonts w:ascii="Arial" w:eastAsia="Arial" w:hAnsi="Arial" w:cs="Arial"/>
          <w:i/>
          <w:color w:val="000000"/>
          <w:sz w:val="20"/>
        </w:rPr>
        <w:t>Marcus v. BMW of N. Am., LLC</w:t>
      </w:r>
      <w:r>
        <w:rPr>
          <w:rFonts w:ascii="Arial" w:eastAsia="Arial" w:hAnsi="Arial" w:cs="Arial"/>
          <w:color w:val="000000"/>
          <w:sz w:val="20"/>
        </w:rPr>
        <w:t>, 687 F.3d 583, 591 (3d Cir. 2012) (stating that a "court cannot be bashful" when determining "whether there is actual conformance with Rule 23"). In light of this overlap, we briefly lay out the law upon which Plaintiffs rest their claims.</w:t>
      </w:r>
    </w:p>
    <w:p w:rsidR="00E456CD" w:rsidRDefault="00000000">
      <w:pPr>
        <w:pStyle w:val="Normal20"/>
        <w:widowControl w:val="0"/>
        <w:spacing w:before="240" w:line="260" w:lineRule="atLeast"/>
      </w:pPr>
      <w:r>
        <w:br/>
      </w:r>
      <w:r>
        <w:rPr>
          <w:rFonts w:ascii="Arial" w:eastAsia="Arial" w:hAnsi="Arial" w:cs="Arial"/>
          <w:b/>
          <w:color w:val="000000"/>
          <w:sz w:val="20"/>
        </w:rPr>
        <w:t xml:space="preserve">C. </w:t>
      </w:r>
      <w:r>
        <w:rPr>
          <w:rFonts w:ascii="Arial" w:eastAsia="Arial" w:hAnsi="Arial" w:cs="Arial"/>
          <w:b/>
          <w:i/>
          <w:color w:val="000000"/>
          <w:sz w:val="20"/>
        </w:rPr>
        <w:t>Applicable Law and Theory of Harm</w:t>
      </w:r>
    </w:p>
    <w:p w:rsidR="00E456CD" w:rsidRDefault="00000000">
      <w:pPr>
        <w:pStyle w:val="Normal20"/>
        <w:widowControl w:val="0"/>
        <w:spacing w:before="200" w:line="260" w:lineRule="atLeast"/>
        <w:jc w:val="both"/>
      </w:pPr>
      <w:bookmarkStart w:id="3746" w:name="Bookmark_para_13_17"/>
      <w:bookmarkStart w:id="3747" w:name="Bookmark_LNHNREFclscc3_16"/>
      <w:bookmarkEnd w:id="3746"/>
      <w:bookmarkEnd w:id="3747"/>
      <w:r>
        <w:rPr>
          <w:rFonts w:ascii="Arial" w:eastAsia="Arial" w:hAnsi="Arial" w:cs="Arial"/>
          <w:color w:val="000000"/>
          <w:sz w:val="20"/>
        </w:rPr>
        <w:t xml:space="preserve">The ADA seeks to "provide a clear and comprehensive national mandate for the elimination of discrimination against individuals [**8]  with disabilities." 42 U.S.C § 12101. Title III of that landmark civil rights law specifically prohibits discrimination against the disabled in the full and equal enjoyment of any place of public accommodation. </w:t>
      </w:r>
      <w:r>
        <w:rPr>
          <w:rFonts w:ascii="Arial" w:eastAsia="Arial" w:hAnsi="Arial" w:cs="Arial"/>
          <w:i/>
          <w:color w:val="000000"/>
          <w:sz w:val="20"/>
        </w:rPr>
        <w:t>See</w:t>
      </w:r>
      <w:r>
        <w:rPr>
          <w:rFonts w:ascii="Arial" w:eastAsia="Arial" w:hAnsi="Arial" w:cs="Arial"/>
          <w:color w:val="000000"/>
          <w:sz w:val="20"/>
        </w:rPr>
        <w:t xml:space="preserve"> 42 U.S.C. § 12182(a). Title III applies to buildings built both before and after the ADA's enactment. Specifically, Title III requires "places of public accommodation"</w:t>
      </w:r>
      <w:r>
        <w:rPr>
          <w:rFonts w:ascii="Arial" w:eastAsia="Arial" w:hAnsi="Arial" w:cs="Arial"/>
          <w:vertAlign w:val="superscript"/>
        </w:rPr>
        <w:footnoteReference w:customMarkFollows="1" w:id="162"/>
        <w:t>4</w:t>
      </w:r>
      <w:r>
        <w:rPr>
          <w:rFonts w:ascii="Arial" w:eastAsia="Arial" w:hAnsi="Arial" w:cs="Arial"/>
          <w:color w:val="000000"/>
          <w:sz w:val="20"/>
        </w:rPr>
        <w:t xml:space="preserve"> to "remove architectural barriers ... in existing facilities ... where such removal is readily achievable," 42 U.S.C. § 12182(b)(2)(A)(iv), and to "design and construct facilities for first occupancy [no] later than 30 months after July 26, 1990, that are readily accessible to and usable by individuals with disabilities, except where an entity can demonstrate  [*476]  that it is structurally impracticable to meet the requirements of such subsection." 42 U.S.C. § 12183(a)(1).</w:t>
      </w:r>
    </w:p>
    <w:p w:rsidR="00E456CD" w:rsidRDefault="00000000">
      <w:pPr>
        <w:pStyle w:val="Normal20"/>
        <w:widowControl w:val="0"/>
        <w:spacing w:before="200" w:line="260" w:lineRule="atLeast"/>
        <w:jc w:val="both"/>
      </w:pPr>
      <w:bookmarkStart w:id="3749" w:name="Bookmark_para_14_16"/>
      <w:bookmarkEnd w:id="3749"/>
      <w:r>
        <w:rPr>
          <w:rFonts w:ascii="Arial" w:eastAsia="Arial" w:hAnsi="Arial" w:cs="Arial"/>
          <w:color w:val="000000"/>
          <w:sz w:val="20"/>
        </w:rPr>
        <w:t>Plaintiffs seek injunctive relief to require Steak 'n Shake to adopt centralized corporate policies crafted to ensure that potential discriminatory access violations are actively sought out and corrected. Plaintiffs seek to do so pursuant to the ADA, which permits private individuals to seek injunctive relief. As 42 U.S.C. § 12188(a)(1)-(2) provides:</w:t>
      </w:r>
    </w:p>
    <w:p w:rsidR="00E456CD" w:rsidRDefault="00E456CD">
      <w:pPr>
        <w:pStyle w:val="Normal20"/>
      </w:pPr>
    </w:p>
    <w:p w:rsidR="00E456CD" w:rsidRDefault="00000000">
      <w:pPr>
        <w:pStyle w:val="Normal20"/>
        <w:widowControl w:val="0"/>
        <w:spacing w:before="200" w:line="260" w:lineRule="atLeast"/>
        <w:ind w:left="400"/>
        <w:jc w:val="both"/>
      </w:pPr>
      <w:r>
        <w:rPr>
          <w:rFonts w:ascii="Arial" w:eastAsia="Arial" w:hAnsi="Arial" w:cs="Arial"/>
          <w:color w:val="000000"/>
          <w:sz w:val="20"/>
        </w:rPr>
        <w:t xml:space="preserve">(1) </w:t>
      </w:r>
      <w:r>
        <w:rPr>
          <w:rFonts w:ascii="Arial" w:eastAsia="Arial" w:hAnsi="Arial" w:cs="Arial"/>
          <w:color w:val="000000"/>
          <w:sz w:val="20"/>
          <w:u w:val="single"/>
        </w:rPr>
        <w:t>Availability of remedies and procedures</w:t>
      </w:r>
      <w:r>
        <w:rPr>
          <w:rFonts w:ascii="Arial" w:eastAsia="Arial" w:hAnsi="Arial" w:cs="Arial"/>
          <w:color w:val="000000"/>
          <w:sz w:val="20"/>
        </w:rPr>
        <w:t>.</w:t>
      </w:r>
    </w:p>
    <w:p w:rsidR="00E456CD" w:rsidRDefault="00000000">
      <w:pPr>
        <w:pStyle w:val="Normal20"/>
        <w:widowControl w:val="0"/>
        <w:spacing w:before="200" w:line="260" w:lineRule="atLeast"/>
        <w:ind w:left="400"/>
        <w:jc w:val="both"/>
      </w:pPr>
      <w:bookmarkStart w:id="3750" w:name="Bookmark_para_15_16"/>
      <w:bookmarkEnd w:id="3750"/>
      <w:r>
        <w:rPr>
          <w:rFonts w:ascii="Arial" w:eastAsia="Arial" w:hAnsi="Arial" w:cs="Arial"/>
          <w:color w:val="000000"/>
          <w:sz w:val="20"/>
        </w:rPr>
        <w:t>The remedies and procedures set forth in section 2000a-3(a)</w:t>
      </w:r>
      <w:r>
        <w:rPr>
          <w:rFonts w:ascii="Arial" w:eastAsia="Arial" w:hAnsi="Arial" w:cs="Arial"/>
          <w:vertAlign w:val="superscript"/>
        </w:rPr>
        <w:footnoteReference w:customMarkFollows="1" w:id="163"/>
        <w:t>5</w:t>
      </w:r>
      <w:r>
        <w:rPr>
          <w:rFonts w:ascii="Arial" w:eastAsia="Arial" w:hAnsi="Arial" w:cs="Arial"/>
          <w:color w:val="000000"/>
          <w:sz w:val="20"/>
        </w:rPr>
        <w:t xml:space="preserve"> of this title are the remedies [**9]  and procedures this subchapter provides to any person who is being subjected to discrimination on the basis of disability . . . .</w:t>
      </w:r>
    </w:p>
    <w:p w:rsidR="00E456CD" w:rsidRDefault="00E456CD">
      <w:pPr>
        <w:pStyle w:val="Normal20"/>
      </w:pPr>
    </w:p>
    <w:p w:rsidR="00E456CD" w:rsidRDefault="00000000">
      <w:pPr>
        <w:pStyle w:val="Normal20"/>
        <w:widowControl w:val="0"/>
        <w:spacing w:before="200" w:line="260" w:lineRule="atLeast"/>
        <w:ind w:left="400"/>
        <w:jc w:val="both"/>
      </w:pPr>
      <w:r>
        <w:rPr>
          <w:rFonts w:ascii="Arial" w:eastAsia="Arial" w:hAnsi="Arial" w:cs="Arial"/>
          <w:color w:val="000000"/>
          <w:sz w:val="20"/>
        </w:rPr>
        <w:t xml:space="preserve">(2) </w:t>
      </w:r>
      <w:r>
        <w:rPr>
          <w:rFonts w:ascii="Arial" w:eastAsia="Arial" w:hAnsi="Arial" w:cs="Arial"/>
          <w:color w:val="000000"/>
          <w:sz w:val="20"/>
          <w:u w:val="single"/>
        </w:rPr>
        <w:t>Injunctive relief</w:t>
      </w:r>
      <w:r>
        <w:rPr>
          <w:rFonts w:ascii="Arial" w:eastAsia="Arial" w:hAnsi="Arial" w:cs="Arial"/>
          <w:color w:val="000000"/>
          <w:sz w:val="20"/>
        </w:rPr>
        <w:t>.</w:t>
      </w:r>
    </w:p>
    <w:p w:rsidR="00E456CD" w:rsidRDefault="00000000">
      <w:pPr>
        <w:pStyle w:val="Normal20"/>
        <w:widowControl w:val="0"/>
        <w:spacing w:line="260" w:lineRule="atLeast"/>
        <w:ind w:left="400"/>
        <w:jc w:val="both"/>
      </w:pPr>
      <w:bookmarkStart w:id="3753" w:name="Bookmark_para_16_15"/>
      <w:bookmarkEnd w:id="3753"/>
      <w:r>
        <w:rPr>
          <w:rFonts w:ascii="Arial" w:eastAsia="Arial" w:hAnsi="Arial" w:cs="Arial"/>
          <w:color w:val="000000"/>
          <w:sz w:val="20"/>
        </w:rPr>
        <w:t>In the case of violations of sections 12182(b)(2)(A)(iv)</w:t>
      </w:r>
      <w:r>
        <w:rPr>
          <w:rFonts w:ascii="Arial" w:eastAsia="Arial" w:hAnsi="Arial" w:cs="Arial"/>
          <w:vertAlign w:val="superscript"/>
        </w:rPr>
        <w:footnoteReference w:customMarkFollows="1" w:id="164"/>
        <w:t>6</w:t>
      </w:r>
      <w:r>
        <w:rPr>
          <w:rFonts w:ascii="Arial" w:eastAsia="Arial" w:hAnsi="Arial" w:cs="Arial"/>
          <w:color w:val="000000"/>
          <w:sz w:val="20"/>
        </w:rPr>
        <w:t xml:space="preserve"> and section 12183(a)</w:t>
      </w:r>
      <w:r>
        <w:rPr>
          <w:rFonts w:ascii="Arial" w:eastAsia="Arial" w:hAnsi="Arial" w:cs="Arial"/>
          <w:vertAlign w:val="superscript"/>
        </w:rPr>
        <w:footnoteReference w:customMarkFollows="1" w:id="165"/>
        <w:t>7</w:t>
      </w:r>
      <w:r>
        <w:rPr>
          <w:rFonts w:ascii="Arial" w:eastAsia="Arial" w:hAnsi="Arial" w:cs="Arial"/>
          <w:color w:val="000000"/>
          <w:sz w:val="20"/>
        </w:rPr>
        <w:t xml:space="preserve"> of this title, injunctive relief shall include an order to alter facilities to make such facilities readily accessible to and usable by individuals with disabilities to the extent required by this subchapter. Where appropriate, injunctive relief shall also include requiring the provision of an auxiliary aid or service, modification of a policy, or provision of alternative methods, to the extent required by this subchapter.</w:t>
      </w:r>
    </w:p>
    <w:p w:rsidR="00E456CD" w:rsidRDefault="00000000">
      <w:pPr>
        <w:pStyle w:val="Normal20"/>
        <w:widowControl w:val="0"/>
        <w:spacing w:line="260" w:lineRule="atLeast"/>
        <w:jc w:val="both"/>
      </w:pPr>
      <w:r>
        <w:rPr>
          <w:rFonts w:ascii="Arial" w:eastAsia="Arial" w:hAnsi="Arial" w:cs="Arial"/>
          <w:color w:val="000000"/>
          <w:sz w:val="20"/>
        </w:rPr>
        <w:t>42 U.S.C. § 12188(a)(1)-(2). Of the many interconnected sections mentioned within the statutory language laid out above, 42 U.S.C. § 12182(b)(2)(A)(iv) is perhaps the most relevant to our Rule 23(a) analysis.</w:t>
      </w:r>
      <w:r>
        <w:rPr>
          <w:rFonts w:ascii="Arial" w:eastAsia="Arial" w:hAnsi="Arial" w:cs="Arial"/>
          <w:vertAlign w:val="superscript"/>
        </w:rPr>
        <w:footnoteReference w:customMarkFollows="1" w:id="166"/>
        <w:t>8</w:t>
      </w:r>
      <w:r>
        <w:rPr>
          <w:rFonts w:ascii="Arial" w:eastAsia="Arial" w:hAnsi="Arial" w:cs="Arial"/>
          <w:color w:val="000000"/>
          <w:sz w:val="20"/>
        </w:rPr>
        <w:t xml:space="preserve"> We must, therefore, look at it closely.</w:t>
      </w:r>
    </w:p>
    <w:p w:rsidR="00E456CD" w:rsidRDefault="00000000">
      <w:pPr>
        <w:pStyle w:val="Normal20"/>
        <w:widowControl w:val="0"/>
        <w:spacing w:before="200" w:line="260" w:lineRule="atLeast"/>
        <w:jc w:val="both"/>
      </w:pPr>
      <w:bookmarkStart w:id="3758" w:name="Bookmark_para_17_14"/>
      <w:bookmarkStart w:id="3759" w:name="Bookmark_LNHNREFclscc6_14"/>
      <w:bookmarkEnd w:id="3758"/>
      <w:bookmarkEnd w:id="3759"/>
      <w:r>
        <w:rPr>
          <w:rFonts w:ascii="Arial" w:eastAsia="Arial" w:hAnsi="Arial" w:cs="Arial"/>
          <w:color w:val="000000"/>
          <w:sz w:val="20"/>
        </w:rPr>
        <w:t>Section 12182(b)(2)(A)(iv) states that, for purposes of 42 U.S.C. § 12182(a),</w:t>
      </w:r>
      <w:r>
        <w:rPr>
          <w:rFonts w:ascii="Arial" w:eastAsia="Arial" w:hAnsi="Arial" w:cs="Arial"/>
          <w:vertAlign w:val="superscript"/>
        </w:rPr>
        <w:footnoteReference w:customMarkFollows="1" w:id="167"/>
        <w:t>9</w:t>
      </w:r>
      <w:r>
        <w:rPr>
          <w:rFonts w:ascii="Arial" w:eastAsia="Arial" w:hAnsi="Arial" w:cs="Arial"/>
          <w:color w:val="000000"/>
          <w:sz w:val="20"/>
        </w:rPr>
        <w:t xml:space="preserve"> the  [*477]  term "discrimination" shall include a "failure to remove architectural barriers . . . where such removal is readily achievable." 42 U.S.C. § 12182. While the ADA itself fails to define "architectural barriers," the Department of Justice's ADA Guide for Small Businesses defines "architectural barriers" as:</w:t>
      </w:r>
    </w:p>
    <w:p w:rsidR="00E456CD" w:rsidRDefault="00000000">
      <w:pPr>
        <w:pStyle w:val="Normal20"/>
        <w:widowControl w:val="0"/>
        <w:spacing w:before="200" w:line="260" w:lineRule="atLeast"/>
        <w:ind w:left="400"/>
        <w:jc w:val="both"/>
      </w:pPr>
      <w:bookmarkStart w:id="3761" w:name="Bookmark_para_18_14"/>
      <w:bookmarkEnd w:id="3761"/>
      <w:r>
        <w:rPr>
          <w:rFonts w:ascii="Arial" w:eastAsia="Arial" w:hAnsi="Arial" w:cs="Arial"/>
          <w:color w:val="000000"/>
          <w:sz w:val="20"/>
        </w:rPr>
        <w:t>[P]hysical features that limit or prevent people with disabilities from obtaining [**10]  the goods or services that are offered. They can include parking spaces that are too narrow to accommodate people who use wheelchairs; a step or steps at the entrance or to part of the selling space of a store; round doorknobs or door hardware that is difficult to grasp; aisles that are too narrow for a person using a wheelchair, electric scooter, or a walker; a high counter or narrow checkout aisles at a cash register, and fixed tables in eating areas that are too low to accommodate a person using a wheelchair or that have fixed seats that prevent a person using a wheelchair from pulling under the table.</w:t>
      </w:r>
    </w:p>
    <w:p w:rsidR="00E456CD" w:rsidRDefault="00000000">
      <w:pPr>
        <w:pStyle w:val="Normal20"/>
        <w:widowControl w:val="0"/>
        <w:spacing w:line="260" w:lineRule="atLeast"/>
        <w:jc w:val="both"/>
      </w:pPr>
      <w:r>
        <w:rPr>
          <w:rFonts w:ascii="Arial" w:eastAsia="Arial" w:hAnsi="Arial" w:cs="Arial"/>
          <w:color w:val="000000"/>
          <w:sz w:val="20"/>
        </w:rPr>
        <w:t>ADA Guide for Small Businesses, at 3, available at https://www.ada.gov/smbusgd.pdf . The Department of Justice promulgated guidelines pursuant to 42 U.S.C. § 12186 (providing that "the Attorney General shall issue regulations").</w:t>
      </w:r>
    </w:p>
    <w:p w:rsidR="00E456CD" w:rsidRDefault="00000000">
      <w:pPr>
        <w:pStyle w:val="Normal20"/>
        <w:widowControl w:val="0"/>
        <w:spacing w:before="200" w:line="260" w:lineRule="atLeast"/>
        <w:jc w:val="both"/>
      </w:pPr>
      <w:bookmarkStart w:id="3762" w:name="Bookmark_para_19_14"/>
      <w:bookmarkEnd w:id="3762"/>
      <w:r>
        <w:rPr>
          <w:rFonts w:ascii="Arial" w:eastAsia="Arial" w:hAnsi="Arial" w:cs="Arial"/>
          <w:color w:val="000000"/>
          <w:sz w:val="20"/>
        </w:rPr>
        <w:t xml:space="preserve">One regulation, 28 C.F.R. § 36.211 ("Section 211"), is of central importance to Plaintiffs' theory of harm. </w:t>
      </w:r>
      <w:bookmarkStart w:id="3763" w:name="Bookmark_LNHNREFclscc7_14"/>
      <w:bookmarkEnd w:id="3763"/>
      <w:r>
        <w:rPr>
          <w:rFonts w:ascii="Arial" w:eastAsia="Arial" w:hAnsi="Arial" w:cs="Arial"/>
          <w:color w:val="000000"/>
          <w:sz w:val="20"/>
        </w:rPr>
        <w:t>That regulation arguably refers to a restaurant's "ongoing" maintenance obligation, providing:</w:t>
      </w:r>
    </w:p>
    <w:p w:rsidR="00E456CD" w:rsidRDefault="00E456CD">
      <w:pPr>
        <w:pStyle w:val="Normal20"/>
      </w:pPr>
    </w:p>
    <w:p w:rsidR="00E456CD" w:rsidRDefault="00000000">
      <w:pPr>
        <w:pStyle w:val="Normal20"/>
        <w:widowControl w:val="0"/>
        <w:spacing w:before="240" w:line="260" w:lineRule="atLeast"/>
        <w:ind w:left="400"/>
        <w:jc w:val="both"/>
      </w:pPr>
      <w:r>
        <w:rPr>
          <w:rFonts w:ascii="Arial" w:eastAsia="Arial" w:hAnsi="Arial" w:cs="Arial"/>
          <w:color w:val="000000"/>
          <w:sz w:val="20"/>
          <w:u w:val="single"/>
        </w:rPr>
        <w:t>Maintenance of accessible features</w:t>
      </w:r>
      <w:r>
        <w:rPr>
          <w:rFonts w:ascii="Arial" w:eastAsia="Arial" w:hAnsi="Arial" w:cs="Arial"/>
          <w:color w:val="000000"/>
          <w:sz w:val="20"/>
        </w:rPr>
        <w:t>.</w:t>
      </w:r>
    </w:p>
    <w:p w:rsidR="00E456CD" w:rsidRDefault="00000000">
      <w:pPr>
        <w:pStyle w:val="Normal20"/>
        <w:widowControl w:val="0"/>
        <w:spacing w:before="200" w:line="260" w:lineRule="atLeast"/>
        <w:ind w:left="400"/>
        <w:jc w:val="both"/>
      </w:pPr>
      <w:bookmarkStart w:id="3764" w:name="Bookmark_para_20_14"/>
      <w:bookmarkEnd w:id="3764"/>
      <w:r>
        <w:rPr>
          <w:rFonts w:ascii="Arial" w:eastAsia="Arial" w:hAnsi="Arial" w:cs="Arial"/>
          <w:color w:val="000000"/>
          <w:sz w:val="20"/>
        </w:rPr>
        <w:t>(a) A public accommodation shall maintain in operable working condition those features of facilities and equipment that are required to be readily accessible to and usable by persons with disabilities by the [**11]  Act or this part.</w:t>
      </w:r>
    </w:p>
    <w:p w:rsidR="00E456CD" w:rsidRDefault="00000000">
      <w:pPr>
        <w:pStyle w:val="Normal20"/>
        <w:widowControl w:val="0"/>
        <w:spacing w:line="260" w:lineRule="atLeast"/>
        <w:ind w:left="400"/>
        <w:jc w:val="both"/>
      </w:pPr>
      <w:bookmarkStart w:id="3765" w:name="Bookmark_para_21_13"/>
      <w:bookmarkEnd w:id="3765"/>
      <w:r>
        <w:rPr>
          <w:rFonts w:ascii="Arial" w:eastAsia="Arial" w:hAnsi="Arial" w:cs="Arial"/>
          <w:color w:val="000000"/>
          <w:sz w:val="20"/>
        </w:rPr>
        <w:t>(b) This section does not prohibit isolated or temporary interruptions in service or access due to maintenance or repairs. . . .</w:t>
      </w:r>
    </w:p>
    <w:p w:rsidR="00E456CD" w:rsidRDefault="00000000">
      <w:pPr>
        <w:pStyle w:val="Normal20"/>
        <w:widowControl w:val="0"/>
        <w:spacing w:line="260" w:lineRule="atLeast"/>
        <w:jc w:val="both"/>
      </w:pPr>
      <w:r>
        <w:rPr>
          <w:rFonts w:ascii="Arial" w:eastAsia="Arial" w:hAnsi="Arial" w:cs="Arial"/>
          <w:color w:val="000000"/>
          <w:sz w:val="20"/>
        </w:rPr>
        <w:t>28 C.F.R. § 36.211. As the District Court interpreted Section 211:</w:t>
      </w:r>
    </w:p>
    <w:p w:rsidR="00E456CD" w:rsidRDefault="00000000">
      <w:pPr>
        <w:pStyle w:val="Normal20"/>
        <w:widowControl w:val="0"/>
        <w:spacing w:line="260" w:lineRule="atLeast"/>
        <w:ind w:left="400"/>
        <w:jc w:val="both"/>
      </w:pPr>
      <w:bookmarkStart w:id="3766" w:name="Bookmark_para_22_13"/>
      <w:bookmarkEnd w:id="3766"/>
      <w:r>
        <w:rPr>
          <w:rFonts w:ascii="Arial" w:eastAsia="Arial" w:hAnsi="Arial" w:cs="Arial"/>
          <w:color w:val="000000"/>
          <w:sz w:val="20"/>
        </w:rPr>
        <w:t>Title III's implementing regulations . . . require places of public accommodation to maintain in operable working condition those features of facilities and equipment that are required to be readily accessible to and usable by persons with disabilities. 28 C.F.R. § 36.211(a). This ongoing obligation broadly covers all features that are required to be accessible under the ADA.</w:t>
      </w:r>
    </w:p>
    <w:p w:rsidR="00E456CD" w:rsidRDefault="00000000">
      <w:pPr>
        <w:pStyle w:val="Normal20"/>
        <w:widowControl w:val="0"/>
        <w:spacing w:before="200" w:line="260" w:lineRule="atLeast"/>
        <w:jc w:val="both"/>
      </w:pPr>
      <w:r>
        <w:rPr>
          <w:rFonts w:ascii="Arial" w:eastAsia="Arial" w:hAnsi="Arial" w:cs="Arial"/>
          <w:color w:val="000000"/>
          <w:sz w:val="20"/>
        </w:rPr>
        <w:t xml:space="preserve">JA 62 (internal quotation marks omitted). Although we must refrain from engaging in a freewheeling merits analysis while undertaking our inquiries into standing and Rule 23's requirements, we nevertheless note the weight that Section 211 must bear in order to support Plaintiffs' case in chief. To summarize Plaintiffs' theory of harm, the ADA and its corresponding regulations not only require Steak 'n Shake to correct discriminatory access violations, but also to adopt policies for ADA compliance that require Steak 'n Shake to actively </w:t>
      </w:r>
      <w:r>
        <w:rPr>
          <w:rFonts w:ascii="Arial" w:eastAsia="Arial" w:hAnsi="Arial" w:cs="Arial"/>
          <w:i/>
          <w:color w:val="000000"/>
          <w:sz w:val="20"/>
        </w:rPr>
        <w:t>seek out</w:t>
      </w:r>
      <w:r>
        <w:rPr>
          <w:rFonts w:ascii="Arial" w:eastAsia="Arial" w:hAnsi="Arial" w:cs="Arial"/>
          <w:color w:val="000000"/>
          <w:sz w:val="20"/>
        </w:rPr>
        <w:t xml:space="preserve"> potential violations.</w:t>
      </w:r>
      <w:r>
        <w:rPr>
          <w:rFonts w:ascii="Arial" w:eastAsia="Arial" w:hAnsi="Arial" w:cs="Arial"/>
          <w:vertAlign w:val="superscript"/>
        </w:rPr>
        <w:footnoteReference w:customMarkFollows="1" w:id="168"/>
        <w:t>10</w:t>
      </w:r>
      <w:r>
        <w:rPr>
          <w:rFonts w:ascii="Arial" w:eastAsia="Arial" w:hAnsi="Arial" w:cs="Arial"/>
          <w:color w:val="000000"/>
          <w:sz w:val="20"/>
        </w:rPr>
        <w:t xml:space="preserve"> In light of  [*478]  our inability to fully engage the merits at this stage of the litigation, we are not at liberty [**12]  to decide whether Plaintiffs' novel interpretation of the ADA and its corresponding regulations would survive a dispositive motion under either Rule 12(b)(6), or Rule 56 of the Federal Rules of Civil Procedure.</w:t>
      </w:r>
    </w:p>
    <w:p w:rsidR="00E456CD" w:rsidRDefault="00000000">
      <w:pPr>
        <w:pStyle w:val="Normal20"/>
        <w:widowControl w:val="0"/>
        <w:spacing w:before="240" w:line="260" w:lineRule="atLeast"/>
      </w:pPr>
      <w:r>
        <w:br/>
      </w:r>
      <w:r>
        <w:rPr>
          <w:rFonts w:ascii="Arial" w:eastAsia="Arial" w:hAnsi="Arial" w:cs="Arial"/>
          <w:b/>
          <w:color w:val="000000"/>
          <w:sz w:val="20"/>
        </w:rPr>
        <w:t xml:space="preserve">II. </w:t>
      </w:r>
      <w:r>
        <w:rPr>
          <w:rFonts w:ascii="Arial" w:eastAsia="Arial" w:hAnsi="Arial" w:cs="Arial"/>
          <w:b/>
          <w:smallCaps/>
          <w:color w:val="000000"/>
          <w:sz w:val="20"/>
        </w:rPr>
        <w:t>Plaintiffs Have Standing</w:t>
      </w:r>
    </w:p>
    <w:p w:rsidR="00E456CD" w:rsidRDefault="00000000">
      <w:pPr>
        <w:pStyle w:val="Normal20"/>
        <w:widowControl w:val="0"/>
        <w:spacing w:before="200" w:line="260" w:lineRule="atLeast"/>
        <w:jc w:val="both"/>
      </w:pPr>
      <w:bookmarkStart w:id="3771" w:name="Bookmark_para_23_13"/>
      <w:bookmarkStart w:id="3772" w:name="Bookmark_I5T2VJ0P2N1PN50050000400"/>
      <w:bookmarkStart w:id="3773" w:name="Bookmark_I5T2VJ0P2N1PN60020000400"/>
      <w:bookmarkStart w:id="3774" w:name="Bookmark_LNHNREFclscc8_12"/>
      <w:bookmarkEnd w:id="3771"/>
      <w:bookmarkEnd w:id="3772"/>
      <w:bookmarkEnd w:id="3773"/>
      <w:bookmarkEnd w:id="3774"/>
      <w:r>
        <w:rPr>
          <w:rFonts w:ascii="Arial" w:eastAsia="Arial" w:hAnsi="Arial" w:cs="Arial"/>
          <w:color w:val="000000"/>
          <w:sz w:val="20"/>
        </w:rPr>
        <w:t xml:space="preserve">To establish Article III standing, a plaintiff must have "(1) suffered an injury in fact, (2) that is fairly traceable to the challenged conduct of the defendant, and (3) that is likely to be redressed by a favorable judicial decision." </w:t>
      </w:r>
      <w:bookmarkStart w:id="3775" w:name="Bookmark_I5T2VJ0P2N1PN50040000400"/>
      <w:bookmarkEnd w:id="3775"/>
      <w:r>
        <w:rPr>
          <w:rFonts w:ascii="Arial" w:eastAsia="Arial" w:hAnsi="Arial" w:cs="Arial"/>
          <w:i/>
          <w:color w:val="000000"/>
          <w:sz w:val="20"/>
        </w:rPr>
        <w:t>Spokeo, Inc. v. Robins</w:t>
      </w:r>
      <w:r>
        <w:rPr>
          <w:rFonts w:ascii="Arial" w:eastAsia="Arial" w:hAnsi="Arial" w:cs="Arial"/>
          <w:color w:val="000000"/>
          <w:sz w:val="20"/>
        </w:rPr>
        <w:t xml:space="preserve">, 136 S. Ct. 1540, 1547, 194 L. Ed. 2d 635 (2016). As "[t]he party invoking federal jurisdiction," a plaintiff "bears the burden of establishing these elements." </w:t>
      </w:r>
      <w:bookmarkStart w:id="3776" w:name="Bookmark_I5T2VJ0P2N1PN60010000400"/>
      <w:bookmarkEnd w:id="3776"/>
      <w:r>
        <w:rPr>
          <w:rFonts w:ascii="Arial" w:eastAsia="Arial" w:hAnsi="Arial" w:cs="Arial"/>
          <w:i/>
          <w:color w:val="000000"/>
          <w:sz w:val="20"/>
        </w:rPr>
        <w:t>Lujan v. Defenders of Wildlife</w:t>
      </w:r>
      <w:r>
        <w:rPr>
          <w:rFonts w:ascii="Arial" w:eastAsia="Arial" w:hAnsi="Arial" w:cs="Arial"/>
          <w:color w:val="000000"/>
          <w:sz w:val="20"/>
        </w:rPr>
        <w:t xml:space="preserve">, 504 U.S. 555, 561, 112 S. Ct. 2130, 119 L. Ed. 2d 351 (1997); </w:t>
      </w:r>
      <w:r>
        <w:rPr>
          <w:rFonts w:ascii="Arial" w:eastAsia="Arial" w:hAnsi="Arial" w:cs="Arial"/>
          <w:i/>
          <w:color w:val="000000"/>
          <w:sz w:val="20"/>
        </w:rPr>
        <w:t xml:space="preserve">see also </w:t>
      </w:r>
      <w:bookmarkStart w:id="3777" w:name="Bookmark_I5T2VJ0P2N1PN60030000400"/>
      <w:bookmarkEnd w:id="3777"/>
      <w:r>
        <w:rPr>
          <w:rFonts w:ascii="Arial" w:eastAsia="Arial" w:hAnsi="Arial" w:cs="Arial"/>
          <w:i/>
          <w:color w:val="000000"/>
          <w:sz w:val="20"/>
        </w:rPr>
        <w:t>Finkelman v. Nat'l Football League</w:t>
      </w:r>
      <w:r>
        <w:rPr>
          <w:rFonts w:ascii="Arial" w:eastAsia="Arial" w:hAnsi="Arial" w:cs="Arial"/>
          <w:color w:val="000000"/>
          <w:sz w:val="20"/>
        </w:rPr>
        <w:t>, 810 F.3d 187, 194 (3d Cir. 2016).</w:t>
      </w:r>
    </w:p>
    <w:p w:rsidR="00E456CD" w:rsidRDefault="00000000">
      <w:pPr>
        <w:pStyle w:val="Normal20"/>
        <w:widowControl w:val="0"/>
        <w:spacing w:before="200" w:line="260" w:lineRule="atLeast"/>
        <w:jc w:val="both"/>
      </w:pPr>
      <w:bookmarkStart w:id="3778" w:name="Bookmark_para_24_12"/>
      <w:bookmarkStart w:id="3779" w:name="Bookmark_I5T2VJ0P2SF7M40010000400"/>
      <w:bookmarkEnd w:id="3778"/>
      <w:bookmarkEnd w:id="3779"/>
      <w:r>
        <w:rPr>
          <w:rFonts w:ascii="Arial" w:eastAsia="Arial" w:hAnsi="Arial" w:cs="Arial"/>
          <w:color w:val="000000"/>
          <w:sz w:val="20"/>
        </w:rPr>
        <w:t xml:space="preserve">In the class action context, our standing inquiry focuses solely on the class representative(s). As we squarely held in </w:t>
      </w:r>
      <w:r>
        <w:rPr>
          <w:rFonts w:ascii="Arial" w:eastAsia="Arial" w:hAnsi="Arial" w:cs="Arial"/>
          <w:i/>
          <w:color w:val="000000"/>
          <w:sz w:val="20"/>
        </w:rPr>
        <w:t>Neale v. Volvo Cars of N. Am., LLC</w:t>
      </w:r>
      <w:r>
        <w:rPr>
          <w:rFonts w:ascii="Arial" w:eastAsia="Arial" w:hAnsi="Arial" w:cs="Arial"/>
          <w:color w:val="000000"/>
          <w:sz w:val="20"/>
        </w:rPr>
        <w:t xml:space="preserve">, "putative class members need not establish Article III standing. Instead, the 'cases or controversies' requirement is satisfied so long as a class representative has standing, whether in the context of a settlement or litigation class." </w:t>
      </w:r>
      <w:bookmarkStart w:id="3780" w:name="Bookmark_I5T2VJ0P2N1PN60050000400"/>
      <w:bookmarkEnd w:id="3780"/>
      <w:r>
        <w:rPr>
          <w:rFonts w:ascii="Arial" w:eastAsia="Arial" w:hAnsi="Arial" w:cs="Arial"/>
          <w:i/>
          <w:color w:val="000000"/>
          <w:sz w:val="20"/>
        </w:rPr>
        <w:t>Neale v. Volvo Cars of N. Am., LLC</w:t>
      </w:r>
      <w:r>
        <w:rPr>
          <w:rFonts w:ascii="Arial" w:eastAsia="Arial" w:hAnsi="Arial" w:cs="Arial"/>
          <w:color w:val="000000"/>
          <w:sz w:val="20"/>
        </w:rPr>
        <w:t>, 794 F.3d 353, 362 (3d Cir. 2015). Given that restriction, we turn to the allegations put forward by Mielo and Heinzl and determine whether, as class representatives, they satisfy all three elements of standing.</w:t>
      </w:r>
    </w:p>
    <w:p w:rsidR="00E456CD" w:rsidRDefault="00000000">
      <w:pPr>
        <w:pStyle w:val="Normal20"/>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Injury in Fact</w:t>
      </w:r>
    </w:p>
    <w:p w:rsidR="00E456CD" w:rsidRDefault="00000000">
      <w:pPr>
        <w:pStyle w:val="Normal20"/>
        <w:widowControl w:val="0"/>
        <w:spacing w:before="200" w:line="260" w:lineRule="atLeast"/>
        <w:jc w:val="both"/>
      </w:pPr>
      <w:bookmarkStart w:id="3781" w:name="Bookmark_para_25_12"/>
      <w:bookmarkStart w:id="3782" w:name="Bookmark_I5T2VJ0P2SF7M40030000400"/>
      <w:bookmarkStart w:id="3783" w:name="Bookmark_I5T2VJ0P2SF7M40050000400"/>
      <w:bookmarkStart w:id="3784" w:name="Bookmark_LNHNREFclscc9_10"/>
      <w:bookmarkEnd w:id="3781"/>
      <w:bookmarkEnd w:id="3782"/>
      <w:bookmarkEnd w:id="3783"/>
      <w:bookmarkEnd w:id="3784"/>
      <w:r>
        <w:rPr>
          <w:rFonts w:ascii="Arial" w:eastAsia="Arial" w:hAnsi="Arial" w:cs="Arial"/>
          <w:color w:val="000000"/>
          <w:sz w:val="20"/>
        </w:rPr>
        <w:t xml:space="preserve">The primary element of standing is injury in fact, and it is [**13]  actually a conglomerate of three components. </w:t>
      </w:r>
      <w:r>
        <w:rPr>
          <w:rFonts w:ascii="Arial" w:eastAsia="Arial" w:hAnsi="Arial" w:cs="Arial"/>
          <w:i/>
          <w:color w:val="000000"/>
          <w:sz w:val="20"/>
        </w:rPr>
        <w:t xml:space="preserve">See </w:t>
      </w:r>
      <w:bookmarkStart w:id="3785" w:name="Bookmark_I5T2VJ0P2SF7M40020000400"/>
      <w:bookmarkEnd w:id="3785"/>
      <w:r>
        <w:rPr>
          <w:rFonts w:ascii="Arial" w:eastAsia="Arial" w:hAnsi="Arial" w:cs="Arial"/>
          <w:i/>
          <w:color w:val="000000"/>
          <w:sz w:val="20"/>
        </w:rPr>
        <w:t>Spokeo, Inc.</w:t>
      </w:r>
      <w:r>
        <w:rPr>
          <w:rFonts w:ascii="Arial" w:eastAsia="Arial" w:hAnsi="Arial" w:cs="Arial"/>
          <w:color w:val="000000"/>
          <w:sz w:val="20"/>
        </w:rPr>
        <w:t xml:space="preserve">, 136 S. Ct. at 1547. To establish an injury in fact, a plaintiff must first "show that he or she suffered 'an invasion of a legally protected interest.'" </w:t>
      </w:r>
      <w:bookmarkStart w:id="3786" w:name="Bookmark_I5T2VJ0P2SF7M40040000400"/>
      <w:bookmarkEnd w:id="3786"/>
      <w:r>
        <w:rPr>
          <w:rFonts w:ascii="Arial" w:eastAsia="Arial" w:hAnsi="Arial" w:cs="Arial"/>
          <w:i/>
          <w:color w:val="000000"/>
          <w:sz w:val="20"/>
        </w:rPr>
        <w:t>Id.</w:t>
      </w:r>
      <w:r>
        <w:rPr>
          <w:rFonts w:ascii="Arial" w:eastAsia="Arial" w:hAnsi="Arial" w:cs="Arial"/>
          <w:color w:val="000000"/>
          <w:sz w:val="20"/>
        </w:rPr>
        <w:t xml:space="preserve"> at 1548 (quoting </w:t>
      </w:r>
      <w:bookmarkStart w:id="3787" w:name="Bookmark_I5T2VJ0P2SF7M50010000400"/>
      <w:bookmarkEnd w:id="3787"/>
      <w:r>
        <w:rPr>
          <w:rFonts w:ascii="Arial" w:eastAsia="Arial" w:hAnsi="Arial" w:cs="Arial"/>
          <w:i/>
          <w:color w:val="000000"/>
          <w:sz w:val="20"/>
        </w:rPr>
        <w:t>Lujan</w:t>
      </w:r>
      <w:r>
        <w:rPr>
          <w:rFonts w:ascii="Arial" w:eastAsia="Arial" w:hAnsi="Arial" w:cs="Arial"/>
          <w:color w:val="000000"/>
          <w:sz w:val="20"/>
        </w:rPr>
        <w:t xml:space="preserve">, 504 U.S. at 560). Second, a plaintiff must show that the injury is both "concrete and particularized." </w:t>
      </w:r>
      <w:r>
        <w:rPr>
          <w:rFonts w:ascii="Arial" w:eastAsia="Arial" w:hAnsi="Arial" w:cs="Arial"/>
          <w:i/>
          <w:color w:val="000000"/>
          <w:sz w:val="20"/>
        </w:rPr>
        <w:t>Id.</w:t>
      </w:r>
      <w:r>
        <w:rPr>
          <w:rFonts w:ascii="Arial" w:eastAsia="Arial" w:hAnsi="Arial" w:cs="Arial"/>
          <w:color w:val="000000"/>
          <w:sz w:val="20"/>
        </w:rPr>
        <w:t xml:space="preserve"> Third, a plaintiff must also show that his or her injury is "actual or imminent, not conjectural or hypothetical." </w:t>
      </w:r>
      <w:r>
        <w:rPr>
          <w:rFonts w:ascii="Arial" w:eastAsia="Arial" w:hAnsi="Arial" w:cs="Arial"/>
          <w:i/>
          <w:color w:val="000000"/>
          <w:sz w:val="20"/>
        </w:rPr>
        <w:t>Id.</w:t>
      </w:r>
    </w:p>
    <w:p w:rsidR="00E456CD" w:rsidRDefault="00000000">
      <w:pPr>
        <w:pStyle w:val="Normal20"/>
        <w:widowControl w:val="0"/>
        <w:spacing w:before="200" w:line="260" w:lineRule="atLeast"/>
        <w:jc w:val="both"/>
      </w:pPr>
      <w:bookmarkStart w:id="3788" w:name="Bookmark_para_26_12"/>
      <w:bookmarkStart w:id="3789" w:name="Bookmark_I5T2VJ0P2SF7M50040000400"/>
      <w:bookmarkStart w:id="3790" w:name="Bookmark_I5T2VJ0P28T4K80010000400"/>
      <w:bookmarkEnd w:id="3788"/>
      <w:bookmarkEnd w:id="3789"/>
      <w:bookmarkEnd w:id="3790"/>
      <w:r>
        <w:rPr>
          <w:rFonts w:ascii="Arial" w:eastAsia="Arial" w:hAnsi="Arial" w:cs="Arial"/>
          <w:color w:val="000000"/>
          <w:sz w:val="20"/>
        </w:rPr>
        <w:t xml:space="preserve">In determining whether Plaintiffs have suffered an invasion of a legally protected interest, we must carefully "separate our standing inquiry from any assessment  [*479]  of the merits of the plaintiff's claim." </w:t>
      </w:r>
      <w:bookmarkStart w:id="3791" w:name="Bookmark_I5T2VJ0P2SF7M50030000400"/>
      <w:bookmarkEnd w:id="3791"/>
      <w:r>
        <w:rPr>
          <w:rFonts w:ascii="Arial" w:eastAsia="Arial" w:hAnsi="Arial" w:cs="Arial"/>
          <w:i/>
          <w:color w:val="000000"/>
          <w:sz w:val="20"/>
        </w:rPr>
        <w:t>Cottrell</w:t>
      </w:r>
      <w:r>
        <w:rPr>
          <w:rFonts w:ascii="Arial" w:eastAsia="Arial" w:hAnsi="Arial" w:cs="Arial"/>
          <w:color w:val="000000"/>
          <w:sz w:val="20"/>
        </w:rPr>
        <w:t xml:space="preserve">, 874 F.3d at 162. Unlike a Rule 23 inquiry, where courts are often required to make factual and legal determinations pertaining to a plaintiff's underlying cause of action, our standing inquiry must avoid any consideration of the merits beyond a screening for mere frivolity. </w:t>
      </w:r>
      <w:bookmarkStart w:id="3792" w:name="Bookmark_I5T2VJ0P2SF7M50050000400"/>
      <w:bookmarkEnd w:id="3792"/>
      <w:r>
        <w:rPr>
          <w:rFonts w:ascii="Arial" w:eastAsia="Arial" w:hAnsi="Arial" w:cs="Arial"/>
          <w:i/>
          <w:color w:val="000000"/>
          <w:sz w:val="20"/>
        </w:rPr>
        <w:t>Initiative &amp; Referendum Inst. v. Walker</w:t>
      </w:r>
      <w:r>
        <w:rPr>
          <w:rFonts w:ascii="Arial" w:eastAsia="Arial" w:hAnsi="Arial" w:cs="Arial"/>
          <w:color w:val="000000"/>
          <w:sz w:val="20"/>
        </w:rPr>
        <w:t>, 450 F.3d 1082, 1093 (10th Cir. 2006) (en banc) ("[A] plaintiff whose claimed legal right is so preposterous as to be legally frivolous may lack standing on the ground that the right is not 'legally protected.'"). Here, although Plaintiffs' theory may not ultimately prove successful on the merits, Plaintiffs present a colorable argument that the ADA requires Steak 'n Shake to [**14]  adopt new policies requiring them to actively seek out and correct access violations. Given the constraints on our ability to subject Plaintiffs' claims to additional scrutiny at this point, we are satisfied that they have alleged a non-frivolous claim that they suffered an invasion of a legally protected interest.</w:t>
      </w:r>
      <w:r>
        <w:rPr>
          <w:rFonts w:ascii="Arial" w:eastAsia="Arial" w:hAnsi="Arial" w:cs="Arial"/>
          <w:vertAlign w:val="superscript"/>
        </w:rPr>
        <w:footnoteReference w:customMarkFollows="1" w:id="169"/>
        <w:t>11</w:t>
      </w:r>
    </w:p>
    <w:p w:rsidR="00E456CD" w:rsidRDefault="00000000">
      <w:pPr>
        <w:pStyle w:val="Normal20"/>
        <w:widowControl w:val="0"/>
        <w:spacing w:before="200" w:line="260" w:lineRule="atLeast"/>
        <w:jc w:val="both"/>
      </w:pPr>
      <w:bookmarkStart w:id="3808" w:name="Bookmark_para_27_12"/>
      <w:bookmarkStart w:id="3809" w:name="Bookmark_I7KKD33RNHS000RK8CR0000B"/>
      <w:bookmarkStart w:id="3810" w:name="Bookmark_I5T2VJ0P2D6NSN0030000400"/>
      <w:bookmarkStart w:id="3811" w:name="Bookmark_I5T2VJ0P2D6NSP0020000400"/>
      <w:bookmarkStart w:id="3812" w:name="Bookmark_LNHNREFclscc10_10"/>
      <w:bookmarkEnd w:id="3808"/>
      <w:bookmarkEnd w:id="3809"/>
      <w:bookmarkEnd w:id="3810"/>
      <w:bookmarkEnd w:id="3811"/>
      <w:bookmarkEnd w:id="3812"/>
      <w:r>
        <w:rPr>
          <w:rFonts w:ascii="Arial" w:eastAsia="Arial" w:hAnsi="Arial" w:cs="Arial"/>
          <w:color w:val="000000"/>
          <w:sz w:val="20"/>
        </w:rPr>
        <w:t xml:space="preserve">The second component of injury in fact requires that an alleged injury be both "concrete" and "particularized." To the extent that Plaintiffs allege only a harm in the mere existence or absence of particular corporate policies, Plaintiffs lack standing. As we recognized in </w:t>
      </w:r>
      <w:r>
        <w:rPr>
          <w:rFonts w:ascii="Arial" w:eastAsia="Arial" w:hAnsi="Arial" w:cs="Arial"/>
          <w:i/>
          <w:color w:val="000000"/>
          <w:sz w:val="20"/>
        </w:rPr>
        <w:t>Cottrell</w:t>
      </w:r>
      <w:r>
        <w:rPr>
          <w:rFonts w:ascii="Arial" w:eastAsia="Arial" w:hAnsi="Arial" w:cs="Arial"/>
          <w:color w:val="000000"/>
          <w:sz w:val="20"/>
        </w:rPr>
        <w:t xml:space="preserve">, "[b]are procedural or technical violations of a statute alone will not satisfy the concreteness requirement." </w:t>
      </w:r>
      <w:bookmarkStart w:id="3813" w:name="Bookmark_I5T2VJ0P2D6NSN0020000400"/>
      <w:bookmarkEnd w:id="3813"/>
      <w:r>
        <w:rPr>
          <w:rFonts w:ascii="Arial" w:eastAsia="Arial" w:hAnsi="Arial" w:cs="Arial"/>
          <w:i/>
          <w:color w:val="000000"/>
          <w:sz w:val="20"/>
        </w:rPr>
        <w:t>Cottrell</w:t>
      </w:r>
      <w:r>
        <w:rPr>
          <w:rFonts w:ascii="Arial" w:eastAsia="Arial" w:hAnsi="Arial" w:cs="Arial"/>
          <w:color w:val="000000"/>
          <w:sz w:val="20"/>
        </w:rPr>
        <w:t xml:space="preserve">, 874 F.3d at 167 (citing </w:t>
      </w:r>
      <w:bookmarkStart w:id="3814" w:name="Bookmark_I5T2VJ0P2D6NSN0040000400"/>
      <w:bookmarkEnd w:id="3814"/>
      <w:r>
        <w:rPr>
          <w:rFonts w:ascii="Arial" w:eastAsia="Arial" w:hAnsi="Arial" w:cs="Arial"/>
          <w:i/>
          <w:color w:val="000000"/>
          <w:sz w:val="20"/>
        </w:rPr>
        <w:t>Spokeo</w:t>
      </w:r>
      <w:r>
        <w:rPr>
          <w:rFonts w:ascii="Arial" w:eastAsia="Arial" w:hAnsi="Arial" w:cs="Arial"/>
          <w:color w:val="000000"/>
          <w:sz w:val="20"/>
        </w:rPr>
        <w:t>, 136 S. Ct. at 1549).</w:t>
      </w:r>
      <w:r>
        <w:rPr>
          <w:rFonts w:ascii="Arial" w:eastAsia="Arial" w:hAnsi="Arial" w:cs="Arial"/>
          <w:vertAlign w:val="superscript"/>
        </w:rPr>
        <w:footnoteReference w:customMarkFollows="1" w:id="170"/>
        <w:t>12</w:t>
      </w:r>
      <w:r>
        <w:rPr>
          <w:rFonts w:ascii="Arial" w:eastAsia="Arial" w:hAnsi="Arial" w:cs="Arial"/>
          <w:color w:val="000000"/>
          <w:sz w:val="20"/>
        </w:rPr>
        <w:t xml:space="preserve"> Therefore, even assuming that Steak 'n Shake violated the ADA by failing to have an adequate ADA compliance policy in place, the mere nonexistence of such a policy would not afford Plaintiffs a basis to establish standing. In other words, Plaintiffs would still need to show how the lack of a policy resulted in a concrete harm that was particular to them. Because Plaintiffs do not allege how the mere nonexistence of a particular corporate policy constitutes [**15]  a concrete harm in and of itself,</w:t>
      </w:r>
      <w:r>
        <w:rPr>
          <w:rFonts w:ascii="Arial" w:eastAsia="Arial" w:hAnsi="Arial" w:cs="Arial"/>
          <w:vertAlign w:val="superscript"/>
        </w:rPr>
        <w:footnoteReference w:customMarkFollows="1" w:id="171"/>
        <w:t>13</w:t>
      </w:r>
      <w:r>
        <w:rPr>
          <w:rFonts w:ascii="Arial" w:eastAsia="Arial" w:hAnsi="Arial" w:cs="Arial"/>
          <w:color w:val="000000"/>
          <w:sz w:val="20"/>
        </w:rPr>
        <w:t xml:space="preserve"> they cannot rely on the want of such a policy as a basis for standing.</w:t>
      </w:r>
    </w:p>
    <w:p w:rsidR="00E456CD" w:rsidRDefault="00000000">
      <w:pPr>
        <w:pStyle w:val="Normal20"/>
        <w:widowControl w:val="0"/>
        <w:spacing w:before="200" w:line="260" w:lineRule="atLeast"/>
        <w:jc w:val="both"/>
      </w:pPr>
      <w:bookmarkStart w:id="3818" w:name="Bookmark_para_28_12"/>
      <w:bookmarkStart w:id="3819" w:name="Bookmark_I5T2VJ0P2D6NSP0040000400"/>
      <w:bookmarkStart w:id="3820" w:name="Bookmark_I5T2VJ0P2HM6WS0010000400"/>
      <w:bookmarkStart w:id="3821" w:name="Bookmark_I5T2VJ0P2HM6WS0030000400"/>
      <w:bookmarkEnd w:id="3818"/>
      <w:bookmarkEnd w:id="3819"/>
      <w:bookmarkEnd w:id="3820"/>
      <w:bookmarkEnd w:id="3821"/>
      <w:r>
        <w:rPr>
          <w:rFonts w:ascii="Arial" w:eastAsia="Arial" w:hAnsi="Arial" w:cs="Arial"/>
          <w:color w:val="000000"/>
          <w:sz w:val="20"/>
        </w:rPr>
        <w:t xml:space="preserve">But although Plaintiffs' complaint could be read as alleging no more than mere procedural violations of the ADA, our </w:t>
      </w:r>
      <w:bookmarkStart w:id="3822" w:name="Bookmark_LNHNREFclscc11_9"/>
      <w:bookmarkEnd w:id="3822"/>
      <w:r>
        <w:rPr>
          <w:rFonts w:ascii="Arial" w:eastAsia="Arial" w:hAnsi="Arial" w:cs="Arial"/>
          <w:color w:val="000000"/>
          <w:sz w:val="20"/>
        </w:rPr>
        <w:t xml:space="preserve">caselaw requires us to "examine the allegations in the complaint from a number of different angles to see if [plaintiffs'] purported injury can be framed in a way that satisfies Article III." </w:t>
      </w:r>
      <w:bookmarkStart w:id="3823" w:name="Bookmark_I5T2VJ0P2D6NSP0030000400"/>
      <w:bookmarkEnd w:id="3823"/>
      <w:r>
        <w:rPr>
          <w:rFonts w:ascii="Arial" w:eastAsia="Arial" w:hAnsi="Arial" w:cs="Arial"/>
          <w:i/>
          <w:color w:val="000000"/>
          <w:sz w:val="20"/>
        </w:rPr>
        <w:t>Finkelman</w:t>
      </w:r>
      <w:r>
        <w:rPr>
          <w:rFonts w:ascii="Arial" w:eastAsia="Arial" w:hAnsi="Arial" w:cs="Arial"/>
          <w:color w:val="000000"/>
          <w:sz w:val="20"/>
        </w:rPr>
        <w:t>, 810 F.3d at 197. Further examining Plaintiffs'  [*480] ocomplaint in light of this obligation, we conclude that they have sufficiently alleged a concrete harm in the form of experiencing actual physical difficulty in ambulating through parking facilities which are allegedly not ADA-compliant.</w:t>
      </w:r>
      <w:r>
        <w:rPr>
          <w:rFonts w:ascii="Arial" w:eastAsia="Arial" w:hAnsi="Arial" w:cs="Arial"/>
          <w:vertAlign w:val="superscript"/>
        </w:rPr>
        <w:footnoteReference w:customMarkFollows="1" w:id="172"/>
        <w:t>14</w:t>
      </w:r>
      <w:r>
        <w:rPr>
          <w:rFonts w:ascii="Arial" w:eastAsia="Arial" w:hAnsi="Arial" w:cs="Arial"/>
          <w:color w:val="000000"/>
          <w:sz w:val="20"/>
        </w:rPr>
        <w:t xml:space="preserve"> Moreover, because Plaintiffs allege they </w:t>
      </w:r>
      <w:r>
        <w:rPr>
          <w:rFonts w:ascii="Arial" w:eastAsia="Arial" w:hAnsi="Arial" w:cs="Arial"/>
          <w:i/>
          <w:color w:val="000000"/>
          <w:sz w:val="20"/>
        </w:rPr>
        <w:t>personally</w:t>
      </w:r>
      <w:r>
        <w:rPr>
          <w:rFonts w:ascii="Arial" w:eastAsia="Arial" w:hAnsi="Arial" w:cs="Arial"/>
          <w:color w:val="000000"/>
          <w:sz w:val="20"/>
        </w:rPr>
        <w:t xml:space="preserve"> experienced these concrete injuries, we further conclude that they have sufficiently alleged an injury that is particular to them. </w:t>
      </w:r>
      <w:bookmarkStart w:id="3826" w:name="Bookmark_I5T2VJ0P2D6NSP0050000400"/>
      <w:bookmarkEnd w:id="3826"/>
      <w:r>
        <w:rPr>
          <w:rFonts w:ascii="Arial" w:eastAsia="Arial" w:hAnsi="Arial" w:cs="Arial"/>
          <w:i/>
          <w:color w:val="000000"/>
          <w:sz w:val="20"/>
        </w:rPr>
        <w:t>Spokeo</w:t>
      </w:r>
      <w:r>
        <w:rPr>
          <w:rFonts w:ascii="Arial" w:eastAsia="Arial" w:hAnsi="Arial" w:cs="Arial"/>
          <w:color w:val="000000"/>
          <w:sz w:val="20"/>
        </w:rPr>
        <w:t xml:space="preserve">, 136 S. Ct. at 1548 ("We have made it clear time and time again that an injury in fact must be </w:t>
      </w:r>
      <w:r>
        <w:rPr>
          <w:rFonts w:ascii="Arial" w:eastAsia="Arial" w:hAnsi="Arial" w:cs="Arial"/>
          <w:i/>
          <w:color w:val="000000"/>
          <w:sz w:val="20"/>
        </w:rPr>
        <w:t>both</w:t>
      </w:r>
      <w:r>
        <w:rPr>
          <w:rFonts w:ascii="Arial" w:eastAsia="Arial" w:hAnsi="Arial" w:cs="Arial"/>
          <w:color w:val="000000"/>
          <w:sz w:val="20"/>
        </w:rPr>
        <w:t xml:space="preserve"> concrete </w:t>
      </w:r>
      <w:r>
        <w:rPr>
          <w:rFonts w:ascii="Arial" w:eastAsia="Arial" w:hAnsi="Arial" w:cs="Arial"/>
          <w:i/>
          <w:color w:val="000000"/>
          <w:sz w:val="20"/>
        </w:rPr>
        <w:t>and</w:t>
      </w:r>
      <w:r>
        <w:rPr>
          <w:rFonts w:ascii="Arial" w:eastAsia="Arial" w:hAnsi="Arial" w:cs="Arial"/>
          <w:color w:val="000000"/>
          <w:sz w:val="20"/>
        </w:rPr>
        <w:t xml:space="preserve"> particularized.") (emphases added).</w:t>
      </w:r>
    </w:p>
    <w:p w:rsidR="00E456CD" w:rsidRDefault="00000000">
      <w:pPr>
        <w:pStyle w:val="Normal20"/>
        <w:widowControl w:val="0"/>
        <w:spacing w:before="200" w:line="260" w:lineRule="atLeast"/>
        <w:jc w:val="both"/>
      </w:pPr>
      <w:bookmarkStart w:id="3827" w:name="Bookmark_para_29_12"/>
      <w:bookmarkEnd w:id="3827"/>
      <w:r>
        <w:rPr>
          <w:rFonts w:ascii="Arial" w:eastAsia="Arial" w:hAnsi="Arial" w:cs="Arial"/>
          <w:color w:val="000000"/>
          <w:sz w:val="20"/>
        </w:rPr>
        <w:t>Of course, Plaintiffs seek to require Steak 'n Shake to correct alleged ADA violations at more than the two restaurant locations where they claim to have actually experienced injury. [**16]  Highlighting Plaintiffs' geographically expansive request, Steak 'n Shake argues that Plaintiffs do not have standing to seek relief beyond the East Munhall and Pleasant Hills locations. Appellant Br. 57-59. In taking this tack, however, Steak 'n Shake conflates Article III standing with requirements of Rule 23.</w:t>
      </w:r>
    </w:p>
    <w:p w:rsidR="00E456CD" w:rsidRDefault="00000000">
      <w:pPr>
        <w:pStyle w:val="Normal20"/>
        <w:widowControl w:val="0"/>
        <w:spacing w:before="200" w:line="260" w:lineRule="atLeast"/>
        <w:jc w:val="both"/>
      </w:pPr>
      <w:bookmarkStart w:id="3828" w:name="Bookmark_para_30_12"/>
      <w:bookmarkStart w:id="3829" w:name="Bookmark_I7KKD33RVMM000RK8CR0000C"/>
      <w:bookmarkStart w:id="3830" w:name="Bookmark_I5T2VJ0P2HM6WS0050000400"/>
      <w:bookmarkEnd w:id="3828"/>
      <w:bookmarkEnd w:id="3829"/>
      <w:bookmarkEnd w:id="3830"/>
      <w:r>
        <w:rPr>
          <w:rFonts w:ascii="Arial" w:eastAsia="Arial" w:hAnsi="Arial" w:cs="Arial"/>
          <w:color w:val="000000"/>
          <w:sz w:val="20"/>
        </w:rPr>
        <w:t xml:space="preserve">As we made clear in </w:t>
      </w:r>
      <w:r>
        <w:rPr>
          <w:rFonts w:ascii="Arial" w:eastAsia="Arial" w:hAnsi="Arial" w:cs="Arial"/>
          <w:i/>
          <w:color w:val="000000"/>
          <w:sz w:val="20"/>
        </w:rPr>
        <w:t>Neale</w:t>
      </w:r>
      <w:r>
        <w:rPr>
          <w:rFonts w:ascii="Arial" w:eastAsia="Arial" w:hAnsi="Arial" w:cs="Arial"/>
          <w:color w:val="000000"/>
          <w:sz w:val="20"/>
        </w:rPr>
        <w:t xml:space="preserve">, </w:t>
      </w:r>
      <w:bookmarkStart w:id="3831" w:name="Bookmark_LNHNREFclscc12_9"/>
      <w:bookmarkEnd w:id="3831"/>
      <w:r>
        <w:rPr>
          <w:rFonts w:ascii="Arial" w:eastAsia="Arial" w:hAnsi="Arial" w:cs="Arial"/>
          <w:color w:val="000000"/>
          <w:sz w:val="20"/>
        </w:rPr>
        <w:t xml:space="preserve">"a properly formulated Rule 23 class should not raise standing issues." </w:t>
      </w:r>
      <w:bookmarkStart w:id="3832" w:name="Bookmark_I5T2VJ0P2HM6WS0040000400"/>
      <w:bookmarkEnd w:id="3832"/>
      <w:r>
        <w:rPr>
          <w:rFonts w:ascii="Arial" w:eastAsia="Arial" w:hAnsi="Arial" w:cs="Arial"/>
          <w:i/>
          <w:color w:val="000000"/>
          <w:sz w:val="20"/>
        </w:rPr>
        <w:t>Neale</w:t>
      </w:r>
      <w:r>
        <w:rPr>
          <w:rFonts w:ascii="Arial" w:eastAsia="Arial" w:hAnsi="Arial" w:cs="Arial"/>
          <w:color w:val="000000"/>
          <w:sz w:val="20"/>
        </w:rPr>
        <w:t xml:space="preserve">, 794 F.3d at 368. Rather than "shoehorn . . . questions into an Article III analysis," the standing inquiry must be limited to a consideration of the class representatives themselves, after which we may "employ Rule 23 to ensure that classes are properly certified." </w:t>
      </w:r>
      <w:r>
        <w:rPr>
          <w:rFonts w:ascii="Arial" w:eastAsia="Arial" w:hAnsi="Arial" w:cs="Arial"/>
          <w:i/>
          <w:color w:val="000000"/>
          <w:sz w:val="20"/>
        </w:rPr>
        <w:t>Id.</w:t>
      </w:r>
      <w:r>
        <w:rPr>
          <w:rFonts w:ascii="Arial" w:eastAsia="Arial" w:hAnsi="Arial" w:cs="Arial"/>
          <w:color w:val="000000"/>
          <w:sz w:val="20"/>
        </w:rPr>
        <w:t xml:space="preserve"> With </w:t>
      </w:r>
      <w:r>
        <w:rPr>
          <w:rFonts w:ascii="Arial" w:eastAsia="Arial" w:hAnsi="Arial" w:cs="Arial"/>
          <w:i/>
          <w:color w:val="000000"/>
          <w:sz w:val="20"/>
        </w:rPr>
        <w:t>Neale</w:t>
      </w:r>
      <w:r>
        <w:rPr>
          <w:rFonts w:ascii="Arial" w:eastAsia="Arial" w:hAnsi="Arial" w:cs="Arial"/>
          <w:color w:val="000000"/>
          <w:sz w:val="20"/>
        </w:rPr>
        <w:t xml:space="preserve"> in mind, we reject Steak 'n Shake's invitation to insert Rule 23 issues into our inquiry on standing.</w:t>
      </w:r>
    </w:p>
    <w:p w:rsidR="00E456CD" w:rsidRDefault="00000000">
      <w:pPr>
        <w:pStyle w:val="Normal20"/>
        <w:widowControl w:val="0"/>
        <w:spacing w:before="200" w:line="260" w:lineRule="atLeast"/>
        <w:jc w:val="both"/>
      </w:pPr>
      <w:bookmarkStart w:id="3833" w:name="Bookmark_para_31_12"/>
      <w:bookmarkEnd w:id="3833"/>
      <w:r>
        <w:rPr>
          <w:rFonts w:ascii="Arial" w:eastAsia="Arial" w:hAnsi="Arial" w:cs="Arial"/>
          <w:color w:val="000000"/>
          <w:sz w:val="20"/>
        </w:rPr>
        <w:t xml:space="preserve">Finally, </w:t>
      </w:r>
      <w:bookmarkStart w:id="3834" w:name="Bookmark_LNHNREFclscc13_6"/>
      <w:bookmarkEnd w:id="3834"/>
      <w:r>
        <w:rPr>
          <w:rFonts w:ascii="Arial" w:eastAsia="Arial" w:hAnsi="Arial" w:cs="Arial"/>
          <w:color w:val="000000"/>
          <w:sz w:val="20"/>
        </w:rPr>
        <w:t>the third component of the injury in fact inquiry requires Plaintiffs to show that their injury is actual or imminent, rather than conjectural or hypothetical. After conceptualizing Plaintiffs' alleged injury as experiencing physical difficulty in the form of ambulating through allegedly unlawful parking facilities, it is clear that this third subcomponent is easily satisfied. The physical injuries of which Plaintiffs complain are not merely [**17]  hypothetical or conjectural, they have actually occurred.</w:t>
      </w:r>
      <w:r>
        <w:rPr>
          <w:rFonts w:ascii="Arial" w:eastAsia="Arial" w:hAnsi="Arial" w:cs="Arial"/>
          <w:vertAlign w:val="superscript"/>
        </w:rPr>
        <w:footnoteReference w:customMarkFollows="1" w:id="173"/>
        <w:t>15</w:t>
      </w:r>
      <w:r>
        <w:rPr>
          <w:rFonts w:ascii="Arial" w:eastAsia="Arial" w:hAnsi="Arial" w:cs="Arial"/>
          <w:color w:val="000000"/>
          <w:sz w:val="20"/>
        </w:rPr>
        <w:t xml:space="preserve"> We conclude, therefore, that Plaintiffs have sufficiently alleged that they suffered an injury in fact.</w:t>
      </w:r>
    </w:p>
    <w:p w:rsidR="00E456CD" w:rsidRDefault="00000000">
      <w:pPr>
        <w:pStyle w:val="Normal20"/>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Traceability</w:t>
      </w:r>
    </w:p>
    <w:p w:rsidR="00E456CD" w:rsidRDefault="00000000">
      <w:pPr>
        <w:pStyle w:val="Normal20"/>
        <w:widowControl w:val="0"/>
        <w:spacing w:before="200" w:line="260" w:lineRule="atLeast"/>
        <w:jc w:val="both"/>
      </w:pPr>
      <w:bookmarkStart w:id="3836" w:name="Bookmark_para_32_12"/>
      <w:bookmarkStart w:id="3837" w:name="Bookmark_I5T2VJ0P2HM6WT0020000400"/>
      <w:bookmarkStart w:id="3838" w:name="Bookmark_I5T2VJ0P2HM6WT0040000400"/>
      <w:bookmarkStart w:id="3839" w:name="Bookmark_LNHNREFclscc14_5"/>
      <w:bookmarkEnd w:id="3836"/>
      <w:bookmarkEnd w:id="3837"/>
      <w:bookmarkEnd w:id="3838"/>
      <w:bookmarkEnd w:id="3839"/>
      <w:r>
        <w:rPr>
          <w:rFonts w:ascii="Arial" w:eastAsia="Arial" w:hAnsi="Arial" w:cs="Arial"/>
          <w:color w:val="000000"/>
          <w:sz w:val="20"/>
        </w:rPr>
        <w:t xml:space="preserve">The second element of standing requires Plaintiffs to establish that their alleged injury in fact "is fairly traceable  [*481]  to the challenged conduct of the defendant." </w:t>
      </w:r>
      <w:bookmarkStart w:id="3840" w:name="Bookmark_I5T2VJ0P2HM6WT0010000400"/>
      <w:bookmarkEnd w:id="3840"/>
      <w:r>
        <w:rPr>
          <w:rFonts w:ascii="Arial" w:eastAsia="Arial" w:hAnsi="Arial" w:cs="Arial"/>
          <w:i/>
          <w:color w:val="000000"/>
          <w:sz w:val="20"/>
        </w:rPr>
        <w:t>Spokeo</w:t>
      </w:r>
      <w:r>
        <w:rPr>
          <w:rFonts w:ascii="Arial" w:eastAsia="Arial" w:hAnsi="Arial" w:cs="Arial"/>
          <w:color w:val="000000"/>
          <w:sz w:val="20"/>
        </w:rPr>
        <w:t xml:space="preserve">, 136 S. Ct. at 1547. As we have previously explained, this element is not satisfied if the alleged injury is merely "the result of the independent action of some third party not before the court." </w:t>
      </w:r>
      <w:bookmarkStart w:id="3841" w:name="Bookmark_I5T2VJ0P2HM6WT0030000400"/>
      <w:bookmarkEnd w:id="3841"/>
      <w:r>
        <w:rPr>
          <w:rFonts w:ascii="Arial" w:eastAsia="Arial" w:hAnsi="Arial" w:cs="Arial"/>
          <w:i/>
          <w:color w:val="000000"/>
          <w:sz w:val="20"/>
        </w:rPr>
        <w:t>Finkelman</w:t>
      </w:r>
      <w:r>
        <w:rPr>
          <w:rFonts w:ascii="Arial" w:eastAsia="Arial" w:hAnsi="Arial" w:cs="Arial"/>
          <w:color w:val="000000"/>
          <w:sz w:val="20"/>
        </w:rPr>
        <w:t xml:space="preserve">, 810 F.3d at 193. </w:t>
      </w:r>
      <w:bookmarkStart w:id="3842" w:name="Bookmark_I5T2VJ0P2N1PN70010000400"/>
      <w:bookmarkEnd w:id="3842"/>
      <w:r>
        <w:rPr>
          <w:rFonts w:ascii="Arial" w:eastAsia="Arial" w:hAnsi="Arial" w:cs="Arial"/>
          <w:color w:val="000000"/>
          <w:sz w:val="20"/>
        </w:rPr>
        <w:t>Moreover:</w:t>
      </w:r>
    </w:p>
    <w:p w:rsidR="00E456CD" w:rsidRDefault="00000000">
      <w:pPr>
        <w:pStyle w:val="Normal20"/>
        <w:widowControl w:val="0"/>
        <w:spacing w:line="260" w:lineRule="atLeast"/>
        <w:ind w:left="400"/>
        <w:jc w:val="both"/>
      </w:pPr>
      <w:bookmarkStart w:id="3843" w:name="Bookmark_para_33_11"/>
      <w:bookmarkStart w:id="3844" w:name="Bookmark_I5T2VJ0P2N1PN70010000400_2"/>
      <w:bookmarkEnd w:id="3843"/>
      <w:bookmarkEnd w:id="3844"/>
      <w:r>
        <w:rPr>
          <w:rFonts w:ascii="Arial" w:eastAsia="Arial" w:hAnsi="Arial" w:cs="Arial"/>
          <w:color w:val="000000"/>
          <w:sz w:val="20"/>
        </w:rPr>
        <w:t>This requirement is akin to "but for" causation in tort and may be satisfied even where the conduct in question might not have been a proximate cause of the harm. An indirect causal relationship will suffice, provided that there is a fairly traceable connection between the alleged injury in fact and the alleged conduct of the defendant.</w:t>
      </w:r>
    </w:p>
    <w:p w:rsidR="00E456CD" w:rsidRDefault="00000000">
      <w:pPr>
        <w:pStyle w:val="Normal20"/>
        <w:widowControl w:val="0"/>
        <w:spacing w:before="200" w:line="260" w:lineRule="atLeast"/>
        <w:jc w:val="both"/>
      </w:pPr>
      <w:bookmarkStart w:id="3845" w:name="Bookmark_I5T2VJ0P2N1PN70010000400_3"/>
      <w:bookmarkStart w:id="3846" w:name="Bookmark_I5T2VJ0P2HM6WT0050000400"/>
      <w:bookmarkEnd w:id="3845"/>
      <w:bookmarkEnd w:id="3846"/>
      <w:r>
        <w:rPr>
          <w:rFonts w:ascii="Arial" w:eastAsia="Arial" w:hAnsi="Arial" w:cs="Arial"/>
          <w:i/>
          <w:color w:val="000000"/>
          <w:sz w:val="20"/>
        </w:rPr>
        <w:t>Id.</w:t>
      </w:r>
      <w:r>
        <w:rPr>
          <w:rFonts w:ascii="Arial" w:eastAsia="Arial" w:hAnsi="Arial" w:cs="Arial"/>
          <w:color w:val="000000"/>
          <w:sz w:val="20"/>
        </w:rPr>
        <w:t xml:space="preserve"> at 193-94 (internal citations omitted). Plaintiffs allege that their injuries were "caused" by Steak 'n Shake's unlawful corporate policies. </w:t>
      </w:r>
      <w:bookmarkStart w:id="3847" w:name="Bookmark_I5T2VJ0P2N1PN70030000400"/>
      <w:bookmarkEnd w:id="3847"/>
      <w:r>
        <w:rPr>
          <w:rFonts w:ascii="Arial" w:eastAsia="Arial" w:hAnsi="Arial" w:cs="Arial"/>
          <w:color w:val="000000"/>
          <w:sz w:val="20"/>
        </w:rPr>
        <w:t>In other words, Plaintiffs allege that "but for" Steak 'n Shake's policies there would be no injury. While Plaintiffs will face a heavier burden to establish causation should [**18]  they eventually be put to their proof,</w:t>
      </w:r>
      <w:bookmarkStart w:id="3848" w:name="Bookmark_LNHNREFclscc15_4"/>
      <w:bookmarkEnd w:id="3848"/>
      <w:r>
        <w:rPr>
          <w:rFonts w:ascii="Arial" w:eastAsia="Arial" w:hAnsi="Arial" w:cs="Arial"/>
          <w:color w:val="000000"/>
          <w:sz w:val="20"/>
        </w:rPr>
        <w:t xml:space="preserve"> their burden of establishing causation at the pleadings stage is less stringent. </w:t>
      </w:r>
      <w:bookmarkStart w:id="3849" w:name="Bookmark_I5T2VJ0P2N1PN70020000400"/>
      <w:bookmarkEnd w:id="3849"/>
      <w:r>
        <w:rPr>
          <w:rFonts w:ascii="Arial" w:eastAsia="Arial" w:hAnsi="Arial" w:cs="Arial"/>
          <w:i/>
          <w:color w:val="000000"/>
          <w:sz w:val="20"/>
        </w:rPr>
        <w:t>Lujan</w:t>
      </w:r>
      <w:r>
        <w:rPr>
          <w:rFonts w:ascii="Arial" w:eastAsia="Arial" w:hAnsi="Arial" w:cs="Arial"/>
          <w:color w:val="000000"/>
          <w:sz w:val="20"/>
        </w:rPr>
        <w:t xml:space="preserve">, 504 U.S. at 561 ("[E]ach element [of standing] must be supported in the same way as any other matter on which the plaintiff bears the burden of proof, </w:t>
      </w:r>
      <w:r>
        <w:rPr>
          <w:rFonts w:ascii="Arial" w:eastAsia="Arial" w:hAnsi="Arial" w:cs="Arial"/>
          <w:i/>
          <w:color w:val="000000"/>
          <w:sz w:val="20"/>
        </w:rPr>
        <w:t>i.e.</w:t>
      </w:r>
      <w:r>
        <w:rPr>
          <w:rFonts w:ascii="Arial" w:eastAsia="Arial" w:hAnsi="Arial" w:cs="Arial"/>
          <w:color w:val="000000"/>
          <w:sz w:val="20"/>
        </w:rPr>
        <w:t>, with the manner and degree of evidence required at the successive stages of the litigation."). Accordingly, we conclude that Plaintiffs have satisfied the traceability element of standing.</w:t>
      </w:r>
    </w:p>
    <w:p w:rsidR="00E456CD" w:rsidRDefault="00000000">
      <w:pPr>
        <w:pStyle w:val="Normal20"/>
        <w:widowControl w:val="0"/>
        <w:spacing w:before="240" w:line="260" w:lineRule="atLeast"/>
      </w:pPr>
      <w:r>
        <w:br/>
      </w:r>
      <w:r>
        <w:rPr>
          <w:rFonts w:ascii="Arial" w:eastAsia="Arial" w:hAnsi="Arial" w:cs="Arial"/>
          <w:b/>
          <w:color w:val="000000"/>
          <w:sz w:val="20"/>
        </w:rPr>
        <w:t xml:space="preserve">C. </w:t>
      </w:r>
      <w:r>
        <w:rPr>
          <w:rFonts w:ascii="Arial" w:eastAsia="Arial" w:hAnsi="Arial" w:cs="Arial"/>
          <w:b/>
          <w:i/>
          <w:color w:val="000000"/>
          <w:sz w:val="20"/>
        </w:rPr>
        <w:t>Redressability</w:t>
      </w:r>
    </w:p>
    <w:p w:rsidR="00E456CD" w:rsidRDefault="00000000">
      <w:pPr>
        <w:pStyle w:val="Normal20"/>
        <w:widowControl w:val="0"/>
        <w:spacing w:before="200" w:line="260" w:lineRule="atLeast"/>
        <w:jc w:val="both"/>
      </w:pPr>
      <w:bookmarkStart w:id="3850" w:name="Bookmark_para_34_10"/>
      <w:bookmarkStart w:id="3851" w:name="Bookmark_I5T2VJ0P2N1PN70050000400"/>
      <w:bookmarkStart w:id="3852" w:name="Bookmark_I5T2VJ0P2N1PN80020000400"/>
      <w:bookmarkStart w:id="3853" w:name="Bookmark_LNHNREFclscc16_4"/>
      <w:bookmarkEnd w:id="3850"/>
      <w:bookmarkEnd w:id="3851"/>
      <w:bookmarkEnd w:id="3852"/>
      <w:bookmarkEnd w:id="3853"/>
      <w:r>
        <w:rPr>
          <w:rFonts w:ascii="Arial" w:eastAsia="Arial" w:hAnsi="Arial" w:cs="Arial"/>
          <w:color w:val="000000"/>
          <w:sz w:val="20"/>
        </w:rPr>
        <w:t xml:space="preserve">The third standing element requires Plaintiffs to show that their injury "is likely to be redressed by a favorable judicial decision." </w:t>
      </w:r>
      <w:bookmarkStart w:id="3854" w:name="Bookmark_I5T2VJ0P2N1PN70040000400"/>
      <w:bookmarkEnd w:id="3854"/>
      <w:r>
        <w:rPr>
          <w:rFonts w:ascii="Arial" w:eastAsia="Arial" w:hAnsi="Arial" w:cs="Arial"/>
          <w:i/>
          <w:color w:val="000000"/>
          <w:sz w:val="20"/>
        </w:rPr>
        <w:t>Spokeo</w:t>
      </w:r>
      <w:r>
        <w:rPr>
          <w:rFonts w:ascii="Arial" w:eastAsia="Arial" w:hAnsi="Arial" w:cs="Arial"/>
          <w:color w:val="000000"/>
          <w:sz w:val="20"/>
        </w:rPr>
        <w:t xml:space="preserve">, 136 S. Ct. at 1547. "This requires the plaintiff to show that it is 'likely, as opposed to merely speculative,' that the alleged injury will be redressed by a favorable decision." </w:t>
      </w:r>
      <w:bookmarkStart w:id="3855" w:name="Bookmark_I5T2VJ0P2N1PN80010000400"/>
      <w:bookmarkEnd w:id="3855"/>
      <w:r>
        <w:rPr>
          <w:rFonts w:ascii="Arial" w:eastAsia="Arial" w:hAnsi="Arial" w:cs="Arial"/>
          <w:i/>
          <w:color w:val="000000"/>
          <w:sz w:val="20"/>
        </w:rPr>
        <w:t>Finkelman</w:t>
      </w:r>
      <w:r>
        <w:rPr>
          <w:rFonts w:ascii="Arial" w:eastAsia="Arial" w:hAnsi="Arial" w:cs="Arial"/>
          <w:color w:val="000000"/>
          <w:sz w:val="20"/>
        </w:rPr>
        <w:t xml:space="preserve">, 810 F.3d at 194 (quoting </w:t>
      </w:r>
      <w:bookmarkStart w:id="3856" w:name="Bookmark_I5T2VJ0P2N1PN80030000400"/>
      <w:bookmarkEnd w:id="3856"/>
      <w:r>
        <w:rPr>
          <w:rFonts w:ascii="Arial" w:eastAsia="Arial" w:hAnsi="Arial" w:cs="Arial"/>
          <w:i/>
          <w:color w:val="000000"/>
          <w:sz w:val="20"/>
        </w:rPr>
        <w:t>Lujan</w:t>
      </w:r>
      <w:r>
        <w:rPr>
          <w:rFonts w:ascii="Arial" w:eastAsia="Arial" w:hAnsi="Arial" w:cs="Arial"/>
          <w:color w:val="000000"/>
          <w:sz w:val="20"/>
        </w:rPr>
        <w:t>, 504 U.S. at 561). Although this third element of standing presents a close call, we conclude that Plaintiffs have satisfied it.</w:t>
      </w:r>
    </w:p>
    <w:p w:rsidR="00E456CD" w:rsidRDefault="00000000">
      <w:pPr>
        <w:pStyle w:val="Normal20"/>
        <w:widowControl w:val="0"/>
        <w:spacing w:before="200" w:line="260" w:lineRule="atLeast"/>
        <w:jc w:val="both"/>
      </w:pPr>
      <w:bookmarkStart w:id="3857" w:name="Bookmark_para_35_9"/>
      <w:bookmarkStart w:id="3858" w:name="Bookmark_I5T2VJ0P2SF7M60010000400"/>
      <w:bookmarkEnd w:id="3857"/>
      <w:bookmarkEnd w:id="3858"/>
      <w:r>
        <w:rPr>
          <w:rFonts w:ascii="Arial" w:eastAsia="Arial" w:hAnsi="Arial" w:cs="Arial"/>
          <w:color w:val="000000"/>
          <w:sz w:val="20"/>
        </w:rPr>
        <w:t xml:space="preserve">Courts must be cognizant of "the rule that a 'remedy must of course be limited to the inadequacy that produced the injury in fact that the plaintiff has established.'" </w:t>
      </w:r>
      <w:bookmarkStart w:id="3859" w:name="Bookmark_I5T2VJ0P2N1PN80050000400"/>
      <w:bookmarkEnd w:id="3859"/>
      <w:r>
        <w:rPr>
          <w:rFonts w:ascii="Arial" w:eastAsia="Arial" w:hAnsi="Arial" w:cs="Arial"/>
          <w:i/>
          <w:color w:val="000000"/>
          <w:sz w:val="20"/>
        </w:rPr>
        <w:t>Gill v. Whitford</w:t>
      </w:r>
      <w:r>
        <w:rPr>
          <w:rFonts w:ascii="Arial" w:eastAsia="Arial" w:hAnsi="Arial" w:cs="Arial"/>
          <w:color w:val="000000"/>
          <w:sz w:val="20"/>
        </w:rPr>
        <w:t xml:space="preserve">, 138 S. Ct. 1916, 1931, 201 L. Ed. 2d 313 (2018) (quoting </w:t>
      </w:r>
      <w:bookmarkStart w:id="3860" w:name="Bookmark_I5T2VJ0P2SF7M60020000400"/>
      <w:bookmarkEnd w:id="3860"/>
      <w:r>
        <w:rPr>
          <w:rFonts w:ascii="Arial" w:eastAsia="Arial" w:hAnsi="Arial" w:cs="Arial"/>
          <w:i/>
          <w:color w:val="000000"/>
          <w:sz w:val="20"/>
        </w:rPr>
        <w:t>Lewis v. Casey</w:t>
      </w:r>
      <w:r>
        <w:rPr>
          <w:rFonts w:ascii="Arial" w:eastAsia="Arial" w:hAnsi="Arial" w:cs="Arial"/>
          <w:color w:val="000000"/>
          <w:sz w:val="20"/>
        </w:rPr>
        <w:t>, 518 U.S. 343, 357, 116 S. Ct. 2174, 135 L. Ed. 2d 606 (1996)). Bearing in mind that Plaintiffs do not have standing to seek remedies corresponding to mere procedural violations of the ADA, we consider [**19]  whether the declaratory and injunctive relief Plaintiffs seek will likely satisfy the only injuries they have successfully alleged: physical injuries associated with ambulating through steeply graded parking facilities, and the deterrent effect that these injuries have on Plaintiffs' ability to enjoy Steak 'n Shake's services in the future.</w:t>
      </w:r>
    </w:p>
    <w:p w:rsidR="00E456CD" w:rsidRDefault="00000000">
      <w:pPr>
        <w:pStyle w:val="Normal20"/>
        <w:widowControl w:val="0"/>
        <w:spacing w:before="200" w:line="260" w:lineRule="atLeast"/>
        <w:jc w:val="both"/>
      </w:pPr>
      <w:bookmarkStart w:id="3861" w:name="Bookmark_para_36_9"/>
      <w:bookmarkEnd w:id="3861"/>
      <w:r>
        <w:rPr>
          <w:rFonts w:ascii="Arial" w:eastAsia="Arial" w:hAnsi="Arial" w:cs="Arial"/>
          <w:color w:val="000000"/>
          <w:sz w:val="20"/>
        </w:rPr>
        <w:t xml:space="preserve">Plaintiffs provide three examples of injunctions, any one of which they contend would remedy their injuries. First, Plaintiffs propose that the District Court could develop "training protocols" intended to "ensure" that Steak 'n Shake's maintenance employees "are aware of the ADA's structural requirements and know how to identify access violations for prompt repair." Appellee Br. 50. Second, Plaintiffs propose that the District Court direct Steak 'n Shake "to conduct annual ADA-specific inspections to ensure accessibility has been maintained." </w:t>
      </w:r>
      <w:r>
        <w:rPr>
          <w:rFonts w:ascii="Arial" w:eastAsia="Arial" w:hAnsi="Arial" w:cs="Arial"/>
          <w:i/>
          <w:color w:val="000000"/>
          <w:sz w:val="20"/>
        </w:rPr>
        <w:t>Id.</w:t>
      </w:r>
      <w:r>
        <w:rPr>
          <w:rFonts w:ascii="Arial" w:eastAsia="Arial" w:hAnsi="Arial" w:cs="Arial"/>
          <w:color w:val="000000"/>
          <w:sz w:val="20"/>
        </w:rPr>
        <w:t xml:space="preserve"> Third, Plaintiffs propose that the District Court direct Steak 'n Shake "to refrain from engaging in its current practice" of performing ADA inspections only in response to complaints brought to the company's attention by patrons. </w:t>
      </w:r>
      <w:r>
        <w:rPr>
          <w:rFonts w:ascii="Arial" w:eastAsia="Arial" w:hAnsi="Arial" w:cs="Arial"/>
          <w:i/>
          <w:color w:val="000000"/>
          <w:sz w:val="20"/>
        </w:rPr>
        <w:t>Id.</w:t>
      </w:r>
    </w:p>
    <w:p w:rsidR="00E456CD" w:rsidRDefault="00000000">
      <w:pPr>
        <w:pStyle w:val="Normal20"/>
        <w:widowControl w:val="0"/>
        <w:spacing w:before="200" w:line="260" w:lineRule="atLeast"/>
        <w:jc w:val="both"/>
      </w:pPr>
      <w:bookmarkStart w:id="3862" w:name="Bookmark_para_37_8"/>
      <w:bookmarkEnd w:id="3862"/>
      <w:r>
        <w:rPr>
          <w:rFonts w:ascii="Arial" w:eastAsia="Arial" w:hAnsi="Arial" w:cs="Arial"/>
          <w:color w:val="000000"/>
          <w:sz w:val="20"/>
        </w:rPr>
        <w:t xml:space="preserve">Each of the proposed injunctions suffer from the same flaw: Not one specifically [**20]  directs that an allegedly non-compliant parking facility slope be corrected. And if an ADA-violative slope has not been  [*482]  remedied, the plaintiffs' resultant injuries will persist. In order for any injuries to be remedied, Steak 'n Shake would need not only to adopt one of Plaintiffs' proposed policies but also to </w:t>
      </w:r>
      <w:r>
        <w:rPr>
          <w:rFonts w:ascii="Arial" w:eastAsia="Arial" w:hAnsi="Arial" w:cs="Arial"/>
          <w:i/>
          <w:color w:val="000000"/>
          <w:sz w:val="20"/>
        </w:rPr>
        <w:t>take the additional step</w:t>
      </w:r>
      <w:r>
        <w:rPr>
          <w:rFonts w:ascii="Arial" w:eastAsia="Arial" w:hAnsi="Arial" w:cs="Arial"/>
          <w:color w:val="000000"/>
          <w:sz w:val="20"/>
        </w:rPr>
        <w:t xml:space="preserve"> of actually implementing that policy. Obviously, mere adoption of a policy, without more, would not guarantee the correction of discriminatory barriers. Steak 'n Shake could be in compliance with a court order requiring them </w:t>
      </w:r>
      <w:r>
        <w:rPr>
          <w:rFonts w:ascii="Arial" w:eastAsia="Arial" w:hAnsi="Arial" w:cs="Arial"/>
          <w:i/>
          <w:color w:val="000000"/>
          <w:sz w:val="20"/>
        </w:rPr>
        <w:t>to adopt</w:t>
      </w:r>
      <w:r>
        <w:rPr>
          <w:rFonts w:ascii="Arial" w:eastAsia="Arial" w:hAnsi="Arial" w:cs="Arial"/>
          <w:color w:val="000000"/>
          <w:sz w:val="20"/>
        </w:rPr>
        <w:t xml:space="preserve"> a new policy and still fail to correct access violations. In that case, failure to take the additional step of abiding by a newly-adopted corporate policy would not constitute a violation of the District Court's injunction. It would merely be a violation of the policy </w:t>
      </w:r>
      <w:r>
        <w:rPr>
          <w:rFonts w:ascii="Arial" w:eastAsia="Arial" w:hAnsi="Arial" w:cs="Arial"/>
          <w:i/>
          <w:color w:val="000000"/>
          <w:sz w:val="20"/>
        </w:rPr>
        <w:t>itself</w:t>
      </w:r>
      <w:r>
        <w:rPr>
          <w:rFonts w:ascii="Arial" w:eastAsia="Arial" w:hAnsi="Arial" w:cs="Arial"/>
          <w:color w:val="000000"/>
          <w:sz w:val="20"/>
        </w:rPr>
        <w:t>.</w:t>
      </w:r>
    </w:p>
    <w:p w:rsidR="00E456CD" w:rsidRDefault="00000000">
      <w:pPr>
        <w:pStyle w:val="Normal20"/>
        <w:widowControl w:val="0"/>
        <w:spacing w:before="200" w:line="260" w:lineRule="atLeast"/>
        <w:jc w:val="both"/>
      </w:pPr>
      <w:bookmarkStart w:id="3863" w:name="Bookmark_para_38_8"/>
      <w:bookmarkStart w:id="3864" w:name="Bookmark_I5T2VJ0P2SF7M60050000400"/>
      <w:bookmarkEnd w:id="3863"/>
      <w:bookmarkEnd w:id="3864"/>
      <w:r>
        <w:rPr>
          <w:rFonts w:ascii="Arial" w:eastAsia="Arial" w:hAnsi="Arial" w:cs="Arial"/>
          <w:color w:val="000000"/>
          <w:sz w:val="20"/>
        </w:rPr>
        <w:t xml:space="preserve">Yet even with this daylight between Plaintiffs' proposed injunctions and the actual remedying of injuries, we recognize that a plaintiff need only establish that a favorable judicial decision be "likely" to remedy a plaintiff's injury in fact. </w:t>
      </w:r>
      <w:bookmarkStart w:id="3865" w:name="Bookmark_I5T2VJ0P2SF7M60040000400"/>
      <w:bookmarkEnd w:id="3865"/>
      <w:r>
        <w:rPr>
          <w:rFonts w:ascii="Arial" w:eastAsia="Arial" w:hAnsi="Arial" w:cs="Arial"/>
          <w:i/>
          <w:color w:val="000000"/>
          <w:sz w:val="20"/>
        </w:rPr>
        <w:t>Lujan</w:t>
      </w:r>
      <w:r>
        <w:rPr>
          <w:rFonts w:ascii="Arial" w:eastAsia="Arial" w:hAnsi="Arial" w:cs="Arial"/>
          <w:color w:val="000000"/>
          <w:sz w:val="20"/>
        </w:rPr>
        <w:t>, 504 U.S. at 561. Nothing before us suggests that individual Steak 'n Shake locations would prove unable or unwilling to adhere [**21]  to a new corporate policy requiring the company to actively seek out access violations. Moreover, Plaintiffs' complaint includes a request that the District Court "retain jurisdiction over this matter for a period to be determined," in part "to ensure that [Steak 'n Shake] comes into compliance with the relevant requirements of the ADA." JA 87. Such a retention of jurisdiction would permit the District Court to address any potential failures by Steak 'n Shake to actually correct discriminatory barriers that were discovered as a result of new policies. We conclude, therefore, that the adoption of a policy similar to the three examples offered by Plaintiffs would likely remedy Plaintiffs' alleged injuries. Plaintiffs' have satisfied all three elements of standing.</w:t>
      </w:r>
    </w:p>
    <w:p w:rsidR="00E456CD" w:rsidRDefault="00000000">
      <w:pPr>
        <w:pStyle w:val="Normal20"/>
        <w:widowControl w:val="0"/>
        <w:spacing w:before="240" w:line="260" w:lineRule="atLeast"/>
      </w:pPr>
      <w:r>
        <w:br/>
      </w:r>
      <w:r>
        <w:rPr>
          <w:rFonts w:ascii="Arial" w:eastAsia="Arial" w:hAnsi="Arial" w:cs="Arial"/>
          <w:b/>
          <w:color w:val="000000"/>
          <w:sz w:val="20"/>
        </w:rPr>
        <w:t xml:space="preserve">III. </w:t>
      </w:r>
      <w:r>
        <w:rPr>
          <w:rFonts w:ascii="Arial" w:eastAsia="Arial" w:hAnsi="Arial" w:cs="Arial"/>
          <w:b/>
          <w:smallCaps/>
          <w:color w:val="000000"/>
          <w:sz w:val="20"/>
        </w:rPr>
        <w:t xml:space="preserve">Plaintiffs Fail to Satisfy </w:t>
      </w:r>
      <w:r>
        <w:rPr>
          <w:rFonts w:ascii="Arial" w:eastAsia="Arial" w:hAnsi="Arial" w:cs="Arial"/>
          <w:b/>
          <w:color w:val="000000"/>
          <w:sz w:val="20"/>
        </w:rPr>
        <w:t>Rule 23(a)</w:t>
      </w:r>
    </w:p>
    <w:p w:rsidR="00E456CD" w:rsidRDefault="00000000">
      <w:pPr>
        <w:pStyle w:val="Normal20"/>
        <w:widowControl w:val="0"/>
        <w:spacing w:before="200" w:line="260" w:lineRule="atLeast"/>
        <w:jc w:val="both"/>
      </w:pPr>
      <w:bookmarkStart w:id="3866" w:name="Bookmark_para_39_8"/>
      <w:bookmarkStart w:id="3867" w:name="Bookmark_I5T2VJ0P2SF7M70020000400"/>
      <w:bookmarkStart w:id="3868" w:name="Bookmark_I5T2VJ0P2SF7M70040000400"/>
      <w:bookmarkStart w:id="3869" w:name="Bookmark_I5T2VJ0P28T4KB0030000400"/>
      <w:bookmarkEnd w:id="3866"/>
      <w:bookmarkEnd w:id="3867"/>
      <w:bookmarkEnd w:id="3868"/>
      <w:bookmarkEnd w:id="3869"/>
      <w:r>
        <w:rPr>
          <w:rFonts w:ascii="Arial" w:eastAsia="Arial" w:hAnsi="Arial" w:cs="Arial"/>
          <w:color w:val="000000"/>
          <w:sz w:val="20"/>
        </w:rPr>
        <w:t>As former-Judge Posner has described it,</w:t>
      </w:r>
      <w:bookmarkStart w:id="3870" w:name="Bookmark_LNHNREFclscc17_3"/>
      <w:bookmarkEnd w:id="3870"/>
      <w:r>
        <w:rPr>
          <w:rFonts w:ascii="Arial" w:eastAsia="Arial" w:hAnsi="Arial" w:cs="Arial"/>
          <w:color w:val="000000"/>
          <w:sz w:val="20"/>
        </w:rPr>
        <w:t xml:space="preserve"> "[t]he class action is an ingenious procedural innovation that enables persons who have suffered a wrongful injury, but are too numerous for joinder of their claims alleging the same wrong committed by the same defendant or defendants to be feasible, to obtain relief as a group . . . ." </w:t>
      </w:r>
      <w:bookmarkStart w:id="3871" w:name="Bookmark_I5T2VJ0P2SF7M70010000400"/>
      <w:bookmarkEnd w:id="3871"/>
      <w:r>
        <w:rPr>
          <w:rFonts w:ascii="Arial" w:eastAsia="Arial" w:hAnsi="Arial" w:cs="Arial"/>
          <w:i/>
          <w:color w:val="000000"/>
          <w:sz w:val="20"/>
        </w:rPr>
        <w:t>Eubank v. Pella Corp.</w:t>
      </w:r>
      <w:r>
        <w:rPr>
          <w:rFonts w:ascii="Arial" w:eastAsia="Arial" w:hAnsi="Arial" w:cs="Arial"/>
          <w:color w:val="000000"/>
          <w:sz w:val="20"/>
        </w:rPr>
        <w:t xml:space="preserve">, 753 F.3d 718, 719 (7th Cir. 2014). Given that class actions are "an exception to the usual rule that [**22]  litigation is conducted by and on behalf of the individual named parties only," </w:t>
      </w:r>
      <w:bookmarkStart w:id="3872" w:name="Bookmark_I5T2VJ0P2SF7M70030000400"/>
      <w:bookmarkEnd w:id="3872"/>
      <w:r>
        <w:rPr>
          <w:rFonts w:ascii="Arial" w:eastAsia="Arial" w:hAnsi="Arial" w:cs="Arial"/>
          <w:i/>
          <w:color w:val="000000"/>
          <w:sz w:val="20"/>
        </w:rPr>
        <w:t>Comcast Corp. v. Behrend</w:t>
      </w:r>
      <w:r>
        <w:rPr>
          <w:rFonts w:ascii="Arial" w:eastAsia="Arial" w:hAnsi="Arial" w:cs="Arial"/>
          <w:color w:val="000000"/>
          <w:sz w:val="20"/>
        </w:rPr>
        <w:t xml:space="preserve">, 569 U.S. 27, 33, 133 S. Ct. 1426, 185 L. Ed. 2d 515 (2013) (quoting </w:t>
      </w:r>
      <w:bookmarkStart w:id="3873" w:name="Bookmark_I5T2VJ0P2SF7M70050000400"/>
      <w:bookmarkEnd w:id="3873"/>
      <w:r>
        <w:rPr>
          <w:rFonts w:ascii="Arial" w:eastAsia="Arial" w:hAnsi="Arial" w:cs="Arial"/>
          <w:i/>
          <w:color w:val="000000"/>
          <w:sz w:val="20"/>
        </w:rPr>
        <w:t>Califano v. Yamasaki</w:t>
      </w:r>
      <w:r>
        <w:rPr>
          <w:rFonts w:ascii="Arial" w:eastAsia="Arial" w:hAnsi="Arial" w:cs="Arial"/>
          <w:color w:val="000000"/>
          <w:sz w:val="20"/>
        </w:rPr>
        <w:t xml:space="preserve">, 442 U.S. 682, 700-701, 99 S. Ct. 2545, 61 L. Ed. 2d 176 (1979)), a plaintiff wishing to bring a lawsuit in federal court must first satisfy the explicit requirements set forth in Rule 23(a). </w:t>
      </w:r>
      <w:bookmarkStart w:id="3874" w:name="Bookmark_I5T2VJ0P28T4KB0050000400"/>
      <w:bookmarkEnd w:id="3874"/>
      <w:r>
        <w:rPr>
          <w:rFonts w:ascii="Arial" w:eastAsia="Arial" w:hAnsi="Arial" w:cs="Arial"/>
          <w:color w:val="000000"/>
          <w:sz w:val="20"/>
        </w:rPr>
        <w:t xml:space="preserve">This calls for a rigorous analysis that usually requires courts to make factual findings and legal conclusions that overlap the underlying merits of the suit. </w:t>
      </w:r>
      <w:bookmarkStart w:id="3875" w:name="Bookmark_I5T2VJ0P28T4KB0020000400"/>
      <w:bookmarkEnd w:id="3875"/>
      <w:r>
        <w:rPr>
          <w:rFonts w:ascii="Arial" w:eastAsia="Arial" w:hAnsi="Arial" w:cs="Arial"/>
          <w:i/>
          <w:color w:val="000000"/>
          <w:sz w:val="20"/>
        </w:rPr>
        <w:t>Wal-Mart Stores, Inc. v. Dukes</w:t>
      </w:r>
      <w:r>
        <w:rPr>
          <w:rFonts w:ascii="Arial" w:eastAsia="Arial" w:hAnsi="Arial" w:cs="Arial"/>
          <w:color w:val="000000"/>
          <w:sz w:val="20"/>
        </w:rPr>
        <w:t xml:space="preserve">, 564 U.S. 338, 350-51, 131 S. Ct. 2541, 180 L. Ed. 2d 374 (2011). </w:t>
      </w:r>
      <w:bookmarkStart w:id="3876" w:name="Bookmark_I5T2VJ0P28T4KB0050000400_2"/>
      <w:bookmarkEnd w:id="3876"/>
      <w:r>
        <w:rPr>
          <w:rFonts w:ascii="Arial" w:eastAsia="Arial" w:hAnsi="Arial" w:cs="Arial"/>
          <w:color w:val="000000"/>
          <w:sz w:val="20"/>
        </w:rPr>
        <w:t xml:space="preserve">Second, if the requirements of Rule 23(a) have been satisfied, the party seeking certification must also establish that her claim fits within one of the three types of class categories outlined in Rule 23(b). </w:t>
      </w:r>
      <w:bookmarkStart w:id="3877" w:name="Bookmark_I5T2VJ0P28T4KB0040000400"/>
      <w:bookmarkEnd w:id="3877"/>
      <w:r>
        <w:rPr>
          <w:rFonts w:ascii="Arial" w:eastAsia="Arial" w:hAnsi="Arial" w:cs="Arial"/>
          <w:i/>
          <w:color w:val="000000"/>
          <w:sz w:val="20"/>
        </w:rPr>
        <w:t>Hydrogen Peroxide</w:t>
      </w:r>
      <w:r>
        <w:rPr>
          <w:rFonts w:ascii="Arial" w:eastAsia="Arial" w:hAnsi="Arial" w:cs="Arial"/>
          <w:color w:val="000000"/>
          <w:sz w:val="20"/>
        </w:rPr>
        <w:t xml:space="preserve">, 552 F.3d at 309 n.6 (citing </w:t>
      </w:r>
      <w:bookmarkStart w:id="3878" w:name="Bookmark_I5T2VJ0P28T4KC0010000400"/>
      <w:bookmarkEnd w:id="3878"/>
      <w:r>
        <w:rPr>
          <w:rFonts w:ascii="Arial" w:eastAsia="Arial" w:hAnsi="Arial" w:cs="Arial"/>
          <w:i/>
          <w:color w:val="000000"/>
          <w:sz w:val="20"/>
        </w:rPr>
        <w:t>General Telephone Co. of Southwest v. Falcon</w:t>
      </w:r>
      <w:r>
        <w:rPr>
          <w:rFonts w:ascii="Arial" w:eastAsia="Arial" w:hAnsi="Arial" w:cs="Arial"/>
          <w:color w:val="000000"/>
          <w:sz w:val="20"/>
        </w:rPr>
        <w:t>, 457 U.S. 147, 155, 102 S. Ct. 2364, 72 L. Ed. 2d 740 (1982)).</w:t>
      </w:r>
    </w:p>
    <w:p w:rsidR="00E456CD" w:rsidRDefault="00000000">
      <w:pPr>
        <w:pStyle w:val="Normal20"/>
        <w:widowControl w:val="0"/>
        <w:spacing w:before="200" w:line="260" w:lineRule="atLeast"/>
        <w:jc w:val="both"/>
      </w:pPr>
      <w:bookmarkStart w:id="3879" w:name="Bookmark_para_40_7"/>
      <w:bookmarkEnd w:id="3879"/>
      <w:r>
        <w:rPr>
          <w:rFonts w:ascii="Arial" w:eastAsia="Arial" w:hAnsi="Arial" w:cs="Arial"/>
          <w:color w:val="000000"/>
          <w:sz w:val="20"/>
        </w:rPr>
        <w:t>Here, Plaintiffs have sought to establish a Rule 23(b)(2)</w:t>
      </w:r>
      <w:r>
        <w:rPr>
          <w:rFonts w:ascii="Arial" w:eastAsia="Arial" w:hAnsi="Arial" w:cs="Arial"/>
          <w:vertAlign w:val="superscript"/>
        </w:rPr>
        <w:footnoteReference w:customMarkFollows="1" w:id="174"/>
        <w:t>16</w:t>
      </w:r>
      <w:r>
        <w:rPr>
          <w:rFonts w:ascii="Arial" w:eastAsia="Arial" w:hAnsi="Arial" w:cs="Arial"/>
          <w:color w:val="000000"/>
          <w:sz w:val="20"/>
        </w:rPr>
        <w:t xml:space="preserve"> class for which injunctive  [*483]  relief is appropriate to the class as a whole. </w:t>
      </w:r>
      <w:bookmarkStart w:id="3882" w:name="Bookmark_I5T2VJ0P28T4KC0040000400"/>
      <w:bookmarkEnd w:id="3882"/>
      <w:r>
        <w:rPr>
          <w:rFonts w:ascii="Arial" w:eastAsia="Arial" w:hAnsi="Arial" w:cs="Arial"/>
          <w:color w:val="000000"/>
          <w:sz w:val="20"/>
        </w:rPr>
        <w:t xml:space="preserve">JA 93. But in defining the certified class, the District Court's Rule 23 analysis was flawed from the start. Citing </w:t>
      </w:r>
      <w:bookmarkStart w:id="3883" w:name="Bookmark_I5T2VJ0P28T4KC0030000400"/>
      <w:bookmarkEnd w:id="3883"/>
      <w:r>
        <w:rPr>
          <w:rFonts w:ascii="Arial" w:eastAsia="Arial" w:hAnsi="Arial" w:cs="Arial"/>
          <w:i/>
          <w:color w:val="000000"/>
          <w:sz w:val="20"/>
        </w:rPr>
        <w:t>Eisenberg v. Gagnon</w:t>
      </w:r>
      <w:r>
        <w:rPr>
          <w:rFonts w:ascii="Arial" w:eastAsia="Arial" w:hAnsi="Arial" w:cs="Arial"/>
          <w:color w:val="000000"/>
          <w:sz w:val="20"/>
        </w:rPr>
        <w:t>, 766 F.2d 770, 785 (3d Cir. 1985), the District Court wrote that "when doubt exists concerning certification of the class, the court should err in favor of allowing the case to proceed as a class action." JA 39. This was clear error.</w:t>
      </w:r>
    </w:p>
    <w:p w:rsidR="00E456CD" w:rsidRDefault="00000000">
      <w:pPr>
        <w:pStyle w:val="Normal20"/>
        <w:widowControl w:val="0"/>
        <w:spacing w:before="200" w:line="260" w:lineRule="atLeast"/>
        <w:jc w:val="both"/>
      </w:pPr>
      <w:bookmarkStart w:id="3884" w:name="Bookmark_para_41_7"/>
      <w:bookmarkStart w:id="3885" w:name="Bookmark_I5T2VJ0P2D6NSR0010000400"/>
      <w:bookmarkEnd w:id="3884"/>
      <w:bookmarkEnd w:id="3885"/>
      <w:r>
        <w:rPr>
          <w:rFonts w:ascii="Arial" w:eastAsia="Arial" w:hAnsi="Arial" w:cs="Arial"/>
          <w:color w:val="000000"/>
          <w:sz w:val="20"/>
        </w:rPr>
        <w:t xml:space="preserve">As we have previously explained, </w:t>
      </w:r>
      <w:bookmarkStart w:id="3886" w:name="Bookmark_LNHNREFclscc19_2"/>
      <w:bookmarkEnd w:id="3886"/>
      <w:r>
        <w:rPr>
          <w:rFonts w:ascii="Arial" w:eastAsia="Arial" w:hAnsi="Arial" w:cs="Arial"/>
          <w:color w:val="000000"/>
          <w:sz w:val="20"/>
        </w:rPr>
        <w:t xml:space="preserve">the "relaxed" class certification standard suggested in </w:t>
      </w:r>
      <w:r>
        <w:rPr>
          <w:rFonts w:ascii="Arial" w:eastAsia="Arial" w:hAnsi="Arial" w:cs="Arial"/>
          <w:i/>
          <w:color w:val="000000"/>
          <w:sz w:val="20"/>
        </w:rPr>
        <w:t>Eisenberg</w:t>
      </w:r>
      <w:r>
        <w:rPr>
          <w:rFonts w:ascii="Arial" w:eastAsia="Arial" w:hAnsi="Arial" w:cs="Arial"/>
          <w:color w:val="000000"/>
          <w:sz w:val="20"/>
        </w:rPr>
        <w:t xml:space="preserve"> did not survive the 2003 amendments [**23]  to Rule 23.</w:t>
      </w:r>
      <w:r>
        <w:rPr>
          <w:rFonts w:ascii="Arial" w:eastAsia="Arial" w:hAnsi="Arial" w:cs="Arial"/>
          <w:vertAlign w:val="superscript"/>
        </w:rPr>
        <w:footnoteReference w:customMarkFollows="1" w:id="175"/>
        <w:t>17</w:t>
      </w:r>
      <w:r>
        <w:rPr>
          <w:rFonts w:ascii="Arial" w:eastAsia="Arial" w:hAnsi="Arial" w:cs="Arial"/>
          <w:color w:val="000000"/>
          <w:sz w:val="20"/>
        </w:rPr>
        <w:t xml:space="preserve"> In </w:t>
      </w:r>
      <w:r>
        <w:rPr>
          <w:rFonts w:ascii="Arial" w:eastAsia="Arial" w:hAnsi="Arial" w:cs="Arial"/>
          <w:i/>
          <w:color w:val="000000"/>
          <w:sz w:val="20"/>
        </w:rPr>
        <w:t>Hydrogen Peroxide</w:t>
      </w:r>
      <w:r>
        <w:rPr>
          <w:rFonts w:ascii="Arial" w:eastAsia="Arial" w:hAnsi="Arial" w:cs="Arial"/>
          <w:color w:val="000000"/>
          <w:sz w:val="20"/>
        </w:rPr>
        <w:t xml:space="preserve">, we made clear that although the 2003 amendments were "subtle," they "reflect[ed] the need for a thorough evaluation of the Rule 23 factors." </w:t>
      </w:r>
      <w:bookmarkStart w:id="3888" w:name="Bookmark_I5T2VJ0P28T4KC0050000400"/>
      <w:bookmarkEnd w:id="3888"/>
      <w:r>
        <w:rPr>
          <w:rFonts w:ascii="Arial" w:eastAsia="Arial" w:hAnsi="Arial" w:cs="Arial"/>
          <w:i/>
          <w:color w:val="000000"/>
          <w:sz w:val="20"/>
        </w:rPr>
        <w:t>Hydrogen Peroxide</w:t>
      </w:r>
      <w:r>
        <w:rPr>
          <w:rFonts w:ascii="Arial" w:eastAsia="Arial" w:hAnsi="Arial" w:cs="Arial"/>
          <w:color w:val="000000"/>
          <w:sz w:val="20"/>
        </w:rPr>
        <w:t xml:space="preserve">, 552 F.3d at 318. </w:t>
      </w:r>
      <w:bookmarkStart w:id="3889" w:name="Bookmark_I5T2VJ0P2D6NSR0030000400"/>
      <w:bookmarkEnd w:id="3889"/>
      <w:r>
        <w:rPr>
          <w:rFonts w:ascii="Arial" w:eastAsia="Arial" w:hAnsi="Arial" w:cs="Arial"/>
          <w:color w:val="000000"/>
          <w:sz w:val="20"/>
        </w:rPr>
        <w:t xml:space="preserve">The </w:t>
      </w:r>
      <w:r>
        <w:rPr>
          <w:rFonts w:ascii="Arial" w:eastAsia="Arial" w:hAnsi="Arial" w:cs="Arial"/>
          <w:i/>
          <w:color w:val="000000"/>
          <w:sz w:val="20"/>
        </w:rPr>
        <w:t>Hydrogen Peroxide</w:t>
      </w:r>
      <w:r>
        <w:rPr>
          <w:rFonts w:ascii="Arial" w:eastAsia="Arial" w:hAnsi="Arial" w:cs="Arial"/>
          <w:color w:val="000000"/>
          <w:sz w:val="20"/>
        </w:rPr>
        <w:t xml:space="preserve"> opinion, a landmark in Third Circuit class action jurisprudence, went on to explain that:</w:t>
      </w:r>
    </w:p>
    <w:p w:rsidR="00E456CD" w:rsidRDefault="00000000">
      <w:pPr>
        <w:pStyle w:val="Normal20"/>
        <w:widowControl w:val="0"/>
        <w:spacing w:before="200" w:line="260" w:lineRule="atLeast"/>
        <w:ind w:left="400"/>
        <w:jc w:val="both"/>
      </w:pPr>
      <w:bookmarkStart w:id="3890" w:name="Bookmark_para_42_6"/>
      <w:bookmarkStart w:id="3891" w:name="Bookmark_I5T2VJ0P2D6NSR0030000400_2"/>
      <w:bookmarkStart w:id="3892" w:name="Bookmark_I5T2VJ0P2D6NSR0010000400_2"/>
      <w:bookmarkEnd w:id="3890"/>
      <w:bookmarkEnd w:id="3891"/>
      <w:bookmarkEnd w:id="3892"/>
      <w:r>
        <w:rPr>
          <w:rFonts w:ascii="Arial" w:eastAsia="Arial" w:hAnsi="Arial" w:cs="Arial"/>
          <w:color w:val="000000"/>
          <w:sz w:val="20"/>
        </w:rPr>
        <w:t xml:space="preserve">Although the trial court has discretion to grant or deny class certification, the court should not suppress 'doubt' as to whether a Rule 23 requirement is met—no matter the area of substantive law. Accordingly, </w:t>
      </w:r>
      <w:r>
        <w:rPr>
          <w:rFonts w:ascii="Arial" w:eastAsia="Arial" w:hAnsi="Arial" w:cs="Arial"/>
          <w:i/>
          <w:color w:val="000000"/>
          <w:sz w:val="20"/>
        </w:rPr>
        <w:t>Eisenberg</w:t>
      </w:r>
      <w:r>
        <w:rPr>
          <w:rFonts w:ascii="Arial" w:eastAsia="Arial" w:hAnsi="Arial" w:cs="Arial"/>
          <w:color w:val="000000"/>
          <w:sz w:val="20"/>
        </w:rPr>
        <w:t xml:space="preserve"> should not be understood to encourage certification in the face of doubt as to whether a Rule 23 requirement has been met... </w:t>
      </w:r>
      <w:r>
        <w:rPr>
          <w:rFonts w:ascii="Arial" w:eastAsia="Arial" w:hAnsi="Arial" w:cs="Arial"/>
          <w:i/>
          <w:color w:val="000000"/>
          <w:sz w:val="20"/>
        </w:rPr>
        <w:t>Eisenberg</w:t>
      </w:r>
      <w:r>
        <w:rPr>
          <w:rFonts w:ascii="Arial" w:eastAsia="Arial" w:hAnsi="Arial" w:cs="Arial"/>
          <w:color w:val="000000"/>
          <w:sz w:val="20"/>
        </w:rPr>
        <w:t xml:space="preserve"> predates the recent amendments to Rule 23 which, as noted, reject tentative decisions on certification and encourage development of a record sufficient for informed analysis.</w:t>
      </w:r>
    </w:p>
    <w:p w:rsidR="00E456CD" w:rsidRDefault="00000000">
      <w:pPr>
        <w:pStyle w:val="Normal20"/>
        <w:widowControl w:val="0"/>
        <w:spacing w:before="200" w:line="260" w:lineRule="atLeast"/>
        <w:jc w:val="both"/>
      </w:pPr>
      <w:bookmarkStart w:id="3893" w:name="Bookmark_I5T2VJ0P2D6NSR0030000400_3"/>
      <w:bookmarkStart w:id="3894" w:name="Bookmark_I5T2VJ0P2D6NSR0020000400"/>
      <w:bookmarkEnd w:id="3893"/>
      <w:bookmarkEnd w:id="3894"/>
      <w:r>
        <w:rPr>
          <w:rFonts w:ascii="Arial" w:eastAsia="Arial" w:hAnsi="Arial" w:cs="Arial"/>
          <w:i/>
          <w:color w:val="000000"/>
          <w:sz w:val="20"/>
        </w:rPr>
        <w:t>Id.</w:t>
      </w:r>
      <w:r>
        <w:rPr>
          <w:rFonts w:ascii="Arial" w:eastAsia="Arial" w:hAnsi="Arial" w:cs="Arial"/>
          <w:color w:val="000000"/>
          <w:sz w:val="20"/>
        </w:rPr>
        <w:t xml:space="preserve"> at 321. Following </w:t>
      </w:r>
      <w:r>
        <w:rPr>
          <w:rFonts w:ascii="Arial" w:eastAsia="Arial" w:hAnsi="Arial" w:cs="Arial"/>
          <w:i/>
          <w:color w:val="000000"/>
          <w:sz w:val="20"/>
        </w:rPr>
        <w:t>Hydrogen Peroxide</w:t>
      </w:r>
      <w:r>
        <w:rPr>
          <w:rFonts w:ascii="Arial" w:eastAsia="Arial" w:hAnsi="Arial" w:cs="Arial"/>
          <w:color w:val="000000"/>
          <w:sz w:val="20"/>
        </w:rPr>
        <w:t xml:space="preserve">, we again dismissed </w:t>
      </w:r>
      <w:r>
        <w:rPr>
          <w:rFonts w:ascii="Arial" w:eastAsia="Arial" w:hAnsi="Arial" w:cs="Arial"/>
          <w:i/>
          <w:color w:val="000000"/>
          <w:sz w:val="20"/>
        </w:rPr>
        <w:t>Eisenberg</w:t>
      </w:r>
      <w:r>
        <w:rPr>
          <w:rFonts w:ascii="Arial" w:eastAsia="Arial" w:hAnsi="Arial" w:cs="Arial"/>
          <w:color w:val="000000"/>
          <w:sz w:val="20"/>
        </w:rPr>
        <w:t xml:space="preserve">'s outdated view in </w:t>
      </w:r>
      <w:r>
        <w:rPr>
          <w:rFonts w:ascii="Arial" w:eastAsia="Arial" w:hAnsi="Arial" w:cs="Arial"/>
          <w:i/>
          <w:color w:val="000000"/>
          <w:sz w:val="20"/>
        </w:rPr>
        <w:t>In re Schering Plough Corp. ERISA Litig.</w:t>
      </w:r>
      <w:bookmarkStart w:id="3895" w:name="Bookmark_I5T2VJ0P2D6NSR0050000400"/>
      <w:bookmarkEnd w:id="3895"/>
      <w:r>
        <w:rPr>
          <w:rFonts w:ascii="Arial" w:eastAsia="Arial" w:hAnsi="Arial" w:cs="Arial"/>
          <w:color w:val="000000"/>
          <w:sz w:val="20"/>
        </w:rPr>
        <w:t>:</w:t>
      </w:r>
    </w:p>
    <w:p w:rsidR="00E456CD" w:rsidRDefault="00000000">
      <w:pPr>
        <w:pStyle w:val="Normal20"/>
        <w:widowControl w:val="0"/>
        <w:spacing w:before="200" w:line="260" w:lineRule="atLeast"/>
        <w:ind w:left="400"/>
        <w:jc w:val="both"/>
      </w:pPr>
      <w:bookmarkStart w:id="3896" w:name="Bookmark_para_43_5"/>
      <w:bookmarkStart w:id="3897" w:name="Bookmark_I5T2VJ0P2D6NSR0050000400_2"/>
      <w:bookmarkEnd w:id="3896"/>
      <w:bookmarkEnd w:id="3897"/>
      <w:r>
        <w:rPr>
          <w:rFonts w:ascii="Arial" w:eastAsia="Arial" w:hAnsi="Arial" w:cs="Arial"/>
          <w:color w:val="000000"/>
          <w:sz w:val="20"/>
        </w:rPr>
        <w:t xml:space="preserve">Additionally, the Report and Recommendation invokes </w:t>
      </w:r>
      <w:r>
        <w:rPr>
          <w:rFonts w:ascii="Arial" w:eastAsia="Arial" w:hAnsi="Arial" w:cs="Arial"/>
          <w:i/>
          <w:color w:val="000000"/>
          <w:sz w:val="20"/>
        </w:rPr>
        <w:t>Eisenberg v. Gagnon</w:t>
      </w:r>
      <w:r>
        <w:rPr>
          <w:rFonts w:ascii="Arial" w:eastAsia="Arial" w:hAnsi="Arial" w:cs="Arial"/>
          <w:color w:val="000000"/>
          <w:sz w:val="20"/>
        </w:rPr>
        <w:t xml:space="preserve"> for the proposition that "[u]ltimately, doubts are resolved in favor of class certification." Our decision in </w:t>
      </w:r>
      <w:r>
        <w:rPr>
          <w:rFonts w:ascii="Arial" w:eastAsia="Arial" w:hAnsi="Arial" w:cs="Arial"/>
          <w:i/>
          <w:color w:val="000000"/>
          <w:sz w:val="20"/>
        </w:rPr>
        <w:t>Hydrogen Peroxide</w:t>
      </w:r>
      <w:r>
        <w:rPr>
          <w:rFonts w:ascii="Arial" w:eastAsia="Arial" w:hAnsi="Arial" w:cs="Arial"/>
          <w:color w:val="000000"/>
          <w:sz w:val="20"/>
        </w:rPr>
        <w:t xml:space="preserve"> makes clear that </w:t>
      </w:r>
      <w:r>
        <w:rPr>
          <w:rFonts w:ascii="Arial" w:eastAsia="Arial" w:hAnsi="Arial" w:cs="Arial"/>
          <w:i/>
          <w:color w:val="000000"/>
          <w:sz w:val="20"/>
        </w:rPr>
        <w:t>Eisenberg</w:t>
      </w:r>
      <w:r>
        <w:rPr>
          <w:rFonts w:ascii="Arial" w:eastAsia="Arial" w:hAnsi="Arial" w:cs="Arial"/>
          <w:color w:val="000000"/>
          <w:sz w:val="20"/>
        </w:rPr>
        <w:t xml:space="preserve"> should not be read in this manner. . . .</w:t>
      </w:r>
    </w:p>
    <w:p w:rsidR="00E456CD" w:rsidRDefault="00000000">
      <w:pPr>
        <w:pStyle w:val="Normal20"/>
        <w:widowControl w:val="0"/>
        <w:spacing w:before="200" w:line="260" w:lineRule="atLeast"/>
        <w:jc w:val="both"/>
      </w:pPr>
      <w:bookmarkStart w:id="3898" w:name="Bookmark_I5T2VJ0P2D6NSR0050000400_3"/>
      <w:bookmarkStart w:id="3899" w:name="Bookmark_I5T2VJ0P2D6NSR0040000400"/>
      <w:bookmarkEnd w:id="3898"/>
      <w:bookmarkEnd w:id="3899"/>
      <w:r>
        <w:rPr>
          <w:rFonts w:ascii="Arial" w:eastAsia="Arial" w:hAnsi="Arial" w:cs="Arial"/>
          <w:i/>
          <w:color w:val="000000"/>
          <w:sz w:val="20"/>
        </w:rPr>
        <w:t>In re Schering Plough Corp. ERISA Litig.</w:t>
      </w:r>
      <w:r>
        <w:rPr>
          <w:rFonts w:ascii="Arial" w:eastAsia="Arial" w:hAnsi="Arial" w:cs="Arial"/>
          <w:color w:val="000000"/>
          <w:sz w:val="20"/>
        </w:rPr>
        <w:t>, 589 F.3d 585, 600 n.14 (3d Cir. 2009) (internal citations omitted). [**24] </w:t>
      </w:r>
    </w:p>
    <w:p w:rsidR="00E456CD" w:rsidRDefault="00000000">
      <w:pPr>
        <w:pStyle w:val="Normal20"/>
        <w:widowControl w:val="0"/>
        <w:spacing w:before="200" w:line="260" w:lineRule="atLeast"/>
        <w:jc w:val="both"/>
      </w:pPr>
      <w:bookmarkStart w:id="3900" w:name="Bookmark_para_44_5"/>
      <w:bookmarkStart w:id="3901" w:name="Bookmark_I5T2VJ0P2D6NSS0020000400"/>
      <w:bookmarkEnd w:id="3900"/>
      <w:bookmarkEnd w:id="3901"/>
      <w:r>
        <w:rPr>
          <w:rFonts w:ascii="Arial" w:eastAsia="Arial" w:hAnsi="Arial" w:cs="Arial"/>
          <w:color w:val="000000"/>
          <w:sz w:val="20"/>
        </w:rPr>
        <w:t>We repeat (hopefully for the last time):</w:t>
      </w:r>
      <w:bookmarkStart w:id="3902" w:name="Bookmark_LNHNREFclscc20_1"/>
      <w:bookmarkEnd w:id="3902"/>
      <w:r>
        <w:rPr>
          <w:rFonts w:ascii="Arial" w:eastAsia="Arial" w:hAnsi="Arial" w:cs="Arial"/>
          <w:color w:val="000000"/>
          <w:sz w:val="20"/>
        </w:rPr>
        <w:t xml:space="preserve"> the "relaxed" Rule 23 standard suggested in </w:t>
      </w:r>
      <w:r>
        <w:rPr>
          <w:rFonts w:ascii="Arial" w:eastAsia="Arial" w:hAnsi="Arial" w:cs="Arial"/>
          <w:i/>
          <w:color w:val="000000"/>
          <w:sz w:val="20"/>
        </w:rPr>
        <w:t>Eisenberg</w:t>
      </w:r>
      <w:r>
        <w:rPr>
          <w:rFonts w:ascii="Arial" w:eastAsia="Arial" w:hAnsi="Arial" w:cs="Arial"/>
          <w:color w:val="000000"/>
          <w:sz w:val="20"/>
        </w:rPr>
        <w:t xml:space="preserve"> is no longer the law of this circuit. </w:t>
      </w:r>
      <w:bookmarkStart w:id="3903" w:name="Bookmark_I5T2VJ0P2D6NSS0040000400"/>
      <w:bookmarkEnd w:id="3903"/>
      <w:r>
        <w:rPr>
          <w:rFonts w:ascii="Arial" w:eastAsia="Arial" w:hAnsi="Arial" w:cs="Arial"/>
          <w:color w:val="000000"/>
          <w:sz w:val="20"/>
        </w:rPr>
        <w:t xml:space="preserve">When courts harbor doubt as to whether a plaintiff has carried her burden under Rule 23, the class should not be certified. </w:t>
      </w:r>
      <w:bookmarkStart w:id="3904" w:name="Bookmark_I5T2VJ0P2HM6WV0010000400"/>
      <w:bookmarkStart w:id="3905" w:name="Bookmark_I5T2VJ0P2D6NSS0010000400"/>
      <w:bookmarkEnd w:id="3904"/>
      <w:bookmarkEnd w:id="3905"/>
      <w:r>
        <w:rPr>
          <w:rFonts w:ascii="Arial" w:eastAsia="Arial" w:hAnsi="Arial" w:cs="Arial"/>
          <w:i/>
          <w:color w:val="000000"/>
          <w:sz w:val="20"/>
        </w:rPr>
        <w:t>Hydrogen Peroxide</w:t>
      </w:r>
      <w:r>
        <w:rPr>
          <w:rFonts w:ascii="Arial" w:eastAsia="Arial" w:hAnsi="Arial" w:cs="Arial"/>
          <w:color w:val="000000"/>
          <w:sz w:val="20"/>
        </w:rPr>
        <w:t xml:space="preserve">, 552 F.3d at 321. </w:t>
      </w:r>
      <w:bookmarkStart w:id="3906" w:name="Bookmark_I5T2VJ0P2HM6WV0010000400_2"/>
      <w:bookmarkStart w:id="3907" w:name="Bookmark_I5T2VJ0P2D6NSS0040000400_2"/>
      <w:bookmarkEnd w:id="3906"/>
      <w:bookmarkEnd w:id="3907"/>
      <w:r>
        <w:rPr>
          <w:rFonts w:ascii="Arial" w:eastAsia="Arial" w:hAnsi="Arial" w:cs="Arial"/>
          <w:color w:val="000000"/>
          <w:sz w:val="20"/>
        </w:rPr>
        <w:t xml:space="preserve">Rule 23 "does not set forth a mere pleading standard." </w:t>
      </w:r>
      <w:bookmarkStart w:id="3908" w:name="Bookmark_I5T2VJ0P2D6NSS0030000400"/>
      <w:bookmarkEnd w:id="3908"/>
      <w:r>
        <w:rPr>
          <w:rFonts w:ascii="Arial" w:eastAsia="Arial" w:hAnsi="Arial" w:cs="Arial"/>
          <w:i/>
          <w:color w:val="000000"/>
          <w:sz w:val="20"/>
        </w:rPr>
        <w:t>Dukes</w:t>
      </w:r>
      <w:r>
        <w:rPr>
          <w:rFonts w:ascii="Arial" w:eastAsia="Arial" w:hAnsi="Arial" w:cs="Arial"/>
          <w:color w:val="000000"/>
          <w:sz w:val="20"/>
        </w:rPr>
        <w:t xml:space="preserve">, 564 U.S. at 350. Instead, it calls for a rigorous analysis in which "[f]actual determinations  [*484]  supporting Rule 23 findings must be made by a preponderance of the evidence," </w:t>
      </w:r>
      <w:bookmarkStart w:id="3909" w:name="Bookmark_I5T2VJ0P2D6NSS0050000400"/>
      <w:bookmarkEnd w:id="3909"/>
      <w:r>
        <w:rPr>
          <w:rFonts w:ascii="Arial" w:eastAsia="Arial" w:hAnsi="Arial" w:cs="Arial"/>
          <w:i/>
          <w:color w:val="000000"/>
          <w:sz w:val="20"/>
        </w:rPr>
        <w:t>Hydrogen Peroxide</w:t>
      </w:r>
      <w:r>
        <w:rPr>
          <w:rFonts w:ascii="Arial" w:eastAsia="Arial" w:hAnsi="Arial" w:cs="Arial"/>
          <w:color w:val="000000"/>
          <w:sz w:val="20"/>
        </w:rPr>
        <w:t>, 552 F.3d at 307. With that in mind, we consider whether Plaintiffs have satisfied Rule 23(a)'s requirements.</w:t>
      </w:r>
    </w:p>
    <w:p w:rsidR="00E456CD" w:rsidRDefault="00000000">
      <w:pPr>
        <w:pStyle w:val="Normal20"/>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Numerosity</w:t>
      </w:r>
    </w:p>
    <w:p w:rsidR="00E456CD" w:rsidRDefault="00000000">
      <w:pPr>
        <w:pStyle w:val="Normal20"/>
        <w:widowControl w:val="0"/>
        <w:spacing w:before="200" w:line="260" w:lineRule="atLeast"/>
        <w:jc w:val="both"/>
      </w:pPr>
      <w:bookmarkStart w:id="3910" w:name="Bookmark_para_45_5"/>
      <w:bookmarkStart w:id="3911" w:name="Bookmark_I5T2VJ0P2HM6WV0030000400"/>
      <w:bookmarkStart w:id="3912" w:name="Bookmark_LNHNREFclscc21_1"/>
      <w:bookmarkEnd w:id="3910"/>
      <w:bookmarkEnd w:id="3911"/>
      <w:bookmarkEnd w:id="3912"/>
      <w:r>
        <w:rPr>
          <w:rFonts w:ascii="Arial" w:eastAsia="Arial" w:hAnsi="Arial" w:cs="Arial"/>
          <w:color w:val="000000"/>
          <w:sz w:val="20"/>
        </w:rPr>
        <w:t xml:space="preserve">Rule 23(a)(1) requires that the proposed class be "so numerous that joinder of all members is impracticable." </w:t>
      </w:r>
      <w:r>
        <w:rPr>
          <w:rFonts w:ascii="Arial" w:eastAsia="Arial" w:hAnsi="Arial" w:cs="Arial"/>
          <w:smallCaps/>
          <w:color w:val="000000"/>
          <w:sz w:val="20"/>
        </w:rPr>
        <w:t>Fed. R. Civ. P.</w:t>
      </w:r>
      <w:r>
        <w:rPr>
          <w:rFonts w:ascii="Arial" w:eastAsia="Arial" w:hAnsi="Arial" w:cs="Arial"/>
          <w:color w:val="000000"/>
          <w:sz w:val="20"/>
        </w:rPr>
        <w:t xml:space="preserve"> 23(a)(1). Like other factual determinations underlying Rule 23 determinations, it is a "plaintiff's burden to demonstrate numerosity by a preponderance of the evidence." </w:t>
      </w:r>
      <w:bookmarkStart w:id="3913" w:name="Bookmark_I5T2VJ0P2HM6WV0020000400"/>
      <w:bookmarkEnd w:id="3913"/>
      <w:r>
        <w:rPr>
          <w:rFonts w:ascii="Arial" w:eastAsia="Arial" w:hAnsi="Arial" w:cs="Arial"/>
          <w:i/>
          <w:color w:val="000000"/>
          <w:sz w:val="20"/>
        </w:rPr>
        <w:t>Hayes v. Wal-Mart Stores, Inc.</w:t>
      </w:r>
      <w:r>
        <w:rPr>
          <w:rFonts w:ascii="Arial" w:eastAsia="Arial" w:hAnsi="Arial" w:cs="Arial"/>
          <w:color w:val="000000"/>
          <w:sz w:val="20"/>
        </w:rPr>
        <w:t>, 725 F.3d 349, 358 (3d Cir. 2013).</w:t>
      </w:r>
    </w:p>
    <w:p w:rsidR="00E456CD" w:rsidRDefault="00000000">
      <w:pPr>
        <w:pStyle w:val="Normal20"/>
        <w:widowControl w:val="0"/>
        <w:spacing w:before="200" w:line="260" w:lineRule="atLeast"/>
        <w:jc w:val="both"/>
      </w:pPr>
      <w:bookmarkStart w:id="3914" w:name="Bookmark_para_46_4"/>
      <w:bookmarkStart w:id="3915" w:name="Bookmark_I5T2VJ0P2HM6WV0050000400"/>
      <w:bookmarkEnd w:id="3914"/>
      <w:bookmarkEnd w:id="3915"/>
      <w:r>
        <w:rPr>
          <w:rFonts w:ascii="Arial" w:eastAsia="Arial" w:hAnsi="Arial" w:cs="Arial"/>
          <w:color w:val="000000"/>
          <w:sz w:val="20"/>
        </w:rPr>
        <w:t xml:space="preserve">In recent years the numerosity requirement has been given "real teeth." Robert H. Klonoff, </w:t>
      </w:r>
      <w:r>
        <w:rPr>
          <w:rFonts w:ascii="Arial" w:eastAsia="Arial" w:hAnsi="Arial" w:cs="Arial"/>
          <w:i/>
          <w:color w:val="000000"/>
          <w:sz w:val="20"/>
        </w:rPr>
        <w:t>The Decline of Class Actions</w:t>
      </w:r>
      <w:r>
        <w:rPr>
          <w:rFonts w:ascii="Arial" w:eastAsia="Arial" w:hAnsi="Arial" w:cs="Arial"/>
          <w:color w:val="000000"/>
          <w:sz w:val="20"/>
        </w:rPr>
        <w:t xml:space="preserve">, 90 </w:t>
      </w:r>
      <w:r>
        <w:rPr>
          <w:rFonts w:ascii="Arial" w:eastAsia="Arial" w:hAnsi="Arial" w:cs="Arial"/>
          <w:smallCaps/>
          <w:color w:val="000000"/>
          <w:sz w:val="20"/>
        </w:rPr>
        <w:t>Wash. U. L. Rev.</w:t>
      </w:r>
      <w:r>
        <w:rPr>
          <w:rFonts w:ascii="Arial" w:eastAsia="Arial" w:hAnsi="Arial" w:cs="Arial"/>
          <w:color w:val="000000"/>
          <w:sz w:val="20"/>
        </w:rPr>
        <w:t xml:space="preserve"> 729, 768 (2013). </w:t>
      </w:r>
      <w:bookmarkStart w:id="3916" w:name="Bookmark_I5T2VJ0P2HM6WW0020000400"/>
      <w:bookmarkEnd w:id="3916"/>
      <w:r>
        <w:rPr>
          <w:rFonts w:ascii="Arial" w:eastAsia="Arial" w:hAnsi="Arial" w:cs="Arial"/>
          <w:color w:val="000000"/>
          <w:sz w:val="20"/>
        </w:rPr>
        <w:t>Although this strengthening of the numerosity inquiry has sometimes been criticized,</w:t>
      </w:r>
      <w:r>
        <w:rPr>
          <w:rFonts w:ascii="Arial" w:eastAsia="Arial" w:hAnsi="Arial" w:cs="Arial"/>
          <w:vertAlign w:val="superscript"/>
        </w:rPr>
        <w:footnoteReference w:customMarkFollows="1" w:id="176"/>
        <w:t>18</w:t>
      </w:r>
      <w:r>
        <w:rPr>
          <w:rFonts w:ascii="Arial" w:eastAsia="Arial" w:hAnsi="Arial" w:cs="Arial"/>
          <w:color w:val="000000"/>
          <w:sz w:val="20"/>
        </w:rPr>
        <w:t xml:space="preserve"> our precedent nonetheless demands that a court "make a factual determination, based on the preponderance of the evidence, that [**25]  Rule 23's requirements have been met." </w:t>
      </w:r>
      <w:bookmarkStart w:id="3923" w:name="Bookmark_I5T2VJ0P2HM6WV0040000400"/>
      <w:bookmarkEnd w:id="3923"/>
      <w:r>
        <w:rPr>
          <w:rFonts w:ascii="Arial" w:eastAsia="Arial" w:hAnsi="Arial" w:cs="Arial"/>
          <w:i/>
          <w:color w:val="000000"/>
          <w:sz w:val="20"/>
        </w:rPr>
        <w:t>Marcus</w:t>
      </w:r>
      <w:r>
        <w:rPr>
          <w:rFonts w:ascii="Arial" w:eastAsia="Arial" w:hAnsi="Arial" w:cs="Arial"/>
          <w:color w:val="000000"/>
          <w:sz w:val="20"/>
        </w:rPr>
        <w:t xml:space="preserve">, 687 F.3d at 596. To make such a determination, a court must be presented with evidence that would enable the court to do so without resorting to mere speculation. </w:t>
      </w:r>
      <w:bookmarkStart w:id="3924" w:name="Bookmark_I5T2VJ0P2HM6WW0020000400_2"/>
      <w:bookmarkStart w:id="3925" w:name="Bookmark_I5T2VJ0P2HM6WW0010000400"/>
      <w:bookmarkEnd w:id="3924"/>
      <w:bookmarkEnd w:id="3925"/>
      <w:r>
        <w:rPr>
          <w:rFonts w:ascii="Arial" w:eastAsia="Arial" w:hAnsi="Arial" w:cs="Arial"/>
          <w:i/>
          <w:color w:val="000000"/>
          <w:sz w:val="20"/>
        </w:rPr>
        <w:t>Id.</w:t>
      </w:r>
      <w:r>
        <w:rPr>
          <w:rFonts w:ascii="Arial" w:eastAsia="Arial" w:hAnsi="Arial" w:cs="Arial"/>
          <w:color w:val="000000"/>
          <w:sz w:val="20"/>
        </w:rPr>
        <w:t xml:space="preserve"> at 597 (referring to "the line separating inference and speculation").</w:t>
      </w:r>
    </w:p>
    <w:p w:rsidR="00E456CD" w:rsidRDefault="00000000">
      <w:pPr>
        <w:pStyle w:val="Normal20"/>
        <w:widowControl w:val="0"/>
        <w:spacing w:before="200" w:line="260" w:lineRule="atLeast"/>
        <w:jc w:val="both"/>
      </w:pPr>
      <w:bookmarkStart w:id="3926" w:name="Bookmark_para_47_4"/>
      <w:bookmarkStart w:id="3927" w:name="Bookmark_I5T2VJ0P2N1PN90030000400"/>
      <w:bookmarkStart w:id="3928" w:name="Bookmark_I5T2VJ0P2N1PNB0020000400"/>
      <w:bookmarkEnd w:id="3926"/>
      <w:bookmarkEnd w:id="3927"/>
      <w:bookmarkEnd w:id="3928"/>
      <w:r>
        <w:rPr>
          <w:rFonts w:ascii="Arial" w:eastAsia="Arial" w:hAnsi="Arial" w:cs="Arial"/>
          <w:color w:val="000000"/>
          <w:sz w:val="20"/>
        </w:rPr>
        <w:t xml:space="preserve">In </w:t>
      </w:r>
      <w:r>
        <w:rPr>
          <w:rFonts w:ascii="Arial" w:eastAsia="Arial" w:hAnsi="Arial" w:cs="Arial"/>
          <w:i/>
          <w:color w:val="000000"/>
          <w:sz w:val="20"/>
        </w:rPr>
        <w:t>Marcus</w:t>
      </w:r>
      <w:r>
        <w:rPr>
          <w:rFonts w:ascii="Arial" w:eastAsia="Arial" w:hAnsi="Arial" w:cs="Arial"/>
          <w:color w:val="000000"/>
          <w:sz w:val="20"/>
        </w:rPr>
        <w:t>, we considered the claims of a plaintiff who had leased a BMW automobile with four Bridgestone "run-flat tires"</w:t>
      </w:r>
      <w:r>
        <w:rPr>
          <w:rFonts w:ascii="Arial" w:eastAsia="Arial" w:hAnsi="Arial" w:cs="Arial"/>
          <w:vertAlign w:val="superscript"/>
        </w:rPr>
        <w:footnoteReference w:customMarkFollows="1" w:id="177"/>
        <w:t>19</w:t>
      </w:r>
      <w:r>
        <w:rPr>
          <w:rFonts w:ascii="Arial" w:eastAsia="Arial" w:hAnsi="Arial" w:cs="Arial"/>
          <w:color w:val="000000"/>
          <w:sz w:val="20"/>
        </w:rPr>
        <w:t xml:space="preserve"> and had alleged that those tires were defective. </w:t>
      </w:r>
      <w:bookmarkStart w:id="3931" w:name="Bookmark_I5T2VJ0P2N1PN90020000400"/>
      <w:bookmarkEnd w:id="3931"/>
      <w:r>
        <w:rPr>
          <w:rFonts w:ascii="Arial" w:eastAsia="Arial" w:hAnsi="Arial" w:cs="Arial"/>
          <w:i/>
          <w:color w:val="000000"/>
          <w:sz w:val="20"/>
        </w:rPr>
        <w:t>Id.</w:t>
      </w:r>
      <w:r>
        <w:rPr>
          <w:rFonts w:ascii="Arial" w:eastAsia="Arial" w:hAnsi="Arial" w:cs="Arial"/>
          <w:color w:val="000000"/>
          <w:sz w:val="20"/>
        </w:rPr>
        <w:t xml:space="preserve"> at 588. The district court in that case certified a "class action brought on behalf of all purchasers and lessees of certain model-year BMWs equipped with Bridgestone [run-flat tires] sold or leased in New Jersey with tires that have gone flat and been replaced." </w:t>
      </w:r>
      <w:r>
        <w:rPr>
          <w:rFonts w:ascii="Arial" w:eastAsia="Arial" w:hAnsi="Arial" w:cs="Arial"/>
          <w:i/>
          <w:color w:val="000000"/>
          <w:sz w:val="20"/>
        </w:rPr>
        <w:t>Id.</w:t>
      </w:r>
      <w:r>
        <w:rPr>
          <w:rFonts w:ascii="Arial" w:eastAsia="Arial" w:hAnsi="Arial" w:cs="Arial"/>
          <w:color w:val="000000"/>
          <w:sz w:val="20"/>
        </w:rPr>
        <w:t xml:space="preserve"> (internal quotations omitted). We vacated the district court's certification order, in part because the plaintiff had failed to satisfy his numerosity burden. </w:t>
      </w:r>
      <w:r>
        <w:rPr>
          <w:rFonts w:ascii="Arial" w:eastAsia="Arial" w:hAnsi="Arial" w:cs="Arial"/>
          <w:i/>
          <w:color w:val="000000"/>
          <w:sz w:val="20"/>
        </w:rPr>
        <w:t>Id.</w:t>
      </w:r>
      <w:r>
        <w:rPr>
          <w:rFonts w:ascii="Arial" w:eastAsia="Arial" w:hAnsi="Arial" w:cs="Arial"/>
          <w:color w:val="000000"/>
          <w:sz w:val="20"/>
        </w:rPr>
        <w:t xml:space="preserve"> In outlining the requirements of a successful numerosity showing, we explained that:</w:t>
      </w:r>
    </w:p>
    <w:p w:rsidR="00E456CD" w:rsidRDefault="00000000">
      <w:pPr>
        <w:pStyle w:val="Normal20"/>
        <w:widowControl w:val="0"/>
        <w:spacing w:before="200" w:line="260" w:lineRule="atLeast"/>
        <w:ind w:left="400"/>
        <w:jc w:val="both"/>
      </w:pPr>
      <w:bookmarkStart w:id="3932" w:name="Bookmark_para_48_4"/>
      <w:bookmarkEnd w:id="3932"/>
      <w:r>
        <w:rPr>
          <w:rFonts w:ascii="Arial" w:eastAsia="Arial" w:hAnsi="Arial" w:cs="Arial"/>
          <w:color w:val="000000"/>
          <w:sz w:val="20"/>
        </w:rPr>
        <w:t xml:space="preserve">Of course, Rule 23(a)(1) does not require a plaintiff to offer direct evidence of the exact number and identities of the class members. </w:t>
      </w:r>
      <w:bookmarkStart w:id="3933" w:name="Bookmark_I5T2VJ0P2N1PN90050000400"/>
      <w:bookmarkEnd w:id="3933"/>
      <w:r>
        <w:rPr>
          <w:rFonts w:ascii="Arial" w:eastAsia="Arial" w:hAnsi="Arial" w:cs="Arial"/>
          <w:color w:val="000000"/>
          <w:sz w:val="20"/>
        </w:rPr>
        <w:t>But in the absence of direct evidence, a plaintiff must show sufficient [**26]  circumstantial evidence specific to the products, problems, parties, and geographic areas actually covered by the class definition to allow a district court to make a factual finding. Only then may the court rely on "common sense" to  [*485]  forgo precise calculations and exact numbers.</w:t>
      </w:r>
    </w:p>
    <w:p w:rsidR="00E456CD" w:rsidRDefault="00000000">
      <w:pPr>
        <w:pStyle w:val="Normal20"/>
        <w:widowControl w:val="0"/>
        <w:spacing w:before="200" w:line="260" w:lineRule="atLeast"/>
        <w:jc w:val="both"/>
      </w:pPr>
      <w:bookmarkStart w:id="3934" w:name="Bookmark_I5T2VJ0P2N1PN90050000400_2"/>
      <w:bookmarkStart w:id="3935" w:name="Bookmark_I5T2VJ0P2N1PN90040000400"/>
      <w:bookmarkEnd w:id="3934"/>
      <w:bookmarkEnd w:id="3935"/>
      <w:r>
        <w:rPr>
          <w:rFonts w:ascii="Arial" w:eastAsia="Arial" w:hAnsi="Arial" w:cs="Arial"/>
          <w:i/>
          <w:color w:val="000000"/>
          <w:sz w:val="20"/>
        </w:rPr>
        <w:t>Id.</w:t>
      </w:r>
      <w:r>
        <w:rPr>
          <w:rFonts w:ascii="Arial" w:eastAsia="Arial" w:hAnsi="Arial" w:cs="Arial"/>
          <w:color w:val="000000"/>
          <w:sz w:val="20"/>
        </w:rPr>
        <w:t xml:space="preserve"> at 596. One of the shortcomings of the district court's numerosity analysis in </w:t>
      </w:r>
      <w:r>
        <w:rPr>
          <w:rFonts w:ascii="Arial" w:eastAsia="Arial" w:hAnsi="Arial" w:cs="Arial"/>
          <w:i/>
          <w:color w:val="000000"/>
          <w:sz w:val="20"/>
        </w:rPr>
        <w:t>Marcus</w:t>
      </w:r>
      <w:r>
        <w:rPr>
          <w:rFonts w:ascii="Arial" w:eastAsia="Arial" w:hAnsi="Arial" w:cs="Arial"/>
          <w:color w:val="000000"/>
          <w:sz w:val="20"/>
        </w:rPr>
        <w:t xml:space="preserve"> was that although there was evidence of BMW purchases on a nationwide scale, there was no evidence indicating the portion of those purchases that might have occurred in New Jersey—the geographic limitation of the relevant class.</w:t>
      </w:r>
    </w:p>
    <w:p w:rsidR="00E456CD" w:rsidRDefault="00000000">
      <w:pPr>
        <w:pStyle w:val="Normal20"/>
        <w:widowControl w:val="0"/>
        <w:spacing w:before="200" w:line="260" w:lineRule="atLeast"/>
        <w:jc w:val="both"/>
      </w:pPr>
      <w:bookmarkStart w:id="3936" w:name="Bookmark_para_49_4"/>
      <w:bookmarkStart w:id="3937" w:name="Bookmark_I5T2VJ0P2N1PNB0040000400"/>
      <w:bookmarkEnd w:id="3936"/>
      <w:bookmarkEnd w:id="3937"/>
      <w:r>
        <w:rPr>
          <w:rFonts w:ascii="Arial" w:eastAsia="Arial" w:hAnsi="Arial" w:cs="Arial"/>
          <w:color w:val="000000"/>
          <w:sz w:val="20"/>
        </w:rPr>
        <w:t xml:space="preserve">While we noted that it was "tempting to assume that the New Jersey class meets the numerosity requirement based on the defendant companies' nationwide presence," we rejected the idea that giving in to such temptation could excuse speculation. </w:t>
      </w:r>
      <w:bookmarkStart w:id="3938" w:name="Bookmark_I5T2VJ0P2N1PNB0030000400"/>
      <w:bookmarkEnd w:id="3938"/>
      <w:r>
        <w:rPr>
          <w:rFonts w:ascii="Arial" w:eastAsia="Arial" w:hAnsi="Arial" w:cs="Arial"/>
          <w:i/>
          <w:color w:val="000000"/>
          <w:sz w:val="20"/>
        </w:rPr>
        <w:t>Id.</w:t>
      </w:r>
      <w:r>
        <w:rPr>
          <w:rFonts w:ascii="Arial" w:eastAsia="Arial" w:hAnsi="Arial" w:cs="Arial"/>
          <w:color w:val="000000"/>
          <w:sz w:val="20"/>
        </w:rPr>
        <w:t xml:space="preserve"> at 597. Because the plaintiff had presented a "complete lack of evidence specific to BMWs purchased or leased in New Jersey with Bridgestone RFTs that have gone flat and been replaced," we concluded that the district court's "numerosity ruling crossed the line separating inference and speculation." </w:t>
      </w:r>
      <w:r>
        <w:rPr>
          <w:rFonts w:ascii="Arial" w:eastAsia="Arial" w:hAnsi="Arial" w:cs="Arial"/>
          <w:i/>
          <w:color w:val="000000"/>
          <w:sz w:val="20"/>
        </w:rPr>
        <w:t>Id.</w:t>
      </w:r>
    </w:p>
    <w:p w:rsidR="00E456CD" w:rsidRDefault="00000000">
      <w:pPr>
        <w:pStyle w:val="Normal20"/>
        <w:widowControl w:val="0"/>
        <w:spacing w:before="200" w:line="260" w:lineRule="atLeast"/>
        <w:jc w:val="both"/>
      </w:pPr>
      <w:bookmarkStart w:id="3939" w:name="Bookmark_para_50_4"/>
      <w:bookmarkStart w:id="3940" w:name="Bookmark_I5T2VJ0P2SF7M80010000400"/>
      <w:bookmarkStart w:id="3941" w:name="Bookmark_I5T2VJ0P2SF7M80030000400"/>
      <w:bookmarkEnd w:id="3939"/>
      <w:bookmarkEnd w:id="3940"/>
      <w:bookmarkEnd w:id="3941"/>
      <w:r>
        <w:rPr>
          <w:rFonts w:ascii="Arial" w:eastAsia="Arial" w:hAnsi="Arial" w:cs="Arial"/>
          <w:color w:val="000000"/>
          <w:sz w:val="20"/>
        </w:rPr>
        <w:t xml:space="preserve">Applying the reasoning of </w:t>
      </w:r>
      <w:r>
        <w:rPr>
          <w:rFonts w:ascii="Arial" w:eastAsia="Arial" w:hAnsi="Arial" w:cs="Arial"/>
          <w:i/>
          <w:color w:val="000000"/>
          <w:sz w:val="20"/>
        </w:rPr>
        <w:t>Marcus</w:t>
      </w:r>
      <w:r>
        <w:rPr>
          <w:rFonts w:ascii="Arial" w:eastAsia="Arial" w:hAnsi="Arial" w:cs="Arial"/>
          <w:color w:val="000000"/>
          <w:sz w:val="20"/>
        </w:rPr>
        <w:t xml:space="preserve"> a year later in </w:t>
      </w:r>
      <w:r>
        <w:rPr>
          <w:rFonts w:ascii="Arial" w:eastAsia="Arial" w:hAnsi="Arial" w:cs="Arial"/>
          <w:i/>
          <w:color w:val="000000"/>
          <w:sz w:val="20"/>
        </w:rPr>
        <w:t>Hayes</w:t>
      </w:r>
      <w:r>
        <w:rPr>
          <w:rFonts w:ascii="Arial" w:eastAsia="Arial" w:hAnsi="Arial" w:cs="Arial"/>
          <w:color w:val="000000"/>
          <w:sz w:val="20"/>
        </w:rPr>
        <w:t xml:space="preserve">, we considered a plaintiff's [**27]  allegations that a retailer violated a state consumer fraud statute by selling unredeemable service plans for products that were in reality sold "as-is." </w:t>
      </w:r>
      <w:bookmarkStart w:id="3942" w:name="Bookmark_I5T2VJ0P2N1PNB0050000400"/>
      <w:bookmarkEnd w:id="3942"/>
      <w:r>
        <w:rPr>
          <w:rFonts w:ascii="Arial" w:eastAsia="Arial" w:hAnsi="Arial" w:cs="Arial"/>
          <w:i/>
          <w:color w:val="000000"/>
          <w:sz w:val="20"/>
        </w:rPr>
        <w:t>Hayes</w:t>
      </w:r>
      <w:r>
        <w:rPr>
          <w:rFonts w:ascii="Arial" w:eastAsia="Arial" w:hAnsi="Arial" w:cs="Arial"/>
          <w:color w:val="000000"/>
          <w:sz w:val="20"/>
        </w:rPr>
        <w:t xml:space="preserve">, 725 F.3d at 352. </w:t>
      </w:r>
      <w:bookmarkStart w:id="3943" w:name="Bookmark_I5T2VJ0P2SF7M80050000400"/>
      <w:bookmarkEnd w:id="3943"/>
      <w:r>
        <w:rPr>
          <w:rFonts w:ascii="Arial" w:eastAsia="Arial" w:hAnsi="Arial" w:cs="Arial"/>
          <w:color w:val="000000"/>
          <w:sz w:val="20"/>
        </w:rPr>
        <w:t xml:space="preserve">In </w:t>
      </w:r>
      <w:r>
        <w:rPr>
          <w:rFonts w:ascii="Arial" w:eastAsia="Arial" w:hAnsi="Arial" w:cs="Arial"/>
          <w:i/>
          <w:color w:val="000000"/>
          <w:sz w:val="20"/>
        </w:rPr>
        <w:t>Hayes</w:t>
      </w:r>
      <w:r>
        <w:rPr>
          <w:rFonts w:ascii="Arial" w:eastAsia="Arial" w:hAnsi="Arial" w:cs="Arial"/>
          <w:color w:val="000000"/>
          <w:sz w:val="20"/>
        </w:rPr>
        <w:t xml:space="preserve">, the plaintiff presented evidence of over 3,500 transactions that included both the sale of a service plan and a price override. </w:t>
      </w:r>
      <w:bookmarkStart w:id="3944" w:name="Bookmark_I5T2VJ0P2SF7M80020000400"/>
      <w:bookmarkEnd w:id="3944"/>
      <w:r>
        <w:rPr>
          <w:rFonts w:ascii="Arial" w:eastAsia="Arial" w:hAnsi="Arial" w:cs="Arial"/>
          <w:i/>
          <w:color w:val="000000"/>
          <w:sz w:val="20"/>
        </w:rPr>
        <w:t>Id.</w:t>
      </w:r>
      <w:r>
        <w:rPr>
          <w:rFonts w:ascii="Arial" w:eastAsia="Arial" w:hAnsi="Arial" w:cs="Arial"/>
          <w:color w:val="000000"/>
          <w:sz w:val="20"/>
        </w:rPr>
        <w:t xml:space="preserve"> at 353. </w:t>
      </w:r>
      <w:bookmarkStart w:id="3945" w:name="Bookmark_I5T2VJ0P2SF7M80050000400_2"/>
      <w:bookmarkEnd w:id="3945"/>
      <w:r>
        <w:rPr>
          <w:rFonts w:ascii="Arial" w:eastAsia="Arial" w:hAnsi="Arial" w:cs="Arial"/>
          <w:color w:val="000000"/>
          <w:sz w:val="20"/>
        </w:rPr>
        <w:t xml:space="preserve">Because a price override was something that a store cashier did when selling an "as-is" product, the district court had reasoned that numerosity was satisfied since, "if even 5% of those [3,500] price overrides were for as-is items ineligible for Service Plan protection, the class would be sufficiently numerous under </w:t>
      </w:r>
      <w:r>
        <w:rPr>
          <w:rFonts w:ascii="Arial" w:eastAsia="Arial" w:hAnsi="Arial" w:cs="Arial"/>
          <w:smallCaps/>
          <w:color w:val="000000"/>
          <w:sz w:val="20"/>
        </w:rPr>
        <w:t>Fed. R. Civ. P.</w:t>
      </w:r>
      <w:r>
        <w:rPr>
          <w:rFonts w:ascii="Arial" w:eastAsia="Arial" w:hAnsi="Arial" w:cs="Arial"/>
          <w:color w:val="000000"/>
          <w:sz w:val="20"/>
        </w:rPr>
        <w:t xml:space="preserve"> 23(a)(1)." </w:t>
      </w:r>
      <w:bookmarkStart w:id="3946" w:name="Bookmark_I5T2VJ0P2SF7M80040000400"/>
      <w:bookmarkEnd w:id="3946"/>
      <w:r>
        <w:rPr>
          <w:rFonts w:ascii="Arial" w:eastAsia="Arial" w:hAnsi="Arial" w:cs="Arial"/>
          <w:i/>
          <w:color w:val="000000"/>
          <w:sz w:val="20"/>
        </w:rPr>
        <w:t>Hayes</w:t>
      </w:r>
      <w:r>
        <w:rPr>
          <w:rFonts w:ascii="Arial" w:eastAsia="Arial" w:hAnsi="Arial" w:cs="Arial"/>
          <w:color w:val="000000"/>
          <w:sz w:val="20"/>
        </w:rPr>
        <w:t>, 725 F.3d at 356. We disagreed.</w:t>
      </w:r>
    </w:p>
    <w:p w:rsidR="00E456CD" w:rsidRDefault="00000000">
      <w:pPr>
        <w:pStyle w:val="Normal20"/>
        <w:widowControl w:val="0"/>
        <w:spacing w:before="200" w:line="260" w:lineRule="atLeast"/>
        <w:jc w:val="both"/>
      </w:pPr>
      <w:bookmarkStart w:id="3947" w:name="Bookmark_para_51_4"/>
      <w:bookmarkStart w:id="3948" w:name="Bookmark_I5T2VJ0P2SF7M90020000400"/>
      <w:bookmarkStart w:id="3949" w:name="Bookmark_I5T2VJ0P2SF7M90040000400"/>
      <w:bookmarkEnd w:id="3947"/>
      <w:bookmarkEnd w:id="3948"/>
      <w:bookmarkEnd w:id="3949"/>
      <w:r>
        <w:rPr>
          <w:rFonts w:ascii="Arial" w:eastAsia="Arial" w:hAnsi="Arial" w:cs="Arial"/>
          <w:color w:val="000000"/>
          <w:sz w:val="20"/>
        </w:rPr>
        <w:t xml:space="preserve">Although the district court in </w:t>
      </w:r>
      <w:r>
        <w:rPr>
          <w:rFonts w:ascii="Arial" w:eastAsia="Arial" w:hAnsi="Arial" w:cs="Arial"/>
          <w:i/>
          <w:color w:val="000000"/>
          <w:sz w:val="20"/>
        </w:rPr>
        <w:t>Hayes</w:t>
      </w:r>
      <w:r>
        <w:rPr>
          <w:rFonts w:ascii="Arial" w:eastAsia="Arial" w:hAnsi="Arial" w:cs="Arial"/>
          <w:color w:val="000000"/>
          <w:sz w:val="20"/>
        </w:rPr>
        <w:t xml:space="preserve"> was correct in pointing out that a cashier would perform a price override when selling an "as-is" product, those cashiers also performed price overrides in other scenarios—such as when a customer "requests a discount because the item is sold for less elsewhere," or when a customer "purchases an item and later finds it on sale." </w:t>
      </w:r>
      <w:bookmarkStart w:id="3950" w:name="Bookmark_I5T2VJ0P2SF7M90010000400"/>
      <w:bookmarkEnd w:id="3950"/>
      <w:r>
        <w:rPr>
          <w:rFonts w:ascii="Arial" w:eastAsia="Arial" w:hAnsi="Arial" w:cs="Arial"/>
          <w:i/>
          <w:color w:val="000000"/>
          <w:sz w:val="20"/>
        </w:rPr>
        <w:t>Id.</w:t>
      </w:r>
      <w:r>
        <w:rPr>
          <w:rFonts w:ascii="Arial" w:eastAsia="Arial" w:hAnsi="Arial" w:cs="Arial"/>
          <w:color w:val="000000"/>
          <w:sz w:val="20"/>
        </w:rPr>
        <w:t xml:space="preserve"> at 352. Transactions falling within these other scenarios were not part of the class definition, which was comprised of only customers who purchased a "Service Plan to cover as-is products." </w:t>
      </w:r>
      <w:bookmarkStart w:id="3951" w:name="Bookmark_I5T2VJ0P2SF7M90030000400"/>
      <w:bookmarkEnd w:id="3951"/>
      <w:r>
        <w:rPr>
          <w:rFonts w:ascii="Arial" w:eastAsia="Arial" w:hAnsi="Arial" w:cs="Arial"/>
          <w:i/>
          <w:color w:val="000000"/>
          <w:sz w:val="20"/>
        </w:rPr>
        <w:t>Id.</w:t>
      </w:r>
      <w:r>
        <w:rPr>
          <w:rFonts w:ascii="Arial" w:eastAsia="Arial" w:hAnsi="Arial" w:cs="Arial"/>
          <w:color w:val="000000"/>
          <w:sz w:val="20"/>
        </w:rPr>
        <w:t xml:space="preserve"> at 353.</w:t>
      </w:r>
      <w:r>
        <w:rPr>
          <w:rFonts w:ascii="Arial" w:eastAsia="Arial" w:hAnsi="Arial" w:cs="Arial"/>
          <w:vertAlign w:val="superscript"/>
        </w:rPr>
        <w:footnoteReference w:customMarkFollows="1" w:id="178"/>
        <w:t>20</w:t>
      </w:r>
      <w:r>
        <w:rPr>
          <w:rFonts w:ascii="Arial" w:eastAsia="Arial" w:hAnsi="Arial" w:cs="Arial"/>
          <w:color w:val="000000"/>
          <w:sz w:val="20"/>
        </w:rPr>
        <w:t xml:space="preserve"> As we explained [**28]  in </w:t>
      </w:r>
      <w:r>
        <w:rPr>
          <w:rFonts w:ascii="Arial" w:eastAsia="Arial" w:hAnsi="Arial" w:cs="Arial"/>
          <w:i/>
          <w:color w:val="000000"/>
          <w:sz w:val="20"/>
        </w:rPr>
        <w:t>Hayes</w:t>
      </w:r>
      <w:r>
        <w:rPr>
          <w:rFonts w:ascii="Arial" w:eastAsia="Arial" w:hAnsi="Arial" w:cs="Arial"/>
          <w:color w:val="000000"/>
          <w:sz w:val="20"/>
        </w:rPr>
        <w:t>:</w:t>
      </w:r>
    </w:p>
    <w:p w:rsidR="00E456CD" w:rsidRDefault="00000000">
      <w:pPr>
        <w:pStyle w:val="Normal20"/>
        <w:widowControl w:val="0"/>
        <w:spacing w:line="260" w:lineRule="atLeast"/>
        <w:ind w:left="400"/>
        <w:jc w:val="both"/>
      </w:pPr>
      <w:bookmarkStart w:id="3953" w:name="Bookmark_para_52_4"/>
      <w:bookmarkStart w:id="3954" w:name="Bookmark_I5T2VJ0P2SF7M90040000400_2"/>
      <w:bookmarkStart w:id="3955" w:name="Bookmark_I5T2VJ0P2SF7M90020000400_2"/>
      <w:bookmarkEnd w:id="3953"/>
      <w:bookmarkEnd w:id="3954"/>
      <w:bookmarkEnd w:id="3955"/>
      <w:r>
        <w:rPr>
          <w:rFonts w:ascii="Arial" w:eastAsia="Arial" w:hAnsi="Arial" w:cs="Arial"/>
          <w:color w:val="000000"/>
          <w:sz w:val="20"/>
        </w:rPr>
        <w:t xml:space="preserve">[P]laintiff did not fulfill his burden of supplying circumstantial evidence specific to the products and problems involved [in] the litigation and instead premised his argument for numerosity on improper speculation. </w:t>
      </w:r>
      <w:bookmarkStart w:id="3956" w:name="Bookmark_I5T2VJ0P28T4KF0010000400"/>
      <w:bookmarkEnd w:id="3956"/>
      <w:r>
        <w:rPr>
          <w:rFonts w:ascii="Arial" w:eastAsia="Arial" w:hAnsi="Arial" w:cs="Arial"/>
          <w:color w:val="000000"/>
          <w:sz w:val="20"/>
        </w:rPr>
        <w:t>The only concrete numerical evidence presented to the court was that New Jersey Sam's Clubs had on record 3,500 transactions that included both a price-override and the sale of a Service Plan. But there is no factual basis for determining how many of these 3,500 transactions included the purchase of a Service Plan for an as-is item . . . . In short, the only conclusion that can be drawn from the evidence presented to the trial court is that the number of class members would be equal-to-or-less-than 3,500 and equal-to-or-greater-than zero. Within that range, we can only speculate as to the number of class members.</w:t>
      </w:r>
    </w:p>
    <w:p w:rsidR="00E456CD" w:rsidRDefault="00000000">
      <w:pPr>
        <w:pStyle w:val="Normal20"/>
        <w:widowControl w:val="0"/>
        <w:spacing w:before="200" w:line="260" w:lineRule="atLeast"/>
        <w:jc w:val="both"/>
      </w:pPr>
      <w:bookmarkStart w:id="3957" w:name="Bookmark_I5T2VJ0P28T4KF0010000400_2"/>
      <w:bookmarkStart w:id="3958" w:name="Bookmark_I5T2VJ0P2SF7M90050000400"/>
      <w:bookmarkEnd w:id="3957"/>
      <w:bookmarkEnd w:id="3958"/>
      <w:r>
        <w:rPr>
          <w:rFonts w:ascii="Arial" w:eastAsia="Arial" w:hAnsi="Arial" w:cs="Arial"/>
          <w:i/>
          <w:color w:val="000000"/>
          <w:sz w:val="20"/>
        </w:rPr>
        <w:t>Id.</w:t>
      </w:r>
      <w:r>
        <w:rPr>
          <w:rFonts w:ascii="Arial" w:eastAsia="Arial" w:hAnsi="Arial" w:cs="Arial"/>
          <w:color w:val="000000"/>
          <w:sz w:val="20"/>
        </w:rPr>
        <w:t xml:space="preserve"> at 357-58.</w:t>
      </w:r>
    </w:p>
    <w:p w:rsidR="00E456CD" w:rsidRDefault="00000000">
      <w:pPr>
        <w:pStyle w:val="Normal20"/>
        <w:widowControl w:val="0"/>
        <w:spacing w:before="200" w:line="260" w:lineRule="atLeast"/>
        <w:jc w:val="both"/>
      </w:pPr>
      <w:bookmarkStart w:id="3959" w:name="Bookmark_para_53_4"/>
      <w:bookmarkEnd w:id="3959"/>
      <w:r>
        <w:rPr>
          <w:rFonts w:ascii="Arial" w:eastAsia="Arial" w:hAnsi="Arial" w:cs="Arial"/>
          <w:color w:val="000000"/>
          <w:sz w:val="20"/>
        </w:rPr>
        <w:t xml:space="preserve">Plaintiffs attempt to carry their numerosity burden by offering three  [*486]  strands of evidence—but that evidence ultimately falls short. First, Plaintiffs point to census data showing that "there are between 14.9 million to 20.9 million persons with mobility disabilities who live in the United States." Appellee Br. 41. Second, Plaintiffs point to a single [**29]  off-hand comment made by a Steak 'n Shake executive speculating that it would be "fair" to say that "thousands of people with disabilities utilize [Steak 'n Shake] parking lots . . . each year." </w:t>
      </w:r>
      <w:r>
        <w:rPr>
          <w:rFonts w:ascii="Arial" w:eastAsia="Arial" w:hAnsi="Arial" w:cs="Arial"/>
          <w:i/>
          <w:color w:val="000000"/>
          <w:sz w:val="20"/>
        </w:rPr>
        <w:t>Id.</w:t>
      </w:r>
      <w:r>
        <w:rPr>
          <w:rFonts w:ascii="Arial" w:eastAsia="Arial" w:hAnsi="Arial" w:cs="Arial"/>
          <w:color w:val="000000"/>
          <w:sz w:val="20"/>
        </w:rPr>
        <w:t xml:space="preserve"> at 41-42 (citing JA 155-56). Third, Plaintiffs ask this Court to use its "common sense" and conclude that numerosity has been satisfied. </w:t>
      </w:r>
      <w:r>
        <w:rPr>
          <w:rFonts w:ascii="Arial" w:eastAsia="Arial" w:hAnsi="Arial" w:cs="Arial"/>
          <w:i/>
          <w:color w:val="000000"/>
          <w:sz w:val="20"/>
        </w:rPr>
        <w:t>See id.</w:t>
      </w:r>
    </w:p>
    <w:p w:rsidR="00E456CD" w:rsidRDefault="00000000">
      <w:pPr>
        <w:pStyle w:val="Normal20"/>
        <w:widowControl w:val="0"/>
        <w:spacing w:before="200" w:line="260" w:lineRule="atLeast"/>
        <w:jc w:val="both"/>
      </w:pPr>
      <w:bookmarkStart w:id="3960" w:name="Bookmark_para_54_4"/>
      <w:bookmarkStart w:id="3961" w:name="Bookmark_I7KKD33S48X000RK8CR0000D"/>
      <w:bookmarkStart w:id="3962" w:name="Bookmark_I5T2VJ0P28T4KF0030000400"/>
      <w:bookmarkStart w:id="3963" w:name="Bookmark_I5T2VJ0P28T4KF0050000400"/>
      <w:bookmarkEnd w:id="3960"/>
      <w:bookmarkEnd w:id="3961"/>
      <w:bookmarkEnd w:id="3962"/>
      <w:bookmarkEnd w:id="3963"/>
      <w:r>
        <w:rPr>
          <w:rFonts w:ascii="Arial" w:eastAsia="Arial" w:hAnsi="Arial" w:cs="Arial"/>
          <w:color w:val="000000"/>
          <w:sz w:val="20"/>
        </w:rPr>
        <w:t xml:space="preserve">In assessing the sufficiency of these three strands of evidence, we begin by noting that </w:t>
      </w:r>
      <w:bookmarkStart w:id="3964" w:name="Bookmark_LNHNREFclscc22_1"/>
      <w:bookmarkEnd w:id="3964"/>
      <w:r>
        <w:rPr>
          <w:rFonts w:ascii="Arial" w:eastAsia="Arial" w:hAnsi="Arial" w:cs="Arial"/>
          <w:color w:val="000000"/>
          <w:sz w:val="20"/>
        </w:rPr>
        <w:t xml:space="preserve">although "[n]o minimum number of plaintiffs is required to maintain a suit as a class action," a plaintiff in this circuit can generally satisfy Rule 23(a)(1)'s numerosity requirement by establishing "that the potential number of plaintiffs exceeds 40." </w:t>
      </w:r>
      <w:bookmarkStart w:id="3965" w:name="Bookmark_I5T2VJ0P28T4KF0020000400"/>
      <w:bookmarkEnd w:id="3965"/>
      <w:r>
        <w:rPr>
          <w:rFonts w:ascii="Arial" w:eastAsia="Arial" w:hAnsi="Arial" w:cs="Arial"/>
          <w:i/>
          <w:color w:val="000000"/>
          <w:sz w:val="20"/>
        </w:rPr>
        <w:t>Stewart v. Abraham</w:t>
      </w:r>
      <w:r>
        <w:rPr>
          <w:rFonts w:ascii="Arial" w:eastAsia="Arial" w:hAnsi="Arial" w:cs="Arial"/>
          <w:color w:val="000000"/>
          <w:sz w:val="20"/>
        </w:rPr>
        <w:t xml:space="preserve">, 275 F.3d 220, 226-27 (3d Cir. 2001). In this light, Plaintiffs' first strand of evidence—indicating that there are between 14.9 million to 20.9 million persons with mobility disabilities who live in the United States—suggests that it is highly likely that at least 40 of those individuals would have experienced access violations at one of the Steak 'n Shake locations at issue in this litigation. But although those odds might be enough for a good wager, we must be mindful that "[m]ere speculation as to the number of class members—even if such speculation is 'a bet worth [**30]  making'—cannot support a finding of numerosity." </w:t>
      </w:r>
      <w:bookmarkStart w:id="3966" w:name="Bookmark_I5T2VJ0P28T4KF0040000400"/>
      <w:bookmarkEnd w:id="3966"/>
      <w:r>
        <w:rPr>
          <w:rFonts w:ascii="Arial" w:eastAsia="Arial" w:hAnsi="Arial" w:cs="Arial"/>
          <w:i/>
          <w:color w:val="000000"/>
          <w:sz w:val="20"/>
        </w:rPr>
        <w:t>Hayes</w:t>
      </w:r>
      <w:r>
        <w:rPr>
          <w:rFonts w:ascii="Arial" w:eastAsia="Arial" w:hAnsi="Arial" w:cs="Arial"/>
          <w:color w:val="000000"/>
          <w:sz w:val="20"/>
        </w:rPr>
        <w:t xml:space="preserve">, 725 F.3d at 357 (quoting </w:t>
      </w:r>
      <w:bookmarkStart w:id="3967" w:name="Bookmark_I5T2VJ0P28T4KG0010000400"/>
      <w:bookmarkEnd w:id="3967"/>
      <w:r>
        <w:rPr>
          <w:rFonts w:ascii="Arial" w:eastAsia="Arial" w:hAnsi="Arial" w:cs="Arial"/>
          <w:i/>
          <w:color w:val="000000"/>
          <w:sz w:val="20"/>
        </w:rPr>
        <w:t>Marcus</w:t>
      </w:r>
      <w:r>
        <w:rPr>
          <w:rFonts w:ascii="Arial" w:eastAsia="Arial" w:hAnsi="Arial" w:cs="Arial"/>
          <w:color w:val="000000"/>
          <w:sz w:val="20"/>
        </w:rPr>
        <w:t>, 687 F.3d at 596).</w:t>
      </w:r>
    </w:p>
    <w:p w:rsidR="00E456CD" w:rsidRDefault="00000000">
      <w:pPr>
        <w:pStyle w:val="Normal20"/>
        <w:widowControl w:val="0"/>
        <w:spacing w:before="200" w:line="260" w:lineRule="atLeast"/>
        <w:jc w:val="both"/>
      </w:pPr>
      <w:bookmarkStart w:id="3968" w:name="Bookmark_para_55_4"/>
      <w:bookmarkStart w:id="3969" w:name="Bookmark_I5T2VJ0P28T4KG0040000400"/>
      <w:bookmarkEnd w:id="3968"/>
      <w:bookmarkEnd w:id="3969"/>
      <w:r>
        <w:rPr>
          <w:rFonts w:ascii="Arial" w:eastAsia="Arial" w:hAnsi="Arial" w:cs="Arial"/>
          <w:color w:val="000000"/>
          <w:sz w:val="20"/>
        </w:rPr>
        <w:t xml:space="preserve">Plaintiffs point to a large number of disabled persons living in the United States. Yet they have presented no evidence that would permit us to use "common sense" to determine—rather than speculate about—the portion of those disabled individuals who have actually patronized a relevant Steak 'n Shake restaurant, let alone the portion who have experienced or will experience an ADA violation at one of those restaurants. As we explained in </w:t>
      </w:r>
      <w:r>
        <w:rPr>
          <w:rFonts w:ascii="Arial" w:eastAsia="Arial" w:hAnsi="Arial" w:cs="Arial"/>
          <w:i/>
          <w:color w:val="000000"/>
          <w:sz w:val="20"/>
        </w:rPr>
        <w:t>Hayes</w:t>
      </w:r>
      <w:r>
        <w:rPr>
          <w:rFonts w:ascii="Arial" w:eastAsia="Arial" w:hAnsi="Arial" w:cs="Arial"/>
          <w:color w:val="000000"/>
          <w:sz w:val="20"/>
        </w:rPr>
        <w:t>,</w:t>
      </w:r>
      <w:bookmarkStart w:id="3970" w:name="Bookmark_LNHNREFclscc23_1"/>
      <w:bookmarkEnd w:id="3970"/>
      <w:r>
        <w:rPr>
          <w:rFonts w:ascii="Arial" w:eastAsia="Arial" w:hAnsi="Arial" w:cs="Arial"/>
          <w:color w:val="000000"/>
          <w:sz w:val="20"/>
        </w:rPr>
        <w:t xml:space="preserve"> "where a putative class is some subset of a larger pool, the trial court may not infer numerosity from the number in the larger pool alone." </w:t>
      </w:r>
      <w:bookmarkStart w:id="3971" w:name="Bookmark_I5T2VJ0P28T4KG0030000400"/>
      <w:bookmarkEnd w:id="3971"/>
      <w:r>
        <w:rPr>
          <w:rFonts w:ascii="Arial" w:eastAsia="Arial" w:hAnsi="Arial" w:cs="Arial"/>
          <w:i/>
          <w:color w:val="000000"/>
          <w:sz w:val="20"/>
        </w:rPr>
        <w:t>Id.</w:t>
      </w:r>
      <w:r>
        <w:rPr>
          <w:rFonts w:ascii="Arial" w:eastAsia="Arial" w:hAnsi="Arial" w:cs="Arial"/>
          <w:color w:val="000000"/>
          <w:sz w:val="20"/>
        </w:rPr>
        <w:t xml:space="preserve"> at 358; </w:t>
      </w:r>
      <w:r>
        <w:rPr>
          <w:rFonts w:ascii="Arial" w:eastAsia="Arial" w:hAnsi="Arial" w:cs="Arial"/>
          <w:i/>
          <w:color w:val="000000"/>
          <w:sz w:val="20"/>
        </w:rPr>
        <w:t xml:space="preserve">see also </w:t>
      </w:r>
      <w:bookmarkStart w:id="3972" w:name="Bookmark_I5T2VJ0P28T4KG0050000400"/>
      <w:bookmarkEnd w:id="3972"/>
      <w:r>
        <w:rPr>
          <w:rFonts w:ascii="Arial" w:eastAsia="Arial" w:hAnsi="Arial" w:cs="Arial"/>
          <w:i/>
          <w:color w:val="000000"/>
          <w:sz w:val="20"/>
        </w:rPr>
        <w:t>Vega v. T-Mobile USA, Inc.</w:t>
      </w:r>
      <w:r>
        <w:rPr>
          <w:rFonts w:ascii="Arial" w:eastAsia="Arial" w:hAnsi="Arial" w:cs="Arial"/>
          <w:color w:val="000000"/>
          <w:sz w:val="20"/>
        </w:rPr>
        <w:t>, 564 F.3d 1256, 1267-68 (11th Cir. 2009) ("[T]he district court's inference of numerosity for a Florida-only class without the aid of a shred of Florida-only evidence was an exercise in sheer speculation. Accordingly, the district court abused its discretion by finding the numerosity requirement to be satisfied with respect to a Florida-only class.").</w:t>
      </w:r>
    </w:p>
    <w:p w:rsidR="00E456CD" w:rsidRDefault="00000000">
      <w:pPr>
        <w:pStyle w:val="Normal20"/>
        <w:widowControl w:val="0"/>
        <w:spacing w:before="200" w:line="260" w:lineRule="atLeast"/>
        <w:jc w:val="both"/>
      </w:pPr>
      <w:bookmarkStart w:id="3973" w:name="Bookmark_para_56_4"/>
      <w:bookmarkEnd w:id="3973"/>
      <w:r>
        <w:rPr>
          <w:rFonts w:ascii="Arial" w:eastAsia="Arial" w:hAnsi="Arial" w:cs="Arial"/>
          <w:color w:val="000000"/>
          <w:sz w:val="20"/>
        </w:rPr>
        <w:t xml:space="preserve">Plaintiffs' second strand of evidence advances their Rule 23(a)(1) burden no further. The single statement of a Steak 'n Shake executive characterizing the number of patrons who use company parking lots does not assuage our concerns about speculation. [**31]  The fact that one of defendant's executives has </w:t>
      </w:r>
      <w:r>
        <w:rPr>
          <w:rFonts w:ascii="Arial" w:eastAsia="Arial" w:hAnsi="Arial" w:cs="Arial"/>
          <w:i/>
          <w:color w:val="000000"/>
          <w:sz w:val="20"/>
        </w:rPr>
        <w:t>himself speculated</w:t>
      </w:r>
      <w:r>
        <w:rPr>
          <w:rFonts w:ascii="Arial" w:eastAsia="Arial" w:hAnsi="Arial" w:cs="Arial"/>
          <w:color w:val="000000"/>
          <w:sz w:val="20"/>
        </w:rPr>
        <w:t xml:space="preserve"> as to the number of disabled individuals who patronize a Steak 'n Shake restaurant and traverse their parking lots adds nothing. Speculation "squared" is still speculation.</w:t>
      </w:r>
    </w:p>
    <w:p w:rsidR="00E456CD" w:rsidRDefault="00000000">
      <w:pPr>
        <w:pStyle w:val="Normal20"/>
        <w:widowControl w:val="0"/>
        <w:spacing w:before="200" w:line="260" w:lineRule="atLeast"/>
        <w:jc w:val="both"/>
      </w:pPr>
      <w:bookmarkStart w:id="3974" w:name="Bookmark_para_57_4"/>
      <w:bookmarkStart w:id="3975" w:name="Bookmark_I5T2VJ0P2D6NST0030000400"/>
      <w:bookmarkEnd w:id="3974"/>
      <w:bookmarkEnd w:id="3975"/>
      <w:r>
        <w:rPr>
          <w:rFonts w:ascii="Arial" w:eastAsia="Arial" w:hAnsi="Arial" w:cs="Arial"/>
          <w:color w:val="000000"/>
          <w:sz w:val="20"/>
        </w:rPr>
        <w:t xml:space="preserve">Perhaps sensing the weakness of their numerosity showing, Plaintiffs would have this court adopt the reasoning of the District Court that Rule 23(a)(1)'s numerosity requirement can be "relaxed in cases where injunctive and declaratory relief is sought." JA 42; Appellee Br. 45-46 (arguing that a request for injunctive relief is something that necessarily "factor[s] positively into the numerosity analysis"). Attempting to support relaxation of the numerosity requirement, Plaintiffs cite to </w:t>
      </w:r>
      <w:bookmarkStart w:id="3976" w:name="Bookmark_I5T2VJ0P2D6NST0020000400"/>
      <w:bookmarkEnd w:id="3976"/>
      <w:r>
        <w:rPr>
          <w:rFonts w:ascii="Arial" w:eastAsia="Arial" w:hAnsi="Arial" w:cs="Arial"/>
          <w:i/>
          <w:color w:val="000000"/>
          <w:sz w:val="20"/>
        </w:rPr>
        <w:t>In re Modafinil Antitrust Litig.</w:t>
      </w:r>
      <w:r>
        <w:rPr>
          <w:rFonts w:ascii="Arial" w:eastAsia="Arial" w:hAnsi="Arial" w:cs="Arial"/>
          <w:color w:val="000000"/>
          <w:sz w:val="20"/>
        </w:rPr>
        <w:t xml:space="preserve">, 837 F.3d 238 (3d Cir. 2016). To the extent that Plaintiffs seek to read </w:t>
      </w:r>
      <w:r>
        <w:rPr>
          <w:rFonts w:ascii="Arial" w:eastAsia="Arial" w:hAnsi="Arial" w:cs="Arial"/>
          <w:i/>
          <w:color w:val="000000"/>
          <w:sz w:val="20"/>
        </w:rPr>
        <w:t>Modafinil</w:t>
      </w:r>
      <w:r>
        <w:rPr>
          <w:rFonts w:ascii="Arial" w:eastAsia="Arial" w:hAnsi="Arial" w:cs="Arial"/>
          <w:color w:val="000000"/>
          <w:sz w:val="20"/>
        </w:rPr>
        <w:t xml:space="preserve"> as suggesting that  [*487]  requests for injunctive relief relax Rule 23(a)'s standards in favor of the party seeking class certification, Plaintiffs stretch </w:t>
      </w:r>
      <w:r>
        <w:rPr>
          <w:rFonts w:ascii="Arial" w:eastAsia="Arial" w:hAnsi="Arial" w:cs="Arial"/>
          <w:i/>
          <w:color w:val="000000"/>
          <w:sz w:val="20"/>
        </w:rPr>
        <w:t>Modafinil</w:t>
      </w:r>
      <w:r>
        <w:rPr>
          <w:rFonts w:ascii="Arial" w:eastAsia="Arial" w:hAnsi="Arial" w:cs="Arial"/>
          <w:color w:val="000000"/>
          <w:sz w:val="20"/>
        </w:rPr>
        <w:t xml:space="preserve"> too far. We take this opportunity, then, to clarify the import of that decision.</w:t>
      </w:r>
    </w:p>
    <w:p w:rsidR="00E456CD" w:rsidRDefault="00000000">
      <w:pPr>
        <w:pStyle w:val="Normal20"/>
        <w:widowControl w:val="0"/>
        <w:spacing w:before="200" w:line="260" w:lineRule="atLeast"/>
        <w:jc w:val="both"/>
      </w:pPr>
      <w:bookmarkStart w:id="3977" w:name="Bookmark_para_58_4"/>
      <w:bookmarkEnd w:id="3977"/>
      <w:r>
        <w:rPr>
          <w:rFonts w:ascii="Arial" w:eastAsia="Arial" w:hAnsi="Arial" w:cs="Arial"/>
          <w:color w:val="000000"/>
          <w:sz w:val="20"/>
        </w:rPr>
        <w:t xml:space="preserve">In </w:t>
      </w:r>
      <w:r>
        <w:rPr>
          <w:rFonts w:ascii="Arial" w:eastAsia="Arial" w:hAnsi="Arial" w:cs="Arial"/>
          <w:i/>
          <w:color w:val="000000"/>
          <w:sz w:val="20"/>
        </w:rPr>
        <w:t>Modafinil</w:t>
      </w:r>
      <w:r>
        <w:rPr>
          <w:rFonts w:ascii="Arial" w:eastAsia="Arial" w:hAnsi="Arial" w:cs="Arial"/>
          <w:color w:val="000000"/>
          <w:sz w:val="20"/>
        </w:rPr>
        <w:t>, we noted that:</w:t>
      </w:r>
    </w:p>
    <w:p w:rsidR="00E456CD" w:rsidRDefault="00000000">
      <w:pPr>
        <w:pStyle w:val="Normal20"/>
        <w:widowControl w:val="0"/>
        <w:spacing w:before="200" w:line="260" w:lineRule="atLeast"/>
        <w:ind w:left="400"/>
        <w:jc w:val="both"/>
      </w:pPr>
      <w:bookmarkStart w:id="3978" w:name="Bookmark_para_59_4"/>
      <w:bookmarkStart w:id="3979" w:name="Bookmark_I5T2VJ0P2D6NST0050000400"/>
      <w:bookmarkEnd w:id="3978"/>
      <w:bookmarkEnd w:id="3979"/>
      <w:r>
        <w:rPr>
          <w:rFonts w:ascii="Arial" w:eastAsia="Arial" w:hAnsi="Arial" w:cs="Arial"/>
          <w:color w:val="000000"/>
          <w:sz w:val="20"/>
        </w:rPr>
        <w:t xml:space="preserve">We have not had occasion to list relevant factors that are appropriate for district court judges to consider when determining whether joinder would be impracticable. We [**32]  do so now. </w:t>
      </w:r>
      <w:bookmarkStart w:id="3980" w:name="Bookmark_LNHNREFclscc24_1"/>
      <w:bookmarkEnd w:id="3980"/>
      <w:r>
        <w:rPr>
          <w:rFonts w:ascii="Arial" w:eastAsia="Arial" w:hAnsi="Arial" w:cs="Arial"/>
          <w:color w:val="000000"/>
          <w:sz w:val="20"/>
        </w:rPr>
        <w:t>This non-exhaustive list includes: judicial economy, the claimants' ability and motivation to litigate as joined plaintiffs, the financial resources of class members, the geographic dispersion of class members, the ability to identify future claimants, and whether the claims are for injunctive relief or for damages.</w:t>
      </w:r>
    </w:p>
    <w:p w:rsidR="00E456CD" w:rsidRDefault="00000000">
      <w:pPr>
        <w:pStyle w:val="Normal20"/>
        <w:widowControl w:val="0"/>
        <w:spacing w:before="200" w:line="260" w:lineRule="atLeast"/>
        <w:jc w:val="both"/>
      </w:pPr>
      <w:bookmarkStart w:id="3981" w:name="Bookmark_I5T2VJ0P2D6NST0050000400_2"/>
      <w:bookmarkStart w:id="3982" w:name="Bookmark_I5T2VJ0P2D6NST0040000400"/>
      <w:bookmarkEnd w:id="3981"/>
      <w:bookmarkEnd w:id="3982"/>
      <w:r>
        <w:rPr>
          <w:rFonts w:ascii="Arial" w:eastAsia="Arial" w:hAnsi="Arial" w:cs="Arial"/>
          <w:i/>
          <w:color w:val="000000"/>
          <w:sz w:val="20"/>
        </w:rPr>
        <w:t>In re Modafinil Antitrust Litig.</w:t>
      </w:r>
      <w:r>
        <w:rPr>
          <w:rFonts w:ascii="Arial" w:eastAsia="Arial" w:hAnsi="Arial" w:cs="Arial"/>
          <w:color w:val="000000"/>
          <w:sz w:val="20"/>
        </w:rPr>
        <w:t xml:space="preserve">, 837 F.3d at 252-53. We start by simply highlighting that the injunction versus damages question referred to in </w:t>
      </w:r>
      <w:r>
        <w:rPr>
          <w:rFonts w:ascii="Arial" w:eastAsia="Arial" w:hAnsi="Arial" w:cs="Arial"/>
          <w:i/>
          <w:color w:val="000000"/>
          <w:sz w:val="20"/>
        </w:rPr>
        <w:t>Modafinil</w:t>
      </w:r>
      <w:r>
        <w:rPr>
          <w:rFonts w:ascii="Arial" w:eastAsia="Arial" w:hAnsi="Arial" w:cs="Arial"/>
          <w:color w:val="000000"/>
          <w:sz w:val="20"/>
        </w:rPr>
        <w:t xml:space="preserve"> represents but a single factor within a </w:t>
      </w:r>
      <w:r>
        <w:rPr>
          <w:rFonts w:ascii="Arial" w:eastAsia="Arial" w:hAnsi="Arial" w:cs="Arial"/>
          <w:i/>
          <w:color w:val="000000"/>
          <w:sz w:val="20"/>
        </w:rPr>
        <w:t>non-exhaustive</w:t>
      </w:r>
      <w:r>
        <w:rPr>
          <w:rFonts w:ascii="Arial" w:eastAsia="Arial" w:hAnsi="Arial" w:cs="Arial"/>
          <w:color w:val="000000"/>
          <w:sz w:val="20"/>
        </w:rPr>
        <w:t xml:space="preserve"> list of six. But even more fundamentally, </w:t>
      </w:r>
      <w:r>
        <w:rPr>
          <w:rFonts w:ascii="Arial" w:eastAsia="Arial" w:hAnsi="Arial" w:cs="Arial"/>
          <w:i/>
          <w:color w:val="000000"/>
          <w:sz w:val="20"/>
        </w:rPr>
        <w:t>Modafinil</w:t>
      </w:r>
      <w:r>
        <w:rPr>
          <w:rFonts w:ascii="Arial" w:eastAsia="Arial" w:hAnsi="Arial" w:cs="Arial"/>
          <w:color w:val="000000"/>
          <w:sz w:val="20"/>
        </w:rPr>
        <w:t xml:space="preserve"> does not state—nor should it be read to suggest—that a plaintiff seeking injunctive relief will have an </w:t>
      </w:r>
      <w:r>
        <w:rPr>
          <w:rFonts w:ascii="Arial" w:eastAsia="Arial" w:hAnsi="Arial" w:cs="Arial"/>
          <w:i/>
          <w:color w:val="000000"/>
          <w:sz w:val="20"/>
        </w:rPr>
        <w:t>easier</w:t>
      </w:r>
      <w:r>
        <w:rPr>
          <w:rFonts w:ascii="Arial" w:eastAsia="Arial" w:hAnsi="Arial" w:cs="Arial"/>
          <w:color w:val="000000"/>
          <w:sz w:val="20"/>
        </w:rPr>
        <w:t xml:space="preserve"> time satisfying Rule 23(a)(1) than plaintiffs seeking monetary damages. Whether a plaintiff seeks injunctive or monetary relief, her Rule 23(a)(1) burden remains the same. </w:t>
      </w:r>
      <w:r>
        <w:rPr>
          <w:rFonts w:ascii="Arial" w:eastAsia="Arial" w:hAnsi="Arial" w:cs="Arial"/>
          <w:i/>
          <w:color w:val="000000"/>
          <w:sz w:val="20"/>
        </w:rPr>
        <w:t>Modafinil</w:t>
      </w:r>
      <w:r>
        <w:rPr>
          <w:rFonts w:ascii="Arial" w:eastAsia="Arial" w:hAnsi="Arial" w:cs="Arial"/>
          <w:color w:val="000000"/>
          <w:sz w:val="20"/>
        </w:rPr>
        <w:t xml:space="preserve"> simply seeks to elucidate the meaning of the word "impracticable" and suggests that when a court is determining whether a plaintiff has satisfied her burden of establishing whether joinder would be impracticable, the type of relief sought by a plaintiff may be one factor that a court takes into consideration. It will always be up to the district court to explain how the form of relief has impacted [**33]  its analysis.</w:t>
      </w:r>
    </w:p>
    <w:p w:rsidR="00E456CD" w:rsidRDefault="00000000">
      <w:pPr>
        <w:pStyle w:val="Normal20"/>
        <w:widowControl w:val="0"/>
        <w:spacing w:before="200" w:line="260" w:lineRule="atLeast"/>
        <w:jc w:val="both"/>
      </w:pPr>
      <w:bookmarkStart w:id="3983" w:name="Bookmark_para_60_4"/>
      <w:bookmarkEnd w:id="3983"/>
      <w:r>
        <w:rPr>
          <w:rFonts w:ascii="Arial" w:eastAsia="Arial" w:hAnsi="Arial" w:cs="Arial"/>
          <w:color w:val="000000"/>
          <w:sz w:val="20"/>
        </w:rPr>
        <w:t>In sum, because Plaintiffs have failed to present evidence sufficient to permit us to go beyond speculation as to the impracticability of joinder, we conclude that Plaintiffs have failed to satisfy their Rule 23(a)(1) burden. If Plaintiffs wish to attempt to satisfy their Rule 23(a)(1) burden upon remand, they will need to provide evidence that will permit the District Court to conclude that a sufficiently numerous group of disabled individuals have experienced or will experience ADA violations at a relevant Steak 'n Shake restaurant, and that joinder is thereby impracticable.</w:t>
      </w:r>
    </w:p>
    <w:p w:rsidR="00E456CD" w:rsidRDefault="00000000">
      <w:pPr>
        <w:pStyle w:val="Normal20"/>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Commonality</w:t>
      </w:r>
    </w:p>
    <w:p w:rsidR="00E456CD" w:rsidRDefault="00000000">
      <w:pPr>
        <w:pStyle w:val="Normal20"/>
        <w:widowControl w:val="0"/>
        <w:spacing w:before="200" w:line="260" w:lineRule="atLeast"/>
        <w:jc w:val="both"/>
      </w:pPr>
      <w:bookmarkStart w:id="3984" w:name="Bookmark_para_61_4"/>
      <w:bookmarkStart w:id="3985" w:name="Bookmark_I5T2VJ0P2HM6WX0020000400"/>
      <w:bookmarkStart w:id="3986" w:name="Bookmark_I5T2VJ0P2HM6WX0040000400"/>
      <w:bookmarkStart w:id="3987" w:name="Bookmark_LNHNREFclscc25_0"/>
      <w:bookmarkEnd w:id="3984"/>
      <w:bookmarkEnd w:id="3985"/>
      <w:bookmarkEnd w:id="3986"/>
      <w:bookmarkEnd w:id="3987"/>
      <w:r>
        <w:rPr>
          <w:rFonts w:ascii="Arial" w:eastAsia="Arial" w:hAnsi="Arial" w:cs="Arial"/>
          <w:color w:val="000000"/>
          <w:sz w:val="20"/>
        </w:rPr>
        <w:t xml:space="preserve">Rule 23(a)(2) requires Plaintiffs to demonstrate that "there are questions of law or fact common to the class." </w:t>
      </w:r>
      <w:r>
        <w:rPr>
          <w:rFonts w:ascii="Arial" w:eastAsia="Arial" w:hAnsi="Arial" w:cs="Arial"/>
          <w:smallCaps/>
          <w:color w:val="000000"/>
          <w:sz w:val="20"/>
        </w:rPr>
        <w:t>Fed. R. Civ. P.</w:t>
      </w:r>
      <w:r>
        <w:rPr>
          <w:rFonts w:ascii="Arial" w:eastAsia="Arial" w:hAnsi="Arial" w:cs="Arial"/>
          <w:color w:val="000000"/>
          <w:sz w:val="20"/>
        </w:rPr>
        <w:t xml:space="preserve"> 23(a)(2). As the Supreme Court recognized in </w:t>
      </w:r>
      <w:r>
        <w:rPr>
          <w:rFonts w:ascii="Arial" w:eastAsia="Arial" w:hAnsi="Arial" w:cs="Arial"/>
          <w:i/>
          <w:color w:val="000000"/>
          <w:sz w:val="20"/>
        </w:rPr>
        <w:t>Dukes</w:t>
      </w:r>
      <w:r>
        <w:rPr>
          <w:rFonts w:ascii="Arial" w:eastAsia="Arial" w:hAnsi="Arial" w:cs="Arial"/>
          <w:color w:val="000000"/>
          <w:sz w:val="20"/>
        </w:rPr>
        <w:t xml:space="preserve">, that "language is easy to misread, since '[a]ny competently crafted class complaint literally raises common questions.'" </w:t>
      </w:r>
      <w:bookmarkStart w:id="3988" w:name="Bookmark_I5T2VJ0P2HM6WX0010000400"/>
      <w:bookmarkEnd w:id="3988"/>
      <w:r>
        <w:rPr>
          <w:rFonts w:ascii="Arial" w:eastAsia="Arial" w:hAnsi="Arial" w:cs="Arial"/>
          <w:i/>
          <w:color w:val="000000"/>
          <w:sz w:val="20"/>
        </w:rPr>
        <w:t>Dukes</w:t>
      </w:r>
      <w:r>
        <w:rPr>
          <w:rFonts w:ascii="Arial" w:eastAsia="Arial" w:hAnsi="Arial" w:cs="Arial"/>
          <w:color w:val="000000"/>
          <w:sz w:val="20"/>
        </w:rPr>
        <w:t xml:space="preserve">, 564 U.S at 349 (quoting Richard A. Nagareda, </w:t>
      </w:r>
      <w:r>
        <w:rPr>
          <w:rFonts w:ascii="Arial" w:eastAsia="Arial" w:hAnsi="Arial" w:cs="Arial"/>
          <w:i/>
          <w:color w:val="000000"/>
          <w:sz w:val="20"/>
        </w:rPr>
        <w:t>Class Certification in the Age of Aggregate Proof</w:t>
      </w:r>
      <w:r>
        <w:rPr>
          <w:rFonts w:ascii="Arial" w:eastAsia="Arial" w:hAnsi="Arial" w:cs="Arial"/>
          <w:color w:val="000000"/>
          <w:sz w:val="20"/>
        </w:rPr>
        <w:t xml:space="preserve">, 84 </w:t>
      </w:r>
      <w:r>
        <w:rPr>
          <w:rFonts w:ascii="Arial" w:eastAsia="Arial" w:hAnsi="Arial" w:cs="Arial"/>
          <w:smallCaps/>
          <w:color w:val="000000"/>
          <w:sz w:val="20"/>
        </w:rPr>
        <w:t>N.Y.U. L. Rev.</w:t>
      </w:r>
      <w:r>
        <w:rPr>
          <w:rFonts w:ascii="Arial" w:eastAsia="Arial" w:hAnsi="Arial" w:cs="Arial"/>
          <w:color w:val="000000"/>
          <w:sz w:val="20"/>
        </w:rPr>
        <w:t xml:space="preserve"> 97, 131-132 (2009)) (internal quotations omitted). A complaint's mere recital of questions that happen to be shared by class members is "not sufficient to obtain class certification." </w:t>
      </w:r>
      <w:r>
        <w:rPr>
          <w:rFonts w:ascii="Arial" w:eastAsia="Arial" w:hAnsi="Arial" w:cs="Arial"/>
          <w:i/>
          <w:color w:val="000000"/>
          <w:sz w:val="20"/>
        </w:rPr>
        <w:t>Id.</w:t>
      </w:r>
      <w:r>
        <w:rPr>
          <w:rFonts w:ascii="Arial" w:eastAsia="Arial" w:hAnsi="Arial" w:cs="Arial"/>
          <w:color w:val="000000"/>
          <w:sz w:val="20"/>
        </w:rPr>
        <w:t xml:space="preserve"> Rather, "[c]ommonality requires the plaintiff to demonstrate that the class members 'have suffered the [**34]  same injury.'" </w:t>
      </w:r>
      <w:bookmarkStart w:id="3989" w:name="Bookmark_I5T2VJ0P2HM6WX0030000400"/>
      <w:bookmarkEnd w:id="3989"/>
      <w:r>
        <w:rPr>
          <w:rFonts w:ascii="Arial" w:eastAsia="Arial" w:hAnsi="Arial" w:cs="Arial"/>
          <w:i/>
          <w:color w:val="000000"/>
          <w:sz w:val="20"/>
        </w:rPr>
        <w:t>Id.</w:t>
      </w:r>
      <w:r>
        <w:rPr>
          <w:rFonts w:ascii="Arial" w:eastAsia="Arial" w:hAnsi="Arial" w:cs="Arial"/>
          <w:color w:val="000000"/>
          <w:sz w:val="20"/>
        </w:rPr>
        <w:t xml:space="preserve"> at 349-50 (quoting </w:t>
      </w:r>
      <w:bookmarkStart w:id="3990" w:name="Bookmark_I5T2VJ0P2HM6WX0050000400"/>
      <w:bookmarkEnd w:id="3990"/>
      <w:r>
        <w:rPr>
          <w:rFonts w:ascii="Arial" w:eastAsia="Arial" w:hAnsi="Arial" w:cs="Arial"/>
          <w:i/>
          <w:color w:val="000000"/>
          <w:sz w:val="20"/>
        </w:rPr>
        <w:t>Falcon</w:t>
      </w:r>
      <w:r>
        <w:rPr>
          <w:rFonts w:ascii="Arial" w:eastAsia="Arial" w:hAnsi="Arial" w:cs="Arial"/>
          <w:color w:val="000000"/>
          <w:sz w:val="20"/>
        </w:rPr>
        <w:t>, 457 U.S. at 157).</w:t>
      </w:r>
    </w:p>
    <w:p w:rsidR="00E456CD" w:rsidRDefault="00000000">
      <w:pPr>
        <w:pStyle w:val="Normal20"/>
        <w:widowControl w:val="0"/>
        <w:spacing w:before="200" w:line="260" w:lineRule="atLeast"/>
        <w:jc w:val="both"/>
      </w:pPr>
      <w:bookmarkStart w:id="3991" w:name="Bookmark_para_62_4"/>
      <w:bookmarkEnd w:id="3991"/>
      <w:r>
        <w:rPr>
          <w:rFonts w:ascii="Arial" w:eastAsia="Arial" w:hAnsi="Arial" w:cs="Arial"/>
          <w:color w:val="000000"/>
          <w:sz w:val="20"/>
        </w:rPr>
        <w:t>The broad class definition certified by the District Court includes a commonality issue. As previously set forth, the District Court certified a class defined as:</w:t>
      </w:r>
    </w:p>
    <w:p w:rsidR="00E456CD" w:rsidRDefault="00000000">
      <w:pPr>
        <w:pStyle w:val="Normal20"/>
        <w:widowControl w:val="0"/>
        <w:spacing w:before="200" w:line="260" w:lineRule="atLeast"/>
        <w:ind w:left="400"/>
        <w:jc w:val="both"/>
      </w:pPr>
      <w:bookmarkStart w:id="3992" w:name="Bookmark_para_63_4"/>
      <w:bookmarkEnd w:id="3992"/>
      <w:r>
        <w:rPr>
          <w:rFonts w:ascii="Arial" w:eastAsia="Arial" w:hAnsi="Arial" w:cs="Arial"/>
          <w:color w:val="000000"/>
          <w:sz w:val="20"/>
        </w:rPr>
        <w:t>All persons with qualified mobility disabilities who were or will be denied the full and equal enjoyment of the goods, services, facilities, privileges, advantages or accommodations of any Steak 'n Shake restaurant location in the United States on the basis of a disability because such persons encountered accessibility  [*488]  barriers at any Steak 'n Shake restaurant where Defendant owns, controls and/or operates the parking facilities.</w:t>
      </w:r>
    </w:p>
    <w:p w:rsidR="00E456CD" w:rsidRDefault="00000000">
      <w:pPr>
        <w:pStyle w:val="Normal20"/>
        <w:widowControl w:val="0"/>
        <w:spacing w:before="200" w:line="260" w:lineRule="atLeast"/>
        <w:jc w:val="both"/>
      </w:pPr>
      <w:r>
        <w:rPr>
          <w:rFonts w:ascii="Arial" w:eastAsia="Arial" w:hAnsi="Arial" w:cs="Arial"/>
          <w:color w:val="000000"/>
          <w:sz w:val="20"/>
        </w:rPr>
        <w:t>JA 75 (District Court Order).</w:t>
      </w:r>
      <w:r>
        <w:rPr>
          <w:rFonts w:ascii="Arial" w:eastAsia="Arial" w:hAnsi="Arial" w:cs="Arial"/>
          <w:vertAlign w:val="superscript"/>
        </w:rPr>
        <w:footnoteReference w:customMarkFollows="1" w:id="179"/>
        <w:t>21</w:t>
      </w:r>
      <w:r>
        <w:rPr>
          <w:rFonts w:ascii="Arial" w:eastAsia="Arial" w:hAnsi="Arial" w:cs="Arial"/>
          <w:color w:val="000000"/>
          <w:sz w:val="20"/>
        </w:rPr>
        <w:t xml:space="preserve"> Although the final clause in this one sentence definition refers to "parking facilities," the definition does not strictly limit membership to those who have suffered harm </w:t>
      </w:r>
      <w:r>
        <w:rPr>
          <w:rFonts w:ascii="Arial" w:eastAsia="Arial" w:hAnsi="Arial" w:cs="Arial"/>
          <w:i/>
          <w:color w:val="000000"/>
          <w:sz w:val="20"/>
        </w:rPr>
        <w:t>within</w:t>
      </w:r>
      <w:r>
        <w:rPr>
          <w:rFonts w:ascii="Arial" w:eastAsia="Arial" w:hAnsi="Arial" w:cs="Arial"/>
          <w:color w:val="000000"/>
          <w:sz w:val="20"/>
        </w:rPr>
        <w:t xml:space="preserve"> those parking facilities. The language adopted by the District Court is looser than that, and covers not only persons who allege that they have experienced ADA violations within a Steak 'n Shake parking facility but also class members who encountered "accessibility barriers at any Steak 'n Shake restaurant." JA 75. This could include claims, for instance, regarding the [**35]  bathroom of a Steak 'n Shake that had maintained a perfectly ADA-compliant parking facility.</w:t>
      </w:r>
    </w:p>
    <w:p w:rsidR="00E456CD" w:rsidRDefault="00000000">
      <w:pPr>
        <w:pStyle w:val="Normal20"/>
        <w:widowControl w:val="0"/>
        <w:spacing w:before="200" w:line="260" w:lineRule="atLeast"/>
        <w:jc w:val="both"/>
      </w:pPr>
      <w:bookmarkStart w:id="4004" w:name="Bookmark_para_64_4"/>
      <w:bookmarkEnd w:id="4004"/>
      <w:r>
        <w:rPr>
          <w:rFonts w:ascii="Arial" w:eastAsia="Arial" w:hAnsi="Arial" w:cs="Arial"/>
          <w:color w:val="000000"/>
          <w:sz w:val="20"/>
        </w:rPr>
        <w:t>To comprehend just how large the potential universe of ADA violations covered by this broad class definition is, consider the Department of Justice's ADA Guide for Small Businesses, which defines "architectural barriers" as:</w:t>
      </w:r>
    </w:p>
    <w:p w:rsidR="00E456CD" w:rsidRDefault="00000000">
      <w:pPr>
        <w:pStyle w:val="Normal20"/>
        <w:widowControl w:val="0"/>
        <w:spacing w:before="200" w:line="260" w:lineRule="atLeast"/>
        <w:ind w:left="400"/>
        <w:jc w:val="both"/>
      </w:pPr>
      <w:bookmarkStart w:id="4005" w:name="Bookmark_para_65_4"/>
      <w:bookmarkEnd w:id="4005"/>
      <w:r>
        <w:rPr>
          <w:rFonts w:ascii="Arial" w:eastAsia="Arial" w:hAnsi="Arial" w:cs="Arial"/>
          <w:color w:val="000000"/>
          <w:sz w:val="20"/>
        </w:rPr>
        <w:t xml:space="preserve">[P]hysical features that limit or prevent people with disabilities from obtaining the goods or services that are offered. </w:t>
      </w:r>
      <w:r>
        <w:rPr>
          <w:rFonts w:ascii="Arial" w:eastAsia="Arial" w:hAnsi="Arial" w:cs="Arial"/>
          <w:b/>
          <w:i/>
          <w:color w:val="000000"/>
          <w:sz w:val="20"/>
        </w:rPr>
        <w:t>They can include parking spaces</w:t>
      </w:r>
      <w:r>
        <w:rPr>
          <w:rFonts w:ascii="Arial" w:eastAsia="Arial" w:hAnsi="Arial" w:cs="Arial"/>
          <w:color w:val="000000"/>
          <w:sz w:val="20"/>
        </w:rPr>
        <w:t xml:space="preserve"> that are too narrow to accommodate people who use wheelchairs; a </w:t>
      </w:r>
      <w:r>
        <w:rPr>
          <w:rFonts w:ascii="Arial" w:eastAsia="Arial" w:hAnsi="Arial" w:cs="Arial"/>
          <w:b/>
          <w:i/>
          <w:color w:val="000000"/>
          <w:sz w:val="20"/>
        </w:rPr>
        <w:t>step or steps</w:t>
      </w:r>
      <w:r>
        <w:rPr>
          <w:rFonts w:ascii="Arial" w:eastAsia="Arial" w:hAnsi="Arial" w:cs="Arial"/>
          <w:color w:val="000000"/>
          <w:sz w:val="20"/>
        </w:rPr>
        <w:t xml:space="preserve"> at the entrance or to part of the selling space of a store; round </w:t>
      </w:r>
      <w:r>
        <w:rPr>
          <w:rFonts w:ascii="Arial" w:eastAsia="Arial" w:hAnsi="Arial" w:cs="Arial"/>
          <w:b/>
          <w:i/>
          <w:color w:val="000000"/>
          <w:sz w:val="20"/>
        </w:rPr>
        <w:t>doorknobs or door hardware</w:t>
      </w:r>
      <w:r>
        <w:rPr>
          <w:rFonts w:ascii="Arial" w:eastAsia="Arial" w:hAnsi="Arial" w:cs="Arial"/>
          <w:color w:val="000000"/>
          <w:sz w:val="20"/>
        </w:rPr>
        <w:t xml:space="preserve"> that is difficult to grasp; </w:t>
      </w:r>
      <w:r>
        <w:rPr>
          <w:rFonts w:ascii="Arial" w:eastAsia="Arial" w:hAnsi="Arial" w:cs="Arial"/>
          <w:b/>
          <w:i/>
          <w:color w:val="000000"/>
          <w:sz w:val="20"/>
        </w:rPr>
        <w:t>aisles</w:t>
      </w:r>
      <w:r>
        <w:rPr>
          <w:rFonts w:ascii="Arial" w:eastAsia="Arial" w:hAnsi="Arial" w:cs="Arial"/>
          <w:color w:val="000000"/>
          <w:sz w:val="20"/>
        </w:rPr>
        <w:t xml:space="preserve"> that are too narrow for a person using a wheelchair, electric scooter, or a walker; </w:t>
      </w:r>
      <w:r>
        <w:rPr>
          <w:rFonts w:ascii="Arial" w:eastAsia="Arial" w:hAnsi="Arial" w:cs="Arial"/>
          <w:b/>
          <w:i/>
          <w:color w:val="000000"/>
          <w:sz w:val="20"/>
        </w:rPr>
        <w:t>a high counter</w:t>
      </w:r>
      <w:r>
        <w:rPr>
          <w:rFonts w:ascii="Arial" w:eastAsia="Arial" w:hAnsi="Arial" w:cs="Arial"/>
          <w:color w:val="000000"/>
          <w:sz w:val="20"/>
        </w:rPr>
        <w:t xml:space="preserve"> or narrow checkout aisles at a cash register, and </w:t>
      </w:r>
      <w:r>
        <w:rPr>
          <w:rFonts w:ascii="Arial" w:eastAsia="Arial" w:hAnsi="Arial" w:cs="Arial"/>
          <w:b/>
          <w:i/>
          <w:color w:val="000000"/>
          <w:sz w:val="20"/>
        </w:rPr>
        <w:t>fixed tables</w:t>
      </w:r>
      <w:r>
        <w:rPr>
          <w:rFonts w:ascii="Arial" w:eastAsia="Arial" w:hAnsi="Arial" w:cs="Arial"/>
          <w:color w:val="000000"/>
          <w:sz w:val="20"/>
        </w:rPr>
        <w:t xml:space="preserve"> in eating areas that are too low to accommodate a person using a wheelchair or that have </w:t>
      </w:r>
      <w:r>
        <w:rPr>
          <w:rFonts w:ascii="Arial" w:eastAsia="Arial" w:hAnsi="Arial" w:cs="Arial"/>
          <w:b/>
          <w:i/>
          <w:color w:val="000000"/>
          <w:sz w:val="20"/>
        </w:rPr>
        <w:t>fixed seats</w:t>
      </w:r>
      <w:r>
        <w:rPr>
          <w:rFonts w:ascii="Arial" w:eastAsia="Arial" w:hAnsi="Arial" w:cs="Arial"/>
          <w:color w:val="000000"/>
          <w:sz w:val="20"/>
        </w:rPr>
        <w:t xml:space="preserve"> that prevent a person using a wheelchair from pulling under the table.</w:t>
      </w:r>
    </w:p>
    <w:p w:rsidR="00E456CD" w:rsidRDefault="00000000">
      <w:pPr>
        <w:pStyle w:val="Normal20"/>
        <w:widowControl w:val="0"/>
        <w:spacing w:before="200" w:line="260" w:lineRule="atLeast"/>
        <w:jc w:val="both"/>
      </w:pPr>
      <w:r>
        <w:rPr>
          <w:rFonts w:ascii="Arial" w:eastAsia="Arial" w:hAnsi="Arial" w:cs="Arial"/>
          <w:color w:val="000000"/>
          <w:sz w:val="20"/>
        </w:rPr>
        <w:t>ADA Guide for Small Businesses, at 3, available at https://www.ada.gov/smbusgd.pdf (emphases added). Moreover, the Department of Justice's 2010 Title III ADA Regulations further illustrate the wide variety of different [**36]  ADA violations that any one particular class member might allege to have encountered. For example, 28 C.F.R. § 36.304 provides:</w:t>
      </w:r>
    </w:p>
    <w:p w:rsidR="00E456CD" w:rsidRDefault="00E456CD">
      <w:pPr>
        <w:pStyle w:val="Normal20"/>
      </w:pPr>
    </w:p>
    <w:p w:rsidR="00E456CD" w:rsidRDefault="00000000">
      <w:pPr>
        <w:pStyle w:val="Normal20"/>
        <w:widowControl w:val="0"/>
        <w:spacing w:before="240" w:line="260" w:lineRule="atLeast"/>
        <w:ind w:left="400"/>
        <w:jc w:val="both"/>
      </w:pPr>
      <w:r>
        <w:rPr>
          <w:rFonts w:ascii="Arial" w:eastAsia="Arial" w:hAnsi="Arial" w:cs="Arial"/>
          <w:color w:val="000000"/>
          <w:sz w:val="20"/>
          <w:u w:val="single"/>
        </w:rPr>
        <w:t>Removal of Barriers</w:t>
      </w:r>
      <w:r>
        <w:rPr>
          <w:rFonts w:ascii="Arial" w:eastAsia="Arial" w:hAnsi="Arial" w:cs="Arial"/>
          <w:color w:val="000000"/>
          <w:sz w:val="20"/>
        </w:rPr>
        <w:t>.</w:t>
      </w:r>
    </w:p>
    <w:p w:rsidR="00E456CD" w:rsidRDefault="00000000">
      <w:pPr>
        <w:pStyle w:val="Normal20"/>
        <w:widowControl w:val="0"/>
        <w:spacing w:before="200" w:line="260" w:lineRule="atLeast"/>
        <w:ind w:left="400"/>
        <w:jc w:val="both"/>
      </w:pPr>
      <w:bookmarkStart w:id="4006" w:name="Bookmark_para_66_4"/>
      <w:bookmarkEnd w:id="4006"/>
      <w:r>
        <w:rPr>
          <w:rFonts w:ascii="Arial" w:eastAsia="Arial" w:hAnsi="Arial" w:cs="Arial"/>
          <w:color w:val="000000"/>
          <w:sz w:val="20"/>
        </w:rPr>
        <w:t xml:space="preserve">(a) General. A public accommodation shall remove architectural barriers in existing facilities, including communication barriers that are structural in nature, where such removal is readily achievable, </w:t>
      </w:r>
      <w:r>
        <w:rPr>
          <w:rFonts w:ascii="Arial" w:eastAsia="Arial" w:hAnsi="Arial" w:cs="Arial"/>
          <w:i/>
          <w:color w:val="000000"/>
          <w:sz w:val="20"/>
        </w:rPr>
        <w:t>i.e.</w:t>
      </w:r>
      <w:r>
        <w:rPr>
          <w:rFonts w:ascii="Arial" w:eastAsia="Arial" w:hAnsi="Arial" w:cs="Arial"/>
          <w:color w:val="000000"/>
          <w:sz w:val="20"/>
        </w:rPr>
        <w:t>, easily accomplishable and able to be carried out without much difficulty or expense.</w:t>
      </w:r>
    </w:p>
    <w:p w:rsidR="00E456CD" w:rsidRDefault="00000000">
      <w:pPr>
        <w:pStyle w:val="Normal20"/>
        <w:widowControl w:val="0"/>
        <w:spacing w:line="260" w:lineRule="atLeast"/>
        <w:ind w:left="400"/>
        <w:jc w:val="both"/>
      </w:pPr>
      <w:bookmarkStart w:id="4007" w:name="Bookmark_para_67_4"/>
      <w:bookmarkEnd w:id="4007"/>
      <w:r>
        <w:rPr>
          <w:rFonts w:ascii="Arial" w:eastAsia="Arial" w:hAnsi="Arial" w:cs="Arial"/>
          <w:color w:val="000000"/>
          <w:sz w:val="20"/>
        </w:rPr>
        <w:t>(b) Examples. Examples of steps to remove barriers include, but are not limited to, the following actions —</w:t>
      </w:r>
    </w:p>
    <w:p w:rsidR="00E456CD" w:rsidRDefault="00000000">
      <w:pPr>
        <w:pStyle w:val="Normal20"/>
        <w:widowControl w:val="0"/>
        <w:spacing w:line="260" w:lineRule="atLeast"/>
        <w:ind w:left="400"/>
        <w:jc w:val="both"/>
      </w:pPr>
      <w:bookmarkStart w:id="4008" w:name="Bookmark_para_68_3"/>
      <w:bookmarkEnd w:id="4008"/>
      <w:r>
        <w:rPr>
          <w:rFonts w:ascii="Arial" w:eastAsia="Arial" w:hAnsi="Arial" w:cs="Arial"/>
          <w:color w:val="000000"/>
          <w:sz w:val="20"/>
        </w:rPr>
        <w:t>(1) Installing ramps;</w:t>
      </w:r>
    </w:p>
    <w:p w:rsidR="00E456CD" w:rsidRDefault="00000000">
      <w:pPr>
        <w:pStyle w:val="Normal20"/>
        <w:widowControl w:val="0"/>
        <w:spacing w:before="200" w:line="260" w:lineRule="atLeast"/>
        <w:ind w:left="400"/>
        <w:jc w:val="both"/>
      </w:pPr>
      <w:bookmarkStart w:id="4009" w:name="Bookmark_para_69_3"/>
      <w:bookmarkEnd w:id="4009"/>
      <w:r>
        <w:rPr>
          <w:rFonts w:ascii="Arial" w:eastAsia="Arial" w:hAnsi="Arial" w:cs="Arial"/>
          <w:color w:val="000000"/>
          <w:sz w:val="20"/>
        </w:rPr>
        <w:t> [*489]  (2) Making curb cuts in sidewalks and entrances;</w:t>
      </w:r>
    </w:p>
    <w:p w:rsidR="00E456CD" w:rsidRDefault="00000000">
      <w:pPr>
        <w:pStyle w:val="Normal20"/>
        <w:widowControl w:val="0"/>
        <w:spacing w:line="260" w:lineRule="atLeast"/>
        <w:ind w:left="400"/>
        <w:jc w:val="both"/>
      </w:pPr>
      <w:bookmarkStart w:id="4010" w:name="Bookmark_para_70_2"/>
      <w:bookmarkEnd w:id="4010"/>
      <w:r>
        <w:rPr>
          <w:rFonts w:ascii="Arial" w:eastAsia="Arial" w:hAnsi="Arial" w:cs="Arial"/>
          <w:color w:val="000000"/>
          <w:sz w:val="20"/>
        </w:rPr>
        <w:t>(3) epositioning shelves;</w:t>
      </w:r>
    </w:p>
    <w:p w:rsidR="00E456CD" w:rsidRDefault="00000000">
      <w:pPr>
        <w:pStyle w:val="Normal20"/>
        <w:widowControl w:val="0"/>
        <w:spacing w:line="260" w:lineRule="atLeast"/>
        <w:ind w:left="400"/>
        <w:jc w:val="both"/>
      </w:pPr>
      <w:bookmarkStart w:id="4011" w:name="Bookmark_para_71_2"/>
      <w:bookmarkEnd w:id="4011"/>
      <w:r>
        <w:rPr>
          <w:rFonts w:ascii="Arial" w:eastAsia="Arial" w:hAnsi="Arial" w:cs="Arial"/>
          <w:color w:val="000000"/>
          <w:sz w:val="20"/>
        </w:rPr>
        <w:t>(4) Rearranging tables, chairs, vending machines, display racks, and other furniture;</w:t>
      </w:r>
    </w:p>
    <w:p w:rsidR="00E456CD" w:rsidRDefault="00000000">
      <w:pPr>
        <w:pStyle w:val="Normal20"/>
        <w:widowControl w:val="0"/>
        <w:spacing w:line="260" w:lineRule="atLeast"/>
        <w:ind w:left="400"/>
        <w:jc w:val="both"/>
      </w:pPr>
      <w:bookmarkStart w:id="4012" w:name="Bookmark_para_72_2"/>
      <w:bookmarkEnd w:id="4012"/>
      <w:r>
        <w:rPr>
          <w:rFonts w:ascii="Arial" w:eastAsia="Arial" w:hAnsi="Arial" w:cs="Arial"/>
          <w:color w:val="000000"/>
          <w:sz w:val="20"/>
        </w:rPr>
        <w:t>(5) epositioning telephones;</w:t>
      </w:r>
    </w:p>
    <w:p w:rsidR="00E456CD" w:rsidRDefault="00000000">
      <w:pPr>
        <w:pStyle w:val="Normal20"/>
        <w:widowControl w:val="0"/>
        <w:spacing w:line="260" w:lineRule="atLeast"/>
        <w:ind w:left="400"/>
        <w:jc w:val="both"/>
      </w:pPr>
      <w:bookmarkStart w:id="4013" w:name="Bookmark_para_73_2"/>
      <w:bookmarkEnd w:id="4013"/>
      <w:r>
        <w:rPr>
          <w:rFonts w:ascii="Arial" w:eastAsia="Arial" w:hAnsi="Arial" w:cs="Arial"/>
          <w:color w:val="000000"/>
          <w:sz w:val="20"/>
        </w:rPr>
        <w:t>(6) Adding raised markings on elevator control buttons;</w:t>
      </w:r>
    </w:p>
    <w:p w:rsidR="00E456CD" w:rsidRDefault="00000000">
      <w:pPr>
        <w:pStyle w:val="Normal20"/>
        <w:widowControl w:val="0"/>
        <w:spacing w:line="260" w:lineRule="atLeast"/>
        <w:ind w:left="400"/>
        <w:jc w:val="both"/>
      </w:pPr>
      <w:bookmarkStart w:id="4014" w:name="Bookmark_para_74_2"/>
      <w:bookmarkEnd w:id="4014"/>
      <w:r>
        <w:rPr>
          <w:rFonts w:ascii="Arial" w:eastAsia="Arial" w:hAnsi="Arial" w:cs="Arial"/>
          <w:color w:val="000000"/>
          <w:sz w:val="20"/>
        </w:rPr>
        <w:t>(7) Installing flashing alarm lights;</w:t>
      </w:r>
    </w:p>
    <w:p w:rsidR="00E456CD" w:rsidRDefault="00000000">
      <w:pPr>
        <w:pStyle w:val="Normal20"/>
        <w:widowControl w:val="0"/>
        <w:spacing w:line="260" w:lineRule="atLeast"/>
        <w:ind w:left="400"/>
        <w:jc w:val="both"/>
      </w:pPr>
      <w:bookmarkStart w:id="4015" w:name="Bookmark_para_75_2"/>
      <w:bookmarkEnd w:id="4015"/>
      <w:r>
        <w:rPr>
          <w:rFonts w:ascii="Arial" w:eastAsia="Arial" w:hAnsi="Arial" w:cs="Arial"/>
          <w:color w:val="000000"/>
          <w:sz w:val="20"/>
        </w:rPr>
        <w:t>(8) Widening doors;</w:t>
      </w:r>
    </w:p>
    <w:p w:rsidR="00E456CD" w:rsidRDefault="00000000">
      <w:pPr>
        <w:pStyle w:val="Normal20"/>
        <w:widowControl w:val="0"/>
        <w:spacing w:line="260" w:lineRule="atLeast"/>
        <w:ind w:left="400"/>
        <w:jc w:val="both"/>
      </w:pPr>
      <w:bookmarkStart w:id="4016" w:name="Bookmark_para_76_2"/>
      <w:bookmarkEnd w:id="4016"/>
      <w:r>
        <w:rPr>
          <w:rFonts w:ascii="Arial" w:eastAsia="Arial" w:hAnsi="Arial" w:cs="Arial"/>
          <w:color w:val="000000"/>
          <w:sz w:val="20"/>
        </w:rPr>
        <w:t>(9) Installing offset hinges to widen doorways;</w:t>
      </w:r>
    </w:p>
    <w:p w:rsidR="00E456CD" w:rsidRDefault="00000000">
      <w:pPr>
        <w:pStyle w:val="Normal20"/>
        <w:widowControl w:val="0"/>
        <w:spacing w:line="260" w:lineRule="atLeast"/>
        <w:ind w:left="400"/>
        <w:jc w:val="both"/>
      </w:pPr>
      <w:bookmarkStart w:id="4017" w:name="Bookmark_para_77_2"/>
      <w:bookmarkEnd w:id="4017"/>
      <w:r>
        <w:rPr>
          <w:rFonts w:ascii="Arial" w:eastAsia="Arial" w:hAnsi="Arial" w:cs="Arial"/>
          <w:color w:val="000000"/>
          <w:sz w:val="20"/>
        </w:rPr>
        <w:t>(10) Eliminating a turnstile or providing an alternative accessible path;</w:t>
      </w:r>
    </w:p>
    <w:p w:rsidR="00E456CD" w:rsidRDefault="00000000">
      <w:pPr>
        <w:pStyle w:val="Normal20"/>
        <w:widowControl w:val="0"/>
        <w:spacing w:line="260" w:lineRule="atLeast"/>
        <w:ind w:left="400"/>
        <w:jc w:val="both"/>
      </w:pPr>
      <w:bookmarkStart w:id="4018" w:name="Bookmark_para_78_2"/>
      <w:bookmarkEnd w:id="4018"/>
      <w:r>
        <w:rPr>
          <w:rFonts w:ascii="Arial" w:eastAsia="Arial" w:hAnsi="Arial" w:cs="Arial"/>
          <w:color w:val="000000"/>
          <w:sz w:val="20"/>
        </w:rPr>
        <w:t>(11) nstalling accessible door hardware;</w:t>
      </w:r>
    </w:p>
    <w:p w:rsidR="00E456CD" w:rsidRDefault="00000000">
      <w:pPr>
        <w:pStyle w:val="Normal20"/>
        <w:widowControl w:val="0"/>
        <w:spacing w:line="260" w:lineRule="atLeast"/>
        <w:ind w:left="400"/>
        <w:jc w:val="both"/>
      </w:pPr>
      <w:bookmarkStart w:id="4019" w:name="Bookmark_para_79_1"/>
      <w:bookmarkEnd w:id="4019"/>
      <w:r>
        <w:rPr>
          <w:rFonts w:ascii="Arial" w:eastAsia="Arial" w:hAnsi="Arial" w:cs="Arial"/>
          <w:color w:val="000000"/>
          <w:sz w:val="20"/>
        </w:rPr>
        <w:t>(12) nstalling grab bars in toilet stalls;</w:t>
      </w:r>
    </w:p>
    <w:p w:rsidR="00E456CD" w:rsidRDefault="00000000">
      <w:pPr>
        <w:pStyle w:val="Normal20"/>
        <w:widowControl w:val="0"/>
        <w:spacing w:line="260" w:lineRule="atLeast"/>
        <w:ind w:left="400"/>
        <w:jc w:val="both"/>
      </w:pPr>
      <w:bookmarkStart w:id="4020" w:name="Bookmark_para_80_1"/>
      <w:bookmarkEnd w:id="4020"/>
      <w:r>
        <w:rPr>
          <w:rFonts w:ascii="Arial" w:eastAsia="Arial" w:hAnsi="Arial" w:cs="Arial"/>
          <w:color w:val="000000"/>
          <w:sz w:val="20"/>
        </w:rPr>
        <w:t>(13) Rearranging toilet partitions to increase maneuvering space;</w:t>
      </w:r>
    </w:p>
    <w:p w:rsidR="00E456CD" w:rsidRDefault="00000000">
      <w:pPr>
        <w:pStyle w:val="Normal20"/>
        <w:widowControl w:val="0"/>
        <w:spacing w:line="260" w:lineRule="atLeast"/>
        <w:ind w:left="400"/>
        <w:jc w:val="both"/>
      </w:pPr>
      <w:bookmarkStart w:id="4021" w:name="Bookmark_para_81_1"/>
      <w:bookmarkEnd w:id="4021"/>
      <w:r>
        <w:rPr>
          <w:rFonts w:ascii="Arial" w:eastAsia="Arial" w:hAnsi="Arial" w:cs="Arial"/>
          <w:color w:val="000000"/>
          <w:sz w:val="20"/>
        </w:rPr>
        <w:t>(14) Insulating lavatory pipes under sinks to prevent burns;</w:t>
      </w:r>
    </w:p>
    <w:p w:rsidR="00E456CD" w:rsidRDefault="00000000">
      <w:pPr>
        <w:pStyle w:val="Normal20"/>
        <w:widowControl w:val="0"/>
        <w:spacing w:before="200" w:line="260" w:lineRule="atLeast"/>
        <w:ind w:left="400"/>
        <w:jc w:val="both"/>
      </w:pPr>
      <w:bookmarkStart w:id="4022" w:name="Bookmark_para_82_1"/>
      <w:bookmarkEnd w:id="4022"/>
      <w:r>
        <w:rPr>
          <w:rFonts w:ascii="Arial" w:eastAsia="Arial" w:hAnsi="Arial" w:cs="Arial"/>
          <w:color w:val="000000"/>
          <w:sz w:val="20"/>
        </w:rPr>
        <w:t>(15) nstalling a raised toilet [**37]  seat;</w:t>
      </w:r>
    </w:p>
    <w:p w:rsidR="00E456CD" w:rsidRDefault="00000000">
      <w:pPr>
        <w:pStyle w:val="Normal20"/>
        <w:widowControl w:val="0"/>
        <w:spacing w:line="260" w:lineRule="atLeast"/>
        <w:ind w:left="400"/>
        <w:jc w:val="both"/>
      </w:pPr>
      <w:bookmarkStart w:id="4023" w:name="Bookmark_para_83_1"/>
      <w:bookmarkEnd w:id="4023"/>
      <w:r>
        <w:rPr>
          <w:rFonts w:ascii="Arial" w:eastAsia="Arial" w:hAnsi="Arial" w:cs="Arial"/>
          <w:color w:val="000000"/>
          <w:sz w:val="20"/>
        </w:rPr>
        <w:t>(16) Installing a full-length bathroom mirror;</w:t>
      </w:r>
    </w:p>
    <w:p w:rsidR="00E456CD" w:rsidRDefault="00000000">
      <w:pPr>
        <w:pStyle w:val="Normal20"/>
        <w:widowControl w:val="0"/>
        <w:spacing w:line="260" w:lineRule="atLeast"/>
        <w:ind w:left="400"/>
        <w:jc w:val="both"/>
      </w:pPr>
      <w:bookmarkStart w:id="4024" w:name="Bookmark_para_84_1"/>
      <w:bookmarkEnd w:id="4024"/>
      <w:r>
        <w:rPr>
          <w:rFonts w:ascii="Arial" w:eastAsia="Arial" w:hAnsi="Arial" w:cs="Arial"/>
          <w:color w:val="000000"/>
          <w:sz w:val="20"/>
        </w:rPr>
        <w:t>(17) Repositioning the paper towel dispenser in a bathroom;</w:t>
      </w:r>
    </w:p>
    <w:p w:rsidR="00E456CD" w:rsidRDefault="00000000">
      <w:pPr>
        <w:pStyle w:val="Normal20"/>
        <w:widowControl w:val="0"/>
        <w:spacing w:line="260" w:lineRule="atLeast"/>
        <w:ind w:left="400"/>
        <w:jc w:val="both"/>
      </w:pPr>
      <w:bookmarkStart w:id="4025" w:name="Bookmark_para_85_1"/>
      <w:bookmarkEnd w:id="4025"/>
      <w:r>
        <w:rPr>
          <w:rFonts w:ascii="Arial" w:eastAsia="Arial" w:hAnsi="Arial" w:cs="Arial"/>
          <w:color w:val="000000"/>
          <w:sz w:val="20"/>
        </w:rPr>
        <w:t>(18) Creating designated accessible parking spaces;</w:t>
      </w:r>
    </w:p>
    <w:p w:rsidR="00E456CD" w:rsidRDefault="00000000">
      <w:pPr>
        <w:pStyle w:val="Normal20"/>
        <w:widowControl w:val="0"/>
        <w:spacing w:line="260" w:lineRule="atLeast"/>
        <w:ind w:left="400"/>
        <w:jc w:val="both"/>
      </w:pPr>
      <w:bookmarkStart w:id="4026" w:name="Bookmark_para_86_1"/>
      <w:bookmarkEnd w:id="4026"/>
      <w:r>
        <w:rPr>
          <w:rFonts w:ascii="Arial" w:eastAsia="Arial" w:hAnsi="Arial" w:cs="Arial"/>
          <w:color w:val="000000"/>
          <w:sz w:val="20"/>
        </w:rPr>
        <w:t>(19) Installing an accessible paper cup dispenser at an existing inaccessible water fountain;</w:t>
      </w:r>
    </w:p>
    <w:p w:rsidR="00E456CD" w:rsidRDefault="00000000">
      <w:pPr>
        <w:pStyle w:val="Normal20"/>
        <w:widowControl w:val="0"/>
        <w:spacing w:line="260" w:lineRule="atLeast"/>
        <w:ind w:left="400"/>
        <w:jc w:val="both"/>
      </w:pPr>
      <w:bookmarkStart w:id="4027" w:name="Bookmark_para_87_1"/>
      <w:bookmarkEnd w:id="4027"/>
      <w:r>
        <w:rPr>
          <w:rFonts w:ascii="Arial" w:eastAsia="Arial" w:hAnsi="Arial" w:cs="Arial"/>
          <w:color w:val="000000"/>
          <w:sz w:val="20"/>
        </w:rPr>
        <w:t>(20) Removing high pile, low density carpeting; or</w:t>
      </w:r>
    </w:p>
    <w:p w:rsidR="00E456CD" w:rsidRDefault="00000000">
      <w:pPr>
        <w:pStyle w:val="Normal20"/>
        <w:widowControl w:val="0"/>
        <w:spacing w:line="260" w:lineRule="atLeast"/>
        <w:ind w:left="400"/>
        <w:jc w:val="both"/>
      </w:pPr>
      <w:bookmarkStart w:id="4028" w:name="Bookmark_para_88_1"/>
      <w:bookmarkEnd w:id="4028"/>
      <w:r>
        <w:rPr>
          <w:rFonts w:ascii="Arial" w:eastAsia="Arial" w:hAnsi="Arial" w:cs="Arial"/>
          <w:color w:val="000000"/>
          <w:sz w:val="20"/>
        </w:rPr>
        <w:t>(21) nstalling vehicle hand controls.</w:t>
      </w:r>
    </w:p>
    <w:p w:rsidR="00E456CD" w:rsidRDefault="00000000">
      <w:pPr>
        <w:pStyle w:val="Normal20"/>
        <w:widowControl w:val="0"/>
        <w:spacing w:before="200" w:line="260" w:lineRule="atLeast"/>
        <w:jc w:val="both"/>
      </w:pPr>
      <w:r>
        <w:rPr>
          <w:rFonts w:ascii="Arial" w:eastAsia="Arial" w:hAnsi="Arial" w:cs="Arial"/>
          <w:color w:val="000000"/>
          <w:sz w:val="20"/>
        </w:rPr>
        <w:t xml:space="preserve">28 C.F.R. § 36.304. Given the wide variety of violations that different class members might claim to have encountered, the class definition certified by the District Court runs directly into conflict with the Supreme Court's guidance in </w:t>
      </w:r>
      <w:r>
        <w:rPr>
          <w:rFonts w:ascii="Arial" w:eastAsia="Arial" w:hAnsi="Arial" w:cs="Arial"/>
          <w:i/>
          <w:color w:val="000000"/>
          <w:sz w:val="20"/>
        </w:rPr>
        <w:t>Dukes</w:t>
      </w:r>
      <w:r>
        <w:rPr>
          <w:rFonts w:ascii="Arial" w:eastAsia="Arial" w:hAnsi="Arial" w:cs="Arial"/>
          <w:color w:val="000000"/>
          <w:sz w:val="20"/>
        </w:rPr>
        <w:t>.</w:t>
      </w:r>
    </w:p>
    <w:p w:rsidR="00E456CD" w:rsidRDefault="00000000">
      <w:pPr>
        <w:pStyle w:val="Normal20"/>
        <w:widowControl w:val="0"/>
        <w:spacing w:before="200" w:line="260" w:lineRule="atLeast"/>
        <w:jc w:val="both"/>
      </w:pPr>
      <w:bookmarkStart w:id="4029" w:name="Bookmark_para_89_1"/>
      <w:bookmarkStart w:id="4030" w:name="Bookmark_I5T2VJ0P2HM6WY0030000400"/>
      <w:bookmarkEnd w:id="4029"/>
      <w:bookmarkEnd w:id="4030"/>
      <w:r>
        <w:rPr>
          <w:rFonts w:ascii="Arial" w:eastAsia="Arial" w:hAnsi="Arial" w:cs="Arial"/>
          <w:color w:val="000000"/>
          <w:sz w:val="20"/>
        </w:rPr>
        <w:t xml:space="preserve">In </w:t>
      </w:r>
      <w:r>
        <w:rPr>
          <w:rFonts w:ascii="Arial" w:eastAsia="Arial" w:hAnsi="Arial" w:cs="Arial"/>
          <w:i/>
          <w:color w:val="000000"/>
          <w:sz w:val="20"/>
        </w:rPr>
        <w:t>Dukes</w:t>
      </w:r>
      <w:r>
        <w:rPr>
          <w:rFonts w:ascii="Arial" w:eastAsia="Arial" w:hAnsi="Arial" w:cs="Arial"/>
          <w:color w:val="000000"/>
          <w:sz w:val="20"/>
        </w:rPr>
        <w:t xml:space="preserve">, the Court considered a class of female employees alleging Title VII gender discrimination. </w:t>
      </w:r>
      <w:bookmarkStart w:id="4031" w:name="Bookmark_I5T2VJ0P2HM6WY0050000400"/>
      <w:bookmarkStart w:id="4032" w:name="Bookmark_I5T2VJ0P2HM6WY0020000400"/>
      <w:bookmarkEnd w:id="4031"/>
      <w:bookmarkEnd w:id="4032"/>
      <w:r>
        <w:rPr>
          <w:rFonts w:ascii="Arial" w:eastAsia="Arial" w:hAnsi="Arial" w:cs="Arial"/>
          <w:i/>
          <w:color w:val="000000"/>
          <w:sz w:val="20"/>
        </w:rPr>
        <w:t>Dukes</w:t>
      </w:r>
      <w:r>
        <w:rPr>
          <w:rFonts w:ascii="Arial" w:eastAsia="Arial" w:hAnsi="Arial" w:cs="Arial"/>
          <w:color w:val="000000"/>
          <w:sz w:val="20"/>
        </w:rPr>
        <w:t xml:space="preserve">, 564 U.S. at 343. </w:t>
      </w:r>
      <w:bookmarkStart w:id="4033" w:name="Bookmark_LNHNREFclscc27"/>
      <w:bookmarkEnd w:id="4033"/>
      <w:r>
        <w:rPr>
          <w:rFonts w:ascii="Arial" w:eastAsia="Arial" w:hAnsi="Arial" w:cs="Arial"/>
          <w:color w:val="000000"/>
          <w:sz w:val="20"/>
        </w:rPr>
        <w:t>In conducting a Rule 23(a)(2) commonality inquiry, the Court explained:</w:t>
      </w:r>
    </w:p>
    <w:p w:rsidR="00E456CD" w:rsidRDefault="00000000">
      <w:pPr>
        <w:pStyle w:val="Normal20"/>
        <w:widowControl w:val="0"/>
        <w:spacing w:before="200" w:line="260" w:lineRule="atLeast"/>
        <w:ind w:left="400"/>
        <w:jc w:val="both"/>
      </w:pPr>
      <w:bookmarkStart w:id="4034" w:name="Bookmark_para_90_1"/>
      <w:bookmarkStart w:id="4035" w:name="Bookmark_I5T2VJ0P2HM6WY0050000400_2"/>
      <w:bookmarkEnd w:id="4034"/>
      <w:bookmarkEnd w:id="4035"/>
      <w:r>
        <w:rPr>
          <w:rFonts w:ascii="Arial" w:eastAsia="Arial" w:hAnsi="Arial" w:cs="Arial"/>
          <w:color w:val="000000"/>
          <w:sz w:val="20"/>
        </w:rPr>
        <w:t xml:space="preserve">Commonality requires the plaintiff to demonstrate that the class members "have suffered the same injury," </w:t>
      </w:r>
      <w:bookmarkStart w:id="4036" w:name="Bookmark_I5T2VJ0P2HM6WY0040000400"/>
      <w:bookmarkEnd w:id="4036"/>
      <w:r>
        <w:rPr>
          <w:rFonts w:ascii="Arial" w:eastAsia="Arial" w:hAnsi="Arial" w:cs="Arial"/>
          <w:i/>
          <w:color w:val="000000"/>
          <w:sz w:val="20"/>
        </w:rPr>
        <w:t>Falcon, supra</w:t>
      </w:r>
      <w:r>
        <w:rPr>
          <w:rFonts w:ascii="Arial" w:eastAsia="Arial" w:hAnsi="Arial" w:cs="Arial"/>
          <w:color w:val="000000"/>
          <w:sz w:val="20"/>
        </w:rPr>
        <w:t xml:space="preserve">, at 157, 102 S.Ct. 2364. </w:t>
      </w:r>
      <w:r>
        <w:rPr>
          <w:rFonts w:ascii="Arial" w:eastAsia="Arial" w:hAnsi="Arial" w:cs="Arial"/>
          <w:b/>
          <w:i/>
          <w:color w:val="000000"/>
          <w:sz w:val="20"/>
        </w:rPr>
        <w:t>This does not mean merely that they have all suffered a violation of the same provision of law. Title VII, for example, can be violated in many ways</w:t>
      </w:r>
      <w:r>
        <w:rPr>
          <w:rFonts w:ascii="Arial" w:eastAsia="Arial" w:hAnsi="Arial" w:cs="Arial"/>
          <w:color w:val="000000"/>
          <w:sz w:val="20"/>
        </w:rPr>
        <w:t xml:space="preserve">—by intentional discrimination, or by hiring and promotion criteria that result in disparate impact, and by the use of these practices on the part of many different superiors in a single company. </w:t>
      </w:r>
      <w:bookmarkStart w:id="4037" w:name="Bookmark_I5T2VJ0P2SF7MB0020000400"/>
      <w:bookmarkEnd w:id="4037"/>
      <w:r>
        <w:rPr>
          <w:rFonts w:ascii="Arial" w:eastAsia="Arial" w:hAnsi="Arial" w:cs="Arial"/>
          <w:color w:val="000000"/>
          <w:sz w:val="20"/>
        </w:rPr>
        <w:t xml:space="preserve">Quite obviously, the [**38]  mere claim by employees of the same company that they have suffered a Title VII injury, or even a disparate-impact Title VII injury, gives no cause to believe that all their claims can productively be litigated at once. </w:t>
      </w:r>
      <w:r>
        <w:rPr>
          <w:rFonts w:ascii="Arial" w:eastAsia="Arial" w:hAnsi="Arial" w:cs="Arial"/>
          <w:b/>
          <w:i/>
          <w:color w:val="000000"/>
          <w:sz w:val="20"/>
        </w:rPr>
        <w:t>Their claims must depend upon a common contention</w:t>
      </w:r>
      <w:r>
        <w:rPr>
          <w:rFonts w:ascii="Arial" w:eastAsia="Arial" w:hAnsi="Arial" w:cs="Arial"/>
          <w:color w:val="000000"/>
          <w:sz w:val="20"/>
        </w:rPr>
        <w:t xml:space="preserve">—for example, the assertion of discriminatory bias on the part of the same supervisor. </w:t>
      </w:r>
      <w:r>
        <w:rPr>
          <w:rFonts w:ascii="Arial" w:eastAsia="Arial" w:hAnsi="Arial" w:cs="Arial"/>
          <w:b/>
          <w:i/>
          <w:color w:val="000000"/>
          <w:sz w:val="20"/>
        </w:rPr>
        <w:t>That common contention, moreover, must be of such a nature that it is capable of classwide resolution</w:t>
      </w:r>
      <w:r>
        <w:rPr>
          <w:rFonts w:ascii="Arial" w:eastAsia="Arial" w:hAnsi="Arial" w:cs="Arial"/>
          <w:color w:val="000000"/>
          <w:sz w:val="20"/>
        </w:rPr>
        <w:t>—which means that determination of its truth or falsity will resolve an issue that is central to the validity of each one of the claims in one stroke.</w:t>
      </w:r>
    </w:p>
    <w:p w:rsidR="00E456CD" w:rsidRDefault="00000000">
      <w:pPr>
        <w:pStyle w:val="Normal20"/>
        <w:widowControl w:val="0"/>
        <w:spacing w:before="200" w:line="260" w:lineRule="atLeast"/>
        <w:jc w:val="both"/>
      </w:pPr>
      <w:bookmarkStart w:id="4038" w:name="Bookmark_I5T2VJ0P2SF7MB0020000400_2"/>
      <w:bookmarkStart w:id="4039" w:name="Bookmark_I5T2VJ0P2SF7MB0010000400"/>
      <w:bookmarkEnd w:id="4038"/>
      <w:bookmarkEnd w:id="4039"/>
      <w:r>
        <w:rPr>
          <w:rFonts w:ascii="Arial" w:eastAsia="Arial" w:hAnsi="Arial" w:cs="Arial"/>
          <w:i/>
          <w:color w:val="000000"/>
          <w:sz w:val="20"/>
        </w:rPr>
        <w:t>Id.</w:t>
      </w:r>
      <w:r>
        <w:rPr>
          <w:rFonts w:ascii="Arial" w:eastAsia="Arial" w:hAnsi="Arial" w:cs="Arial"/>
          <w:color w:val="000000"/>
          <w:sz w:val="20"/>
        </w:rPr>
        <w:t xml:space="preserve"> at 349-50 (emphasis added).</w:t>
      </w:r>
    </w:p>
    <w:p w:rsidR="00E456CD" w:rsidRDefault="00000000">
      <w:pPr>
        <w:pStyle w:val="Normal20"/>
        <w:widowControl w:val="0"/>
        <w:spacing w:before="200" w:line="260" w:lineRule="atLeast"/>
        <w:jc w:val="both"/>
      </w:pPr>
      <w:bookmarkStart w:id="4040" w:name="Bookmark_para_91_1"/>
      <w:bookmarkStart w:id="4041" w:name="Bookmark_I7KKD33SS4X000RK8CR0000J"/>
      <w:bookmarkStart w:id="4042" w:name="Bookmark_I5T2VJ0P2SF7MB0040000400"/>
      <w:bookmarkStart w:id="4043" w:name="Bookmark_I5T2VJ0P2N1PND0010000400"/>
      <w:bookmarkEnd w:id="4040"/>
      <w:bookmarkEnd w:id="4041"/>
      <w:bookmarkEnd w:id="4042"/>
      <w:bookmarkEnd w:id="4043"/>
      <w:r>
        <w:rPr>
          <w:rFonts w:ascii="Arial" w:eastAsia="Arial" w:hAnsi="Arial" w:cs="Arial"/>
          <w:color w:val="000000"/>
          <w:sz w:val="20"/>
        </w:rPr>
        <w:t xml:space="preserve">Applying the Court's teaching in </w:t>
      </w:r>
      <w:bookmarkStart w:id="4044" w:name="Bookmark_I5T2VJ0P2SF7MB0030000400"/>
      <w:bookmarkEnd w:id="4044"/>
      <w:r>
        <w:rPr>
          <w:rFonts w:ascii="Arial" w:eastAsia="Arial" w:hAnsi="Arial" w:cs="Arial"/>
          <w:i/>
          <w:color w:val="000000"/>
          <w:sz w:val="20"/>
        </w:rPr>
        <w:t>Dukes</w:t>
      </w:r>
      <w:r>
        <w:rPr>
          <w:rFonts w:ascii="Arial" w:eastAsia="Arial" w:hAnsi="Arial" w:cs="Arial"/>
          <w:color w:val="000000"/>
          <w:sz w:val="20"/>
        </w:rPr>
        <w:t xml:space="preserve"> to the matter at hand, we conclude that Plaintiffs' class presents a similar commonality challenge. Although all class members might allege a violation of the ADA—even the very same provision of the ADA—this only establishes that putative class members "merely" allege to "have all suffered a violation of the same provision of law." </w:t>
      </w:r>
      <w:bookmarkStart w:id="4045" w:name="Bookmark_I5T2VJ0P2SF7MB0050000400"/>
      <w:bookmarkEnd w:id="4045"/>
      <w:r>
        <w:rPr>
          <w:rFonts w:ascii="Arial" w:eastAsia="Arial" w:hAnsi="Arial" w:cs="Arial"/>
          <w:i/>
          <w:color w:val="000000"/>
          <w:sz w:val="20"/>
        </w:rPr>
        <w:t>Id.</w:t>
      </w:r>
      <w:r>
        <w:rPr>
          <w:rFonts w:ascii="Arial" w:eastAsia="Arial" w:hAnsi="Arial" w:cs="Arial"/>
          <w:color w:val="000000"/>
          <w:sz w:val="20"/>
        </w:rPr>
        <w:t xml:space="preserve"> at 350. For purposes of satisfying Rule 23(a)(2), that is not enough, because, like Title VII in </w:t>
      </w:r>
      <w:r>
        <w:rPr>
          <w:rFonts w:ascii="Arial" w:eastAsia="Arial" w:hAnsi="Arial" w:cs="Arial"/>
          <w:i/>
          <w:color w:val="000000"/>
          <w:sz w:val="20"/>
        </w:rPr>
        <w:t>Dukes</w:t>
      </w:r>
      <w:r>
        <w:rPr>
          <w:rFonts w:ascii="Arial" w:eastAsia="Arial" w:hAnsi="Arial" w:cs="Arial"/>
          <w:color w:val="000000"/>
          <w:sz w:val="20"/>
        </w:rPr>
        <w:t>, the ADA can be violated in many different ways.</w:t>
      </w:r>
    </w:p>
    <w:p w:rsidR="00E456CD" w:rsidRDefault="00000000">
      <w:pPr>
        <w:pStyle w:val="Normal20"/>
        <w:widowControl w:val="0"/>
        <w:spacing w:before="200" w:line="260" w:lineRule="atLeast"/>
        <w:jc w:val="both"/>
      </w:pPr>
      <w:bookmarkStart w:id="4046" w:name="Bookmark_para_92_1"/>
      <w:bookmarkEnd w:id="4046"/>
      <w:r>
        <w:rPr>
          <w:rFonts w:ascii="Arial" w:eastAsia="Arial" w:hAnsi="Arial" w:cs="Arial"/>
          <w:color w:val="000000"/>
          <w:sz w:val="20"/>
        </w:rPr>
        <w:t xml:space="preserve"> [*490]  One person, for example, might allege that Steak 'n Shake violated the [**39]  ADA by failing to correct a steep slope in a parking facility, while other class members might allege that Steak 'n Shake violated the ADA by failing to replace inaccessible door hardware, by failing to widen bathroom doors, or by failing to replace inaccessible water fountains. </w:t>
      </w:r>
      <w:r>
        <w:rPr>
          <w:rFonts w:ascii="Arial" w:eastAsia="Arial" w:hAnsi="Arial" w:cs="Arial"/>
          <w:i/>
          <w:color w:val="000000"/>
          <w:sz w:val="20"/>
        </w:rPr>
        <w:t>See</w:t>
      </w:r>
      <w:r>
        <w:rPr>
          <w:rFonts w:ascii="Arial" w:eastAsia="Arial" w:hAnsi="Arial" w:cs="Arial"/>
          <w:color w:val="000000"/>
          <w:sz w:val="20"/>
        </w:rPr>
        <w:t xml:space="preserve"> 28 C.F.R. § 36.304. While each of these Steak 'n Shake patrons presents a serious claim, the collective claims are so widely divergent that they would be better pursued on either an individual basis or by a sufficiently numerous class of similarly-aggrieved patrons. Such is the reach of the class as the District Court has defined it. With such a potentially wide array of different claims by members of the class, we conclude that the certified class fails to meet the commonality requirement of Rule 23(a)(2).</w:t>
      </w:r>
    </w:p>
    <w:p w:rsidR="00E456CD" w:rsidRDefault="00000000">
      <w:pPr>
        <w:pStyle w:val="Normal20"/>
        <w:widowControl w:val="0"/>
        <w:spacing w:before="200" w:line="260" w:lineRule="atLeast"/>
        <w:jc w:val="both"/>
      </w:pPr>
      <w:bookmarkStart w:id="4047" w:name="Bookmark_para_93_1"/>
      <w:bookmarkEnd w:id="4047"/>
      <w:r>
        <w:rPr>
          <w:rFonts w:ascii="Arial" w:eastAsia="Arial" w:hAnsi="Arial" w:cs="Arial"/>
          <w:color w:val="000000"/>
          <w:sz w:val="20"/>
        </w:rPr>
        <w:t xml:space="preserve">Even assuming, </w:t>
      </w:r>
      <w:r>
        <w:rPr>
          <w:rFonts w:ascii="Arial" w:eastAsia="Arial" w:hAnsi="Arial" w:cs="Arial"/>
          <w:i/>
          <w:color w:val="000000"/>
          <w:sz w:val="20"/>
        </w:rPr>
        <w:t>arguendo</w:t>
      </w:r>
      <w:r>
        <w:rPr>
          <w:rFonts w:ascii="Arial" w:eastAsia="Arial" w:hAnsi="Arial" w:cs="Arial"/>
          <w:color w:val="000000"/>
          <w:sz w:val="20"/>
        </w:rPr>
        <w:t xml:space="preserve">, that a proper interpretation of the class definition would limit the class to members who suffered injuries </w:t>
      </w:r>
      <w:r>
        <w:rPr>
          <w:rFonts w:ascii="Arial" w:eastAsia="Arial" w:hAnsi="Arial" w:cs="Arial"/>
          <w:i/>
          <w:color w:val="000000"/>
          <w:sz w:val="20"/>
        </w:rPr>
        <w:t>within</w:t>
      </w:r>
      <w:r>
        <w:rPr>
          <w:rFonts w:ascii="Arial" w:eastAsia="Arial" w:hAnsi="Arial" w:cs="Arial"/>
          <w:color w:val="000000"/>
          <w:sz w:val="20"/>
        </w:rPr>
        <w:t xml:space="preserve"> a Steak 'n Shake parking facility,</w:t>
      </w:r>
      <w:r>
        <w:rPr>
          <w:rFonts w:ascii="Arial" w:eastAsia="Arial" w:hAnsi="Arial" w:cs="Arial"/>
          <w:vertAlign w:val="superscript"/>
        </w:rPr>
        <w:footnoteReference w:customMarkFollows="1" w:id="180"/>
        <w:t>22</w:t>
      </w:r>
      <w:r>
        <w:rPr>
          <w:rFonts w:ascii="Arial" w:eastAsia="Arial" w:hAnsi="Arial" w:cs="Arial"/>
          <w:color w:val="000000"/>
          <w:sz w:val="20"/>
        </w:rPr>
        <w:t xml:space="preserve"> the wide variety of regulations quoted above reveal that there are still various types of ADA violations that could occur specifically in a parking facility. Plaintiffs' own complaint, for example, lists seven different categories of parking facility violations. [**40]  JA 90-92. The complaint refers to: (1) parking space slopes; (2) access aisle slopes; (3) slopes relating to the route leading to a facility entrance; (4) lack of proper parking signage; (5) lack of proper "van accessible" designations; (6) improper mounting of "accessible" parking signage; and (7) "curb ramp" slopes. </w:t>
      </w:r>
      <w:r>
        <w:rPr>
          <w:rFonts w:ascii="Arial" w:eastAsia="Arial" w:hAnsi="Arial" w:cs="Arial"/>
          <w:i/>
          <w:color w:val="000000"/>
          <w:sz w:val="20"/>
        </w:rPr>
        <w:t>Id.</w:t>
      </w:r>
      <w:r>
        <w:rPr>
          <w:rFonts w:ascii="Arial" w:eastAsia="Arial" w:hAnsi="Arial" w:cs="Arial"/>
          <w:color w:val="000000"/>
          <w:sz w:val="20"/>
        </w:rPr>
        <w:t xml:space="preserve"> Although all seven of these categories allegedly constitute ADA violations, they harm class members in materially different ways.</w:t>
      </w:r>
    </w:p>
    <w:p w:rsidR="00E456CD" w:rsidRDefault="00000000">
      <w:pPr>
        <w:pStyle w:val="Normal20"/>
        <w:widowControl w:val="0"/>
        <w:spacing w:before="200" w:line="260" w:lineRule="atLeast"/>
        <w:jc w:val="both"/>
      </w:pPr>
      <w:bookmarkStart w:id="4055" w:name="Bookmark_para_94_1"/>
      <w:bookmarkStart w:id="4056" w:name="Bookmark_I5T2VJ0P28T4KH0040000400"/>
      <w:bookmarkEnd w:id="4055"/>
      <w:bookmarkEnd w:id="4056"/>
      <w:r>
        <w:rPr>
          <w:rFonts w:ascii="Arial" w:eastAsia="Arial" w:hAnsi="Arial" w:cs="Arial"/>
          <w:color w:val="000000"/>
          <w:sz w:val="20"/>
        </w:rPr>
        <w:t xml:space="preserve">A class member, for example, complaining that "accessible" parking signage was "mounted less than 60 inches above the finished surface o[f] the parking area," JA 91, has experienced harm different from that of a class member complaining that "[t]he surfaces of one or more access aisles had slopes exceeding 2.1%." JA 92. </w:t>
      </w:r>
      <w:bookmarkStart w:id="4057" w:name="Bookmark_I5T2VJ0P2D6NSW0010000400"/>
      <w:bookmarkEnd w:id="4057"/>
      <w:r>
        <w:rPr>
          <w:rFonts w:ascii="Arial" w:eastAsia="Arial" w:hAnsi="Arial" w:cs="Arial"/>
          <w:color w:val="000000"/>
          <w:sz w:val="20"/>
        </w:rPr>
        <w:t xml:space="preserve">As </w:t>
      </w:r>
      <w:r>
        <w:rPr>
          <w:rFonts w:ascii="Arial" w:eastAsia="Arial" w:hAnsi="Arial" w:cs="Arial"/>
          <w:i/>
          <w:color w:val="000000"/>
          <w:sz w:val="20"/>
        </w:rPr>
        <w:t>Dukes</w:t>
      </w:r>
      <w:r>
        <w:rPr>
          <w:rFonts w:ascii="Arial" w:eastAsia="Arial" w:hAnsi="Arial" w:cs="Arial"/>
          <w:color w:val="000000"/>
          <w:sz w:val="20"/>
        </w:rPr>
        <w:t xml:space="preserve"> makes clear, suffering "a violation of the same provision of law" is not enough. </w:t>
      </w:r>
      <w:bookmarkStart w:id="4058" w:name="Bookmark_I5T2VJ0P28T4KH0030000400"/>
      <w:bookmarkEnd w:id="4058"/>
      <w:r>
        <w:rPr>
          <w:rFonts w:ascii="Arial" w:eastAsia="Arial" w:hAnsi="Arial" w:cs="Arial"/>
          <w:i/>
          <w:color w:val="000000"/>
          <w:sz w:val="20"/>
        </w:rPr>
        <w:t>Dukes</w:t>
      </w:r>
      <w:r>
        <w:rPr>
          <w:rFonts w:ascii="Arial" w:eastAsia="Arial" w:hAnsi="Arial" w:cs="Arial"/>
          <w:color w:val="000000"/>
          <w:sz w:val="20"/>
        </w:rPr>
        <w:t xml:space="preserve">, 564 U.S. at 349. </w:t>
      </w:r>
      <w:bookmarkStart w:id="4059" w:name="Bookmark_I5T2VJ0P2D6NSW0010000400_2"/>
      <w:bookmarkEnd w:id="4059"/>
      <w:r>
        <w:rPr>
          <w:rFonts w:ascii="Arial" w:eastAsia="Arial" w:hAnsi="Arial" w:cs="Arial"/>
          <w:color w:val="000000"/>
          <w:sz w:val="20"/>
        </w:rPr>
        <w:t xml:space="preserve">Instead, class members' claims must "depend upon a common contention" that "is capable of classwide resolution . . . in one stroke." </w:t>
      </w:r>
      <w:bookmarkStart w:id="4060" w:name="Bookmark_I5T2VJ0P28T4KH0050000400"/>
      <w:bookmarkEnd w:id="4060"/>
      <w:r>
        <w:rPr>
          <w:rFonts w:ascii="Arial" w:eastAsia="Arial" w:hAnsi="Arial" w:cs="Arial"/>
          <w:i/>
          <w:color w:val="000000"/>
          <w:sz w:val="20"/>
        </w:rPr>
        <w:t>Id.</w:t>
      </w:r>
      <w:r>
        <w:rPr>
          <w:rFonts w:ascii="Arial" w:eastAsia="Arial" w:hAnsi="Arial" w:cs="Arial"/>
          <w:color w:val="000000"/>
          <w:sz w:val="20"/>
        </w:rPr>
        <w:t xml:space="preserve"> at 350. The wide variety of potential ADA violations captured in the broad class definition certified by the District Court does not lend itself to such a resolution. We therefore conclude that Plaintiffs [**41]  have failed to satisfy Rule 23(a)(2).</w:t>
      </w:r>
      <w:r>
        <w:rPr>
          <w:rFonts w:ascii="Arial" w:eastAsia="Arial" w:hAnsi="Arial" w:cs="Arial"/>
          <w:vertAlign w:val="superscript"/>
        </w:rPr>
        <w:footnoteReference w:customMarkFollows="1" w:id="181"/>
        <w:t>23</w:t>
      </w:r>
    </w:p>
    <w:p w:rsidR="00E456CD" w:rsidRDefault="00000000">
      <w:pPr>
        <w:pStyle w:val="Normal20"/>
        <w:widowControl w:val="0"/>
        <w:spacing w:before="240" w:line="260" w:lineRule="atLeast"/>
      </w:pPr>
      <w:r>
        <w:br/>
      </w:r>
      <w:r>
        <w:rPr>
          <w:rFonts w:ascii="Arial" w:eastAsia="Arial" w:hAnsi="Arial" w:cs="Arial"/>
          <w:b/>
          <w:color w:val="000000"/>
          <w:sz w:val="20"/>
        </w:rPr>
        <w:t xml:space="preserve">C. </w:t>
      </w:r>
      <w:r>
        <w:rPr>
          <w:rFonts w:ascii="Arial" w:eastAsia="Arial" w:hAnsi="Arial" w:cs="Arial"/>
          <w:b/>
          <w:i/>
          <w:color w:val="000000"/>
          <w:sz w:val="20"/>
        </w:rPr>
        <w:t>The Need for Remand</w:t>
      </w:r>
    </w:p>
    <w:p w:rsidR="00E456CD" w:rsidRDefault="00000000">
      <w:pPr>
        <w:pStyle w:val="Normal20"/>
        <w:widowControl w:val="0"/>
        <w:spacing w:before="200" w:line="260" w:lineRule="atLeast"/>
        <w:jc w:val="both"/>
      </w:pPr>
      <w:bookmarkStart w:id="4062" w:name="Bookmark_para_95_1"/>
      <w:bookmarkEnd w:id="4062"/>
      <w:r>
        <w:rPr>
          <w:rFonts w:ascii="Arial" w:eastAsia="Arial" w:hAnsi="Arial" w:cs="Arial"/>
          <w:color w:val="000000"/>
          <w:sz w:val="20"/>
        </w:rPr>
        <w:t>In light of our resolution of the Rule 23(a) issues presented in this appeal, remand for further proceedings before the  [*491]  District Court is necessary. Upon remand, the parties may present the court with a newly-formulated class definition free of the Rule 23(a) deficiencies described above.</w:t>
      </w:r>
    </w:p>
    <w:p w:rsidR="00E456CD" w:rsidRDefault="00000000">
      <w:pPr>
        <w:pStyle w:val="Normal20"/>
        <w:widowControl w:val="0"/>
        <w:spacing w:before="200" w:line="260" w:lineRule="atLeast"/>
        <w:jc w:val="both"/>
      </w:pPr>
      <w:bookmarkStart w:id="4063" w:name="Bookmark_para_96_1"/>
      <w:bookmarkEnd w:id="4063"/>
      <w:r>
        <w:rPr>
          <w:rFonts w:ascii="Arial" w:eastAsia="Arial" w:hAnsi="Arial" w:cs="Arial"/>
          <w:color w:val="000000"/>
          <w:sz w:val="20"/>
        </w:rPr>
        <w:t xml:space="preserve">Specifically, as to Rule 23(a)(1) numerosity, Plaintiffs will need to provide additional evidence so that the District Court can draw reasonable inferences when considering how many disabled individuals might actually have experienced an ADA violation at a relevant Steak 'n Shake. This should not be a Herculean task. Plaintiffs' census data carries much—but not all—of their Rule 23 (a)(1) burden. </w:t>
      </w:r>
      <w:bookmarkStart w:id="4064" w:name="Bookmark_I5T2VJ0P2D6NSW0030000400"/>
      <w:bookmarkEnd w:id="4064"/>
      <w:r>
        <w:rPr>
          <w:rFonts w:ascii="Arial" w:eastAsia="Arial" w:hAnsi="Arial" w:cs="Arial"/>
          <w:color w:val="000000"/>
          <w:sz w:val="20"/>
        </w:rPr>
        <w:t>Something more will be required to support a reasonable inference. As to Rule 23(a)(2) commonality, Plaintiffs must propose a class definition with a limited number of potential ADA violations. Such a class might, for example, be limited to slope-related injuries that occur within a Steak 'n Shake parking facility.</w:t>
      </w:r>
      <w:r>
        <w:rPr>
          <w:rFonts w:ascii="Arial" w:eastAsia="Arial" w:hAnsi="Arial" w:cs="Arial"/>
          <w:vertAlign w:val="superscript"/>
        </w:rPr>
        <w:footnoteReference w:customMarkFollows="1" w:id="182"/>
        <w:t>24</w:t>
      </w:r>
    </w:p>
    <w:p w:rsidR="00E456CD" w:rsidRDefault="00000000">
      <w:pPr>
        <w:pStyle w:val="Normal20"/>
        <w:widowControl w:val="0"/>
        <w:spacing w:before="240" w:line="260" w:lineRule="atLeast"/>
      </w:pPr>
      <w:r>
        <w:br/>
      </w:r>
      <w:r>
        <w:rPr>
          <w:rFonts w:ascii="Arial" w:eastAsia="Arial" w:hAnsi="Arial" w:cs="Arial"/>
          <w:b/>
          <w:smallCaps/>
          <w:color w:val="000000"/>
          <w:sz w:val="20"/>
        </w:rPr>
        <w:t>Conclusion</w:t>
      </w:r>
    </w:p>
    <w:p w:rsidR="00E456CD" w:rsidRDefault="00000000">
      <w:pPr>
        <w:pStyle w:val="Normal20"/>
        <w:widowControl w:val="0"/>
        <w:spacing w:before="200" w:line="260" w:lineRule="atLeast"/>
        <w:jc w:val="both"/>
        <w:sectPr w:rsidR="00E456CD">
          <w:type w:val="continuous"/>
          <w:pgSz w:w="12240" w:h="15840"/>
          <w:pgMar w:top="840" w:right="1000" w:bottom="840" w:left="1000" w:header="400" w:footer="400" w:gutter="0"/>
          <w:cols w:num="2" w:space="240"/>
        </w:sectPr>
      </w:pPr>
      <w:bookmarkStart w:id="4068" w:name="Bookmark_para_97_1"/>
      <w:bookmarkEnd w:id="4068"/>
      <w:r>
        <w:rPr>
          <w:rFonts w:ascii="Arial" w:eastAsia="Arial" w:hAnsi="Arial" w:cs="Arial"/>
          <w:color w:val="000000"/>
          <w:sz w:val="20"/>
        </w:rPr>
        <w:t>Plaintiffs seek to utilize the class action device to enforce one of our nation's landmark civil rights laws. However commendable the ultimate result Mielo and Heinzl seek may [**42]  be, our analysis here is limited to two questions: First, whether Plaintiffs have Article III standing, and second, whether Plaintiffs have met their burdens under Federal Rule of Civil Procedure 23(a). While we conclude that Plaintiffs have standing to pursue their claims in federal court, we also conclude that Plaintiffs have failed to satisfy the requirements of Rule 23(a). The District Court's judgment will be reversed, and this matter will be remanded to the District Court for reconsideration of the class certification question.</w:t>
      </w:r>
    </w:p>
    <w:p w:rsidR="00E456CD" w:rsidRDefault="00000000">
      <w:pPr>
        <w:pStyle w:val="Normal20"/>
        <w:widowControl w:val="0"/>
        <w:spacing w:line="240" w:lineRule="atLeast"/>
        <w:jc w:val="both"/>
      </w:pPr>
      <w:r>
        <w:rPr>
          <w:rFonts w:ascii="Arial" w:eastAsia="Arial" w:hAnsi="Arial" w:cs="Arial"/>
          <w:b/>
          <w:sz w:val="20"/>
        </w:rPr>
        <w:t>Table1 (</w:t>
      </w:r>
      <w:hyperlink w:anchor="Table1_insert" w:history="1">
        <w:r>
          <w:rPr>
            <w:rFonts w:ascii="Arial" w:eastAsia="Arial" w:hAnsi="Arial" w:cs="Arial"/>
            <w:color w:val="0077CC"/>
            <w:sz w:val="20"/>
            <w:u w:val="single"/>
            <w:shd w:val="clear" w:color="auto" w:fill="FFFFFF"/>
          </w:rPr>
          <w:t>Return to related document text</w:t>
        </w:r>
      </w:hyperlink>
      <w:r>
        <w:rPr>
          <w:rFonts w:ascii="Arial" w:eastAsia="Arial" w:hAnsi="Arial" w:cs="Arial"/>
          <w:b/>
          <w:sz w:val="20"/>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60"/>
        <w:gridCol w:w="236"/>
      </w:tblGrid>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smallCaps/>
                <w:color w:val="000000"/>
                <w:sz w:val="18"/>
              </w:rPr>
              <w:t>Introduction</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I. </w:t>
            </w:r>
            <w:r>
              <w:rPr>
                <w:rFonts w:ascii="Arial" w:eastAsia="Arial" w:hAnsi="Arial" w:cs="Arial"/>
                <w:b/>
                <w:smallCaps/>
                <w:color w:val="000000"/>
                <w:sz w:val="18"/>
              </w:rPr>
              <w:t>Background</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A. </w:t>
            </w:r>
            <w:r>
              <w:rPr>
                <w:rFonts w:ascii="Arial" w:eastAsia="Arial" w:hAnsi="Arial" w:cs="Arial"/>
                <w:b/>
                <w:i/>
                <w:color w:val="000000"/>
                <w:sz w:val="18"/>
              </w:rPr>
              <w:t>Factual Background</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B. </w:t>
            </w:r>
            <w:r>
              <w:rPr>
                <w:rFonts w:ascii="Arial" w:eastAsia="Arial" w:hAnsi="Arial" w:cs="Arial"/>
                <w:b/>
                <w:i/>
                <w:color w:val="000000"/>
                <w:sz w:val="18"/>
              </w:rPr>
              <w:t>Procedural History</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C. </w:t>
            </w:r>
            <w:r>
              <w:rPr>
                <w:rFonts w:ascii="Arial" w:eastAsia="Arial" w:hAnsi="Arial" w:cs="Arial"/>
                <w:b/>
                <w:i/>
                <w:color w:val="000000"/>
                <w:sz w:val="18"/>
              </w:rPr>
              <w:t>Applicable Law and Theory of Harm</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II. </w:t>
            </w:r>
            <w:r>
              <w:rPr>
                <w:rFonts w:ascii="Arial" w:eastAsia="Arial" w:hAnsi="Arial" w:cs="Arial"/>
                <w:b/>
                <w:smallCaps/>
                <w:color w:val="000000"/>
                <w:sz w:val="18"/>
              </w:rPr>
              <w:t>Plaintiffs Have Standing</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A. </w:t>
            </w:r>
            <w:r>
              <w:rPr>
                <w:rFonts w:ascii="Arial" w:eastAsia="Arial" w:hAnsi="Arial" w:cs="Arial"/>
                <w:b/>
                <w:i/>
                <w:color w:val="000000"/>
                <w:sz w:val="18"/>
              </w:rPr>
              <w:t>Injury in Fact</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B. </w:t>
            </w:r>
            <w:r>
              <w:rPr>
                <w:rFonts w:ascii="Arial" w:eastAsia="Arial" w:hAnsi="Arial" w:cs="Arial"/>
                <w:b/>
                <w:i/>
                <w:color w:val="000000"/>
                <w:sz w:val="18"/>
              </w:rPr>
              <w:t>Traceability</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C. </w:t>
            </w:r>
            <w:r>
              <w:rPr>
                <w:rFonts w:ascii="Arial" w:eastAsia="Arial" w:hAnsi="Arial" w:cs="Arial"/>
                <w:b/>
                <w:i/>
                <w:color w:val="000000"/>
                <w:sz w:val="18"/>
              </w:rPr>
              <w:t>Redressability</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III. </w:t>
            </w:r>
            <w:r>
              <w:rPr>
                <w:rFonts w:ascii="Arial" w:eastAsia="Arial" w:hAnsi="Arial" w:cs="Arial"/>
                <w:b/>
                <w:smallCaps/>
                <w:color w:val="000000"/>
                <w:sz w:val="18"/>
              </w:rPr>
              <w:t xml:space="preserve">Plaintiffs Fail to Satisfy </w:t>
            </w:r>
            <w:r>
              <w:rPr>
                <w:rFonts w:ascii="Arial" w:eastAsia="Arial" w:hAnsi="Arial" w:cs="Arial"/>
                <w:b/>
                <w:color w:val="000000"/>
                <w:sz w:val="18"/>
              </w:rPr>
              <w:t>Rule 23(a)</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A. </w:t>
            </w:r>
            <w:r>
              <w:rPr>
                <w:rFonts w:ascii="Arial" w:eastAsia="Arial" w:hAnsi="Arial" w:cs="Arial"/>
                <w:b/>
                <w:i/>
                <w:color w:val="000000"/>
                <w:sz w:val="18"/>
              </w:rPr>
              <w:t>Numerosity</w:t>
            </w:r>
            <w:r>
              <w:rPr>
                <w:rFonts w:ascii="Arial" w:eastAsia="Arial" w:hAnsi="Arial" w:cs="Arial"/>
                <w:i/>
                <w:color w:val="000000"/>
                <w:sz w:val="18"/>
              </w:rPr>
              <w:t> [**2] </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B. </w:t>
            </w:r>
            <w:r>
              <w:rPr>
                <w:rFonts w:ascii="Arial" w:eastAsia="Arial" w:hAnsi="Arial" w:cs="Arial"/>
                <w:b/>
                <w:i/>
                <w:color w:val="000000"/>
                <w:sz w:val="18"/>
              </w:rPr>
              <w:t>Commonality</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bottom w:val="nil"/>
              <w:right w:val="nil"/>
            </w:tcBorders>
            <w:tcMar>
              <w:top w:w="20" w:type="dxa"/>
              <w:bottom w:w="20" w:type="dxa"/>
            </w:tcMar>
          </w:tcPr>
          <w:p w:rsidR="00E456CD" w:rsidRDefault="00000000">
            <w:pPr>
              <w:pStyle w:val="Normal20"/>
              <w:spacing w:line="220" w:lineRule="atLeast"/>
            </w:pPr>
            <w:r>
              <w:rPr>
                <w:rFonts w:ascii="Arial" w:eastAsia="Arial" w:hAnsi="Arial" w:cs="Arial"/>
                <w:b/>
                <w:color w:val="000000"/>
                <w:sz w:val="18"/>
              </w:rPr>
              <w:t xml:space="preserve">C. </w:t>
            </w:r>
            <w:r>
              <w:rPr>
                <w:rFonts w:ascii="Arial" w:eastAsia="Arial" w:hAnsi="Arial" w:cs="Arial"/>
                <w:b/>
                <w:i/>
                <w:color w:val="000000"/>
                <w:sz w:val="18"/>
              </w:rPr>
              <w:t>The Need for Remand</w:t>
            </w:r>
          </w:p>
        </w:tc>
        <w:tc>
          <w:tcPr>
            <w:tcW w:w="120" w:type="dxa"/>
            <w:tcBorders>
              <w:bottom w:val="nil"/>
            </w:tcBorders>
            <w:tcMar>
              <w:top w:w="20" w:type="dxa"/>
              <w:bottom w:w="20" w:type="dxa"/>
            </w:tcMar>
          </w:tcPr>
          <w:p w:rsidR="00E456CD" w:rsidRDefault="00E456CD">
            <w:pPr>
              <w:pStyle w:val="Normal20"/>
            </w:pPr>
          </w:p>
        </w:tc>
      </w:tr>
      <w:tr w:rsidR="00E456CD">
        <w:trPr>
          <w:jc w:val="center"/>
        </w:trPr>
        <w:tc>
          <w:tcPr>
            <w:tcW w:w="5160" w:type="dxa"/>
            <w:tcBorders>
              <w:right w:val="nil"/>
            </w:tcBorders>
            <w:tcMar>
              <w:top w:w="20" w:type="dxa"/>
              <w:bottom w:w="20" w:type="dxa"/>
            </w:tcMar>
          </w:tcPr>
          <w:p w:rsidR="00E456CD" w:rsidRDefault="00000000">
            <w:pPr>
              <w:pStyle w:val="Normal20"/>
              <w:spacing w:line="220" w:lineRule="atLeast"/>
            </w:pPr>
            <w:r>
              <w:rPr>
                <w:rFonts w:ascii="Arial" w:eastAsia="Arial" w:hAnsi="Arial" w:cs="Arial"/>
                <w:b/>
                <w:smallCaps/>
                <w:color w:val="000000"/>
                <w:sz w:val="18"/>
              </w:rPr>
              <w:t>Conclusion</w:t>
            </w:r>
          </w:p>
        </w:tc>
        <w:tc>
          <w:tcPr>
            <w:tcW w:w="120" w:type="dxa"/>
            <w:tcMar>
              <w:top w:w="20" w:type="dxa"/>
              <w:bottom w:w="20" w:type="dxa"/>
            </w:tcMar>
          </w:tcPr>
          <w:p w:rsidR="00E456CD" w:rsidRDefault="00E456CD">
            <w:pPr>
              <w:pStyle w:val="Normal20"/>
            </w:pPr>
          </w:p>
        </w:tc>
      </w:tr>
    </w:tbl>
    <w:p w:rsidR="00E456CD" w:rsidRDefault="00000000">
      <w:pPr>
        <w:pStyle w:val="Normal20"/>
        <w:widowControl w:val="0"/>
        <w:spacing w:before="120" w:line="240" w:lineRule="atLeast"/>
        <w:jc w:val="both"/>
      </w:pPr>
      <w:r>
        <w:rPr>
          <w:rFonts w:ascii="Arial" w:eastAsia="Arial" w:hAnsi="Arial" w:cs="Arial"/>
          <w:b/>
          <w:sz w:val="20"/>
        </w:rPr>
        <w:t>Table1 (</w:t>
      </w:r>
      <w:bookmarkStart w:id="4069" w:name="Table1_0"/>
      <w:r>
        <w:fldChar w:fldCharType="begin"/>
      </w:r>
      <w:r>
        <w:instrText>HYPERLINK \l "Table1_insert"</w:instrText>
      </w:r>
      <w:r>
        <w:fldChar w:fldCharType="separate"/>
      </w:r>
      <w:r>
        <w:rPr>
          <w:rFonts w:ascii="Arial" w:eastAsia="Arial" w:hAnsi="Arial" w:cs="Arial"/>
          <w:color w:val="0077CC"/>
          <w:sz w:val="20"/>
          <w:u w:val="single"/>
          <w:shd w:val="clear" w:color="auto" w:fill="FFFFFF"/>
        </w:rPr>
        <w:t>Return to related document text</w:t>
      </w:r>
      <w:r>
        <w:rPr>
          <w:rFonts w:ascii="Arial" w:eastAsia="Arial" w:hAnsi="Arial" w:cs="Arial"/>
          <w:color w:val="0077CC"/>
          <w:sz w:val="20"/>
          <w:u w:val="single"/>
          <w:shd w:val="clear" w:color="auto" w:fill="FFFFFF"/>
        </w:rPr>
        <w:fldChar w:fldCharType="end"/>
      </w:r>
      <w:bookmarkEnd w:id="4069"/>
      <w:r>
        <w:rPr>
          <w:rFonts w:ascii="Arial" w:eastAsia="Arial" w:hAnsi="Arial" w:cs="Arial"/>
          <w:b/>
          <w:sz w:val="20"/>
        </w:rPr>
        <w:t>)</w:t>
      </w:r>
    </w:p>
    <w:p w:rsidR="00E456CD" w:rsidRDefault="00E456CD">
      <w:pPr>
        <w:pStyle w:val="Normal20"/>
      </w:pPr>
    </w:p>
    <w:p w:rsidR="00E456CD" w:rsidRDefault="00000000">
      <w:pPr>
        <w:pStyle w:val="Normal20"/>
        <w:ind w:left="200"/>
        <w:sectPr w:rsidR="00E456CD">
          <w:pgSz w:w="12240" w:h="15840"/>
          <w:pgMar w:top="840" w:right="1000" w:bottom="840" w:left="1000" w:header="400" w:footer="400" w:gutter="0"/>
          <w:cols w:space="720"/>
        </w:sectPr>
      </w:pPr>
      <w:r>
        <w:br/>
      </w:r>
      <w:r w:rsidR="00E22289">
        <w:rPr>
          <w:noProof/>
        </w:rPr>
        <mc:AlternateContent>
          <mc:Choice Requires="wps">
            <w:drawing>
              <wp:anchor distT="0" distB="0" distL="114300" distR="114300" simplePos="0" relativeHeight="25170329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91215689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40647" id="Line 47"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1"/>
        <w:sectPr w:rsidR="00E456CD">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gutter="0"/>
          <w:cols w:space="720"/>
          <w:titlePg/>
        </w:sectPr>
      </w:pPr>
    </w:p>
    <w:p w:rsidR="00E456CD" w:rsidRDefault="00E456CD">
      <w:pPr>
        <w:pStyle w:val="Normal21"/>
      </w:pPr>
    </w:p>
    <w:p w:rsidR="00E456CD" w:rsidRDefault="00000000">
      <w:pPr>
        <w:pStyle w:val="Heading120"/>
        <w:keepNext w:val="0"/>
        <w:widowControl w:val="0"/>
        <w:spacing w:after="200" w:line="340" w:lineRule="atLeast"/>
        <w:jc w:val="center"/>
      </w:pPr>
      <w:r>
        <w:rPr>
          <w:rFonts w:eastAsia="Arial"/>
          <w:color w:val="000000"/>
          <w:sz w:val="28"/>
        </w:rPr>
        <w:t>Mengistu v. Hous. Auth. of L.A.</w:t>
      </w:r>
    </w:p>
    <w:p w:rsidR="00E456CD" w:rsidRDefault="00000000">
      <w:pPr>
        <w:pStyle w:val="Normal21"/>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21"/>
        <w:widowControl w:val="0"/>
        <w:spacing w:before="120" w:line="260" w:lineRule="atLeast"/>
        <w:jc w:val="center"/>
      </w:pPr>
      <w:r>
        <w:rPr>
          <w:rFonts w:ascii="Arial" w:eastAsia="Arial" w:hAnsi="Arial" w:cs="Arial"/>
          <w:color w:val="000000"/>
          <w:sz w:val="20"/>
        </w:rPr>
        <w:t>April 12, 2018, Argued and Submitted, Pasadena, California; July 20, 2018, Filed</w:t>
      </w:r>
    </w:p>
    <w:p w:rsidR="00E456CD" w:rsidRDefault="00000000">
      <w:pPr>
        <w:pStyle w:val="Normal21"/>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16-56591</w:t>
      </w:r>
    </w:p>
    <w:p w:rsidR="00E456CD" w:rsidRDefault="00E456CD">
      <w:pPr>
        <w:pStyle w:val="Normal21"/>
        <w:widowControl w:val="0"/>
        <w:spacing w:line="240" w:lineRule="atLeast"/>
        <w:jc w:val="both"/>
      </w:pPr>
      <w:bookmarkStart w:id="4070" w:name="Bookmark_22"/>
      <w:bookmarkEnd w:id="4070"/>
    </w:p>
    <w:p w:rsidR="00E456CD" w:rsidRDefault="00000000">
      <w:pPr>
        <w:pStyle w:val="Normal21"/>
        <w:widowControl w:val="0"/>
        <w:spacing w:before="200" w:line="240" w:lineRule="atLeast"/>
      </w:pPr>
      <w:bookmarkStart w:id="4071" w:name="Reporter_20"/>
      <w:bookmarkEnd w:id="4071"/>
      <w:r>
        <w:rPr>
          <w:rFonts w:ascii="Arial" w:eastAsia="Arial" w:hAnsi="Arial" w:cs="Arial"/>
          <w:b/>
          <w:color w:val="000000"/>
          <w:sz w:val="18"/>
        </w:rPr>
        <w:t>Reporter</w:t>
      </w:r>
    </w:p>
    <w:p w:rsidR="00E456CD" w:rsidRDefault="00000000">
      <w:pPr>
        <w:pStyle w:val="Normal21"/>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742 Fed. Appx. 247 *; 2018 U.S. App. LEXIS 20254 **; 2018 WL 3490669</w:t>
      </w:r>
    </w:p>
    <w:p w:rsidR="00E456CD" w:rsidRDefault="00000000">
      <w:pPr>
        <w:pStyle w:val="Normal21"/>
        <w:widowControl w:val="0"/>
        <w:spacing w:before="120" w:line="260" w:lineRule="atLeast"/>
      </w:pPr>
      <w:r>
        <w:rPr>
          <w:rFonts w:ascii="Arial" w:eastAsia="Arial" w:hAnsi="Arial" w:cs="Arial"/>
          <w:color w:val="000000"/>
          <w:sz w:val="20"/>
        </w:rPr>
        <w:t>NEWAY MENGISTU, an individual, Plaintiff-Appellant, v. HOUSING AUTHORITY OF THE CITY OF LOS ANGELES, a State of California entity; and others to be joined under Rule 19 of the Federal Rules of Civil Procedure, Defendant-Appellee.</w:t>
      </w:r>
    </w:p>
    <w:p w:rsidR="00E456CD" w:rsidRDefault="00000000">
      <w:pPr>
        <w:pStyle w:val="Normal21"/>
        <w:widowControl w:val="0"/>
        <w:spacing w:before="240" w:line="260" w:lineRule="atLeast"/>
        <w:jc w:val="both"/>
      </w:pPr>
      <w:bookmarkStart w:id="4072" w:name="Notice_6"/>
      <w:bookmarkEnd w:id="4072"/>
      <w:r>
        <w:rPr>
          <w:rFonts w:ascii="Arial" w:eastAsia="Arial" w:hAnsi="Arial" w:cs="Arial"/>
          <w:b/>
          <w:color w:val="000000"/>
          <w:sz w:val="20"/>
        </w:rPr>
        <w:t>Notice:</w:t>
      </w:r>
      <w:r>
        <w:rPr>
          <w:rFonts w:ascii="Arial" w:eastAsia="Arial" w:hAnsi="Arial" w:cs="Arial"/>
          <w:color w:val="000000"/>
          <w:sz w:val="20"/>
        </w:rPr>
        <w:t> </w:t>
      </w:r>
      <w:bookmarkStart w:id="4073" w:name="Bookmark_para_1_20"/>
      <w:bookmarkEnd w:id="4073"/>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21"/>
        <w:widowControl w:val="0"/>
        <w:spacing w:before="240" w:line="260" w:lineRule="atLeast"/>
      </w:pPr>
      <w:bookmarkStart w:id="4074" w:name="Subsequent_History_6"/>
      <w:bookmarkEnd w:id="4074"/>
      <w:r>
        <w:rPr>
          <w:rFonts w:ascii="Arial" w:eastAsia="Arial" w:hAnsi="Arial" w:cs="Arial"/>
          <w:b/>
          <w:color w:val="000000"/>
          <w:sz w:val="20"/>
        </w:rPr>
        <w:t>Subsequent History:</w:t>
      </w:r>
      <w:r>
        <w:rPr>
          <w:rFonts w:ascii="Arial" w:eastAsia="Arial" w:hAnsi="Arial" w:cs="Arial"/>
          <w:color w:val="000000"/>
          <w:sz w:val="20"/>
        </w:rPr>
        <w:t> Costs and fees proceeding at, Motion granted by Mengistu v. Hous. Auth. of L.A., 2019 U.S. Dist. LEXIS 70730 (C.D. Cal., Feb. 5, 2019)</w:t>
      </w:r>
    </w:p>
    <w:p w:rsidR="00E456CD" w:rsidRDefault="00000000">
      <w:pPr>
        <w:pStyle w:val="Normal21"/>
        <w:widowControl w:val="0"/>
        <w:spacing w:before="120" w:line="260" w:lineRule="atLeast"/>
      </w:pPr>
      <w:r>
        <w:rPr>
          <w:rFonts w:ascii="Arial" w:eastAsia="Arial" w:hAnsi="Arial" w:cs="Arial"/>
          <w:color w:val="000000"/>
          <w:sz w:val="20"/>
        </w:rPr>
        <w:t>Costs and fees proceeding at, Motion granted by, Transferred by Mengistu v. Hous. Auth. of L.A., 2019 U.S. App. LEXIS 11016 (9th Cir. Cal., Apr. 15, 2019)</w:t>
      </w:r>
    </w:p>
    <w:p w:rsidR="00E456CD" w:rsidRDefault="00000000">
      <w:pPr>
        <w:pStyle w:val="Normal21"/>
        <w:widowControl w:val="0"/>
        <w:spacing w:before="240" w:line="260" w:lineRule="atLeast"/>
        <w:jc w:val="both"/>
      </w:pPr>
      <w:bookmarkStart w:id="4075" w:name="Prior_History_20"/>
      <w:bookmarkEnd w:id="4075"/>
      <w:r>
        <w:rPr>
          <w:rFonts w:ascii="Arial" w:eastAsia="Arial" w:hAnsi="Arial" w:cs="Arial"/>
          <w:b/>
          <w:color w:val="000000"/>
          <w:sz w:val="20"/>
        </w:rPr>
        <w:t>Prior History:</w:t>
      </w:r>
      <w:r>
        <w:rPr>
          <w:rFonts w:ascii="Arial" w:eastAsia="Arial" w:hAnsi="Arial" w:cs="Arial"/>
          <w:color w:val="000000"/>
          <w:sz w:val="20"/>
        </w:rPr>
        <w:t> </w:t>
      </w:r>
      <w:bookmarkStart w:id="4076" w:name="Bookmark_para_2_20"/>
      <w:bookmarkEnd w:id="4076"/>
      <w:r>
        <w:rPr>
          <w:rFonts w:ascii="Arial" w:eastAsia="Arial" w:hAnsi="Arial" w:cs="Arial"/>
          <w:color w:val="000000"/>
          <w:sz w:val="20"/>
        </w:rPr>
        <w:t> [**1] Appeal from the United States District Court for the Central District of California. D.C. No. 2:15-cv-05427-MWF-PJW. Michael W. Fitzgerald, District Judge, Presiding.</w:t>
      </w:r>
    </w:p>
    <w:p w:rsidR="00E456CD" w:rsidRDefault="00000000">
      <w:pPr>
        <w:pStyle w:val="Normal21"/>
        <w:widowControl w:val="0"/>
        <w:spacing w:before="120" w:line="260" w:lineRule="atLeast"/>
      </w:pPr>
      <w:r>
        <w:rPr>
          <w:rFonts w:ascii="Arial" w:eastAsia="Arial" w:hAnsi="Arial" w:cs="Arial"/>
          <w:color w:val="000000"/>
          <w:sz w:val="20"/>
        </w:rPr>
        <w:t>Mengistu v. Hous. Auth. of L.A., 2016 U.S. Dist. LEXIS 196218 (C.D. Cal., Sept. 27, 2016)</w:t>
      </w:r>
    </w:p>
    <w:p w:rsidR="00E456CD" w:rsidRDefault="00000000">
      <w:pPr>
        <w:pStyle w:val="Normal21"/>
        <w:widowControl w:val="0"/>
        <w:spacing w:before="240" w:line="260" w:lineRule="atLeast"/>
        <w:jc w:val="both"/>
      </w:pPr>
      <w:bookmarkStart w:id="4077" w:name="Disposition_4"/>
      <w:bookmarkEnd w:id="4077"/>
      <w:r>
        <w:rPr>
          <w:rFonts w:ascii="Arial" w:eastAsia="Arial" w:hAnsi="Arial" w:cs="Arial"/>
          <w:b/>
          <w:color w:val="000000"/>
          <w:sz w:val="20"/>
        </w:rPr>
        <w:t>Disposition:</w:t>
      </w:r>
      <w:r>
        <w:rPr>
          <w:rFonts w:ascii="Arial" w:eastAsia="Arial" w:hAnsi="Arial" w:cs="Arial"/>
          <w:color w:val="000000"/>
          <w:sz w:val="20"/>
        </w:rPr>
        <w:t> </w:t>
      </w:r>
      <w:bookmarkStart w:id="4078" w:name="Bookmark_clspara_4_4"/>
      <w:bookmarkEnd w:id="4078"/>
      <w:r>
        <w:rPr>
          <w:rFonts w:ascii="Arial" w:eastAsia="Arial" w:hAnsi="Arial" w:cs="Arial"/>
          <w:color w:val="000000"/>
          <w:sz w:val="20"/>
        </w:rPr>
        <w:t>REVERSED AND REMANDED.</w:t>
      </w:r>
    </w:p>
    <w:p w:rsidR="00E456CD" w:rsidRDefault="00000000">
      <w:pPr>
        <w:pStyle w:val="Normal21"/>
        <w:widowControl w:val="0"/>
        <w:spacing w:before="240" w:line="260" w:lineRule="atLeast"/>
      </w:pPr>
      <w:bookmarkStart w:id="4079" w:name="Counsel_20"/>
      <w:bookmarkEnd w:id="4079"/>
      <w:r>
        <w:rPr>
          <w:rFonts w:ascii="Arial" w:eastAsia="Arial" w:hAnsi="Arial" w:cs="Arial"/>
          <w:b/>
          <w:color w:val="000000"/>
          <w:sz w:val="20"/>
        </w:rPr>
        <w:t>Counsel:</w:t>
      </w:r>
      <w:r>
        <w:rPr>
          <w:rFonts w:ascii="Arial" w:eastAsia="Arial" w:hAnsi="Arial" w:cs="Arial"/>
          <w:color w:val="000000"/>
          <w:sz w:val="20"/>
        </w:rPr>
        <w:t> For NEWAY MENGISTU, an individual, Plaintiff - Appellant: David Iyalomhe, Esquire, Attorney, Law Offices of Iyalomhe &amp; Associates, Los Angeles, CA; Odion Okojie, Esquire, Attorney, Law Offices of Odion Leslie Okojie, Los Angeles, CA.</w:t>
      </w:r>
    </w:p>
    <w:p w:rsidR="00E456CD" w:rsidRDefault="00000000">
      <w:pPr>
        <w:pStyle w:val="Normal21"/>
        <w:widowControl w:val="0"/>
        <w:spacing w:before="120" w:line="260" w:lineRule="atLeast"/>
      </w:pPr>
      <w:r>
        <w:rPr>
          <w:rFonts w:ascii="Arial" w:eastAsia="Arial" w:hAnsi="Arial" w:cs="Arial"/>
          <w:color w:val="000000"/>
          <w:sz w:val="20"/>
        </w:rPr>
        <w:t>For HOUSING AUTHORITY OF THE CITY OF LOS ANGELES, a State of California entity; and others to be joined under Rule 19 of the Federal Rules of Civil Procedure, Defendant - Appellee: Reginald Roberts, Jr., Esquire, Sanders Roberts &amp; Jewett LLP, Los Angeles, CA.</w:t>
      </w:r>
    </w:p>
    <w:p w:rsidR="00E456CD" w:rsidRDefault="00000000">
      <w:pPr>
        <w:pStyle w:val="Normal21"/>
        <w:widowControl w:val="0"/>
        <w:spacing w:before="240" w:line="260" w:lineRule="atLeast"/>
      </w:pPr>
      <w:bookmarkStart w:id="4080" w:name="Judges_20"/>
      <w:bookmarkEnd w:id="4080"/>
      <w:r>
        <w:rPr>
          <w:rFonts w:ascii="Arial" w:eastAsia="Arial" w:hAnsi="Arial" w:cs="Arial"/>
          <w:b/>
          <w:color w:val="000000"/>
          <w:sz w:val="20"/>
        </w:rPr>
        <w:t>Judges:</w:t>
      </w:r>
      <w:r>
        <w:rPr>
          <w:rFonts w:ascii="Arial" w:eastAsia="Arial" w:hAnsi="Arial" w:cs="Arial"/>
          <w:color w:val="000000"/>
          <w:sz w:val="20"/>
        </w:rPr>
        <w:t> Before: SCHROEDER and M. SMITH, Circuit Judges, and CHEN,</w:t>
      </w:r>
      <w:r>
        <w:rPr>
          <w:rFonts w:ascii="Arial" w:eastAsia="Arial" w:hAnsi="Arial" w:cs="Arial"/>
          <w:vertAlign w:val="superscript"/>
        </w:rPr>
        <w:footnoteReference w:customMarkFollows="1" w:id="183"/>
        <w:t>**</w:t>
      </w:r>
      <w:r>
        <w:rPr>
          <w:rFonts w:ascii="Arial" w:eastAsia="Arial" w:hAnsi="Arial" w:cs="Arial"/>
          <w:color w:val="000000"/>
          <w:sz w:val="20"/>
        </w:rPr>
        <w:t xml:space="preserve"> District Judge. M. SMITH, Circuit Judge, dissenting.</w:t>
      </w:r>
    </w:p>
    <w:p w:rsidR="00E456CD" w:rsidRDefault="00000000">
      <w:pPr>
        <w:pStyle w:val="Normal21"/>
        <w:keepNext/>
        <w:widowControl w:val="0"/>
        <w:spacing w:before="240" w:line="340" w:lineRule="atLeast"/>
      </w:pPr>
      <w:bookmarkStart w:id="4082" w:name="Opinion_20"/>
      <w:bookmarkEnd w:id="4082"/>
      <w:r>
        <w:rPr>
          <w:rFonts w:ascii="Arial" w:eastAsia="Arial" w:hAnsi="Arial" w:cs="Arial"/>
          <w:b/>
          <w:color w:val="000000"/>
          <w:sz w:val="28"/>
        </w:rPr>
        <w:t>Opinion</w:t>
      </w:r>
    </w:p>
    <w:p w:rsidR="00E456CD" w:rsidRDefault="00E22289">
      <w:pPr>
        <w:pStyle w:val="Normal21"/>
        <w:spacing w:line="60" w:lineRule="exact"/>
      </w:pPr>
      <w:r>
        <w:rPr>
          <w:noProof/>
        </w:rPr>
        <mc:AlternateContent>
          <mc:Choice Requires="wps">
            <w:drawing>
              <wp:anchor distT="0" distB="0" distL="114300" distR="114300" simplePos="0" relativeHeight="25170432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314186731"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DD3D1" id="Line 48"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1"/>
        <w:spacing w:line="120" w:lineRule="exact"/>
      </w:pPr>
    </w:p>
    <w:p w:rsidR="00E456CD" w:rsidRDefault="00000000">
      <w:pPr>
        <w:pStyle w:val="Normal21"/>
        <w:widowControl w:val="0"/>
        <w:spacing w:before="240" w:line="260" w:lineRule="atLeast"/>
      </w:pPr>
      <w:r>
        <w:br/>
      </w:r>
      <w:r>
        <w:rPr>
          <w:rFonts w:ascii="Arial" w:eastAsia="Arial" w:hAnsi="Arial" w:cs="Arial"/>
          <w:color w:val="000000"/>
          <w:sz w:val="20"/>
        </w:rPr>
        <w:t> [*248]  MEMORANDUM</w:t>
      </w:r>
      <w:r>
        <w:rPr>
          <w:rFonts w:ascii="Arial" w:eastAsia="Arial" w:hAnsi="Arial" w:cs="Arial"/>
          <w:vertAlign w:val="superscript"/>
        </w:rPr>
        <w:footnoteReference w:customMarkFollows="1" w:id="184"/>
        <w:t>*</w:t>
      </w:r>
    </w:p>
    <w:p w:rsidR="00E456CD" w:rsidRDefault="00000000">
      <w:pPr>
        <w:pStyle w:val="Normal21"/>
        <w:widowControl w:val="0"/>
        <w:spacing w:before="200" w:line="260" w:lineRule="atLeast"/>
        <w:jc w:val="both"/>
      </w:pPr>
      <w:bookmarkStart w:id="4084" w:name="Bookmark_para_3_20"/>
      <w:bookmarkEnd w:id="4084"/>
      <w:r>
        <w:rPr>
          <w:rFonts w:ascii="Arial" w:eastAsia="Arial" w:hAnsi="Arial" w:cs="Arial"/>
          <w:color w:val="000000"/>
          <w:sz w:val="20"/>
        </w:rPr>
        <w:t xml:space="preserve">Plaintiff-Appellant Neway Mengistu appeals the district court's entry of summary judgment in favor of Defendant-Appellee, the Housing Authority of the City of Los Angeles ("HACLA"), which had denied his request for a third bedroom to house equipment he claimed would be medically necessary. He brought this action under Title VIII of the Civil Rights Act of 1968 (the Fair Housing Act), as amended by the Fair Housing Amendments Act of 1988, 42 U.S.C. § 3601 </w:t>
      </w:r>
      <w:r>
        <w:rPr>
          <w:rFonts w:ascii="Arial" w:eastAsia="Arial" w:hAnsi="Arial" w:cs="Arial"/>
          <w:i/>
          <w:color w:val="000000"/>
          <w:sz w:val="20"/>
        </w:rPr>
        <w:t>et seq.</w:t>
      </w:r>
      <w:r>
        <w:rPr>
          <w:rFonts w:ascii="Arial" w:eastAsia="Arial" w:hAnsi="Arial" w:cs="Arial"/>
          <w:color w:val="000000"/>
          <w:sz w:val="20"/>
        </w:rPr>
        <w:t xml:space="preserve">; the Americans with Disabilities Act, 42 U.S.C. § 12131 </w:t>
      </w:r>
      <w:r>
        <w:rPr>
          <w:rFonts w:ascii="Arial" w:eastAsia="Arial" w:hAnsi="Arial" w:cs="Arial"/>
          <w:i/>
          <w:color w:val="000000"/>
          <w:sz w:val="20"/>
        </w:rPr>
        <w:t>et seq.</w:t>
      </w:r>
      <w:r>
        <w:rPr>
          <w:rFonts w:ascii="Arial" w:eastAsia="Arial" w:hAnsi="Arial" w:cs="Arial"/>
          <w:color w:val="000000"/>
          <w:sz w:val="20"/>
        </w:rPr>
        <w:t xml:space="preserve">; [**2]  Section 504 of the Rehabilitation Act of 1973, 29 U.S.C. § 794 </w:t>
      </w:r>
      <w:r>
        <w:rPr>
          <w:rFonts w:ascii="Arial" w:eastAsia="Arial" w:hAnsi="Arial" w:cs="Arial"/>
          <w:i/>
          <w:color w:val="000000"/>
          <w:sz w:val="20"/>
        </w:rPr>
        <w:t>et seq.</w:t>
      </w:r>
      <w:r>
        <w:rPr>
          <w:rFonts w:ascii="Arial" w:eastAsia="Arial" w:hAnsi="Arial" w:cs="Arial"/>
          <w:color w:val="000000"/>
          <w:sz w:val="20"/>
        </w:rPr>
        <w:t xml:space="preserve">; California's Unruh Civil Rights Act, Cal. Civ. Code § 51 </w:t>
      </w:r>
      <w:r>
        <w:rPr>
          <w:rFonts w:ascii="Arial" w:eastAsia="Arial" w:hAnsi="Arial" w:cs="Arial"/>
          <w:i/>
          <w:color w:val="000000"/>
          <w:sz w:val="20"/>
        </w:rPr>
        <w:t>et seq.</w:t>
      </w:r>
      <w:r>
        <w:rPr>
          <w:rFonts w:ascii="Arial" w:eastAsia="Arial" w:hAnsi="Arial" w:cs="Arial"/>
          <w:color w:val="000000"/>
          <w:sz w:val="20"/>
        </w:rPr>
        <w:t xml:space="preserve">; and California's Fair Employment and Housing Act, Cal. Gov. Code § 12900 </w:t>
      </w:r>
      <w:r>
        <w:rPr>
          <w:rFonts w:ascii="Arial" w:eastAsia="Arial" w:hAnsi="Arial" w:cs="Arial"/>
          <w:i/>
          <w:color w:val="000000"/>
          <w:sz w:val="20"/>
        </w:rPr>
        <w:t>et seq.</w:t>
      </w:r>
      <w:r>
        <w:rPr>
          <w:rFonts w:ascii="Arial" w:eastAsia="Arial" w:hAnsi="Arial" w:cs="Arial"/>
          <w:color w:val="000000"/>
          <w:sz w:val="20"/>
        </w:rPr>
        <w:t xml:space="preserve"> All require that HACLA make reasonable accommodations for physical disabilities.</w:t>
      </w:r>
    </w:p>
    <w:p w:rsidR="00E456CD" w:rsidRDefault="00000000">
      <w:pPr>
        <w:pStyle w:val="Normal21"/>
        <w:widowControl w:val="0"/>
        <w:spacing w:before="200" w:line="260" w:lineRule="atLeast"/>
        <w:jc w:val="both"/>
      </w:pPr>
      <w:bookmarkStart w:id="4085" w:name="Bookmark_para_4_20"/>
      <w:bookmarkEnd w:id="4085"/>
      <w:r>
        <w:rPr>
          <w:rFonts w:ascii="Arial" w:eastAsia="Arial" w:hAnsi="Arial" w:cs="Arial"/>
          <w:color w:val="000000"/>
          <w:sz w:val="20"/>
        </w:rPr>
        <w:t>The parties do not dispute that Mengistu is disabled and requires use of a wheelchair. He requires one bedroom for himself and one for a full-time attendant; Mengistu asked for the third bedroom for the purpose of storing large exercise equipment that would be used to strengthen his atrophying muscles. Mengistu provided letters from his medical providers stating that the equipment was necessary because it would enable him to engage in exercise with the assistance of a trainer to strengthen his muscles and improve his cardiovascular system. A gym was not a practical alternative because, according to one of his physicians, it "would take an army of people: to get him there, to get him transferred to the equipment" and he would have to stop after only 15 minutes. Having the equipment in his apartment, on the other hand, would allow him to exercise in short intervals throughout the day. The physicians agreed that Mengistu could do some exercises without the equipment, but there was [**3]  no evidence that the benefits, cardiovascular or otherwise, would have been comparable to those provided by the exercise equipment; a rower, recumbent bike, and pulley system would allow him to be securely seated and eliminate the need to move unguided weights. The doctors described the equipment as a medical necessity.</w:t>
      </w:r>
    </w:p>
    <w:p w:rsidR="00E456CD" w:rsidRDefault="00000000">
      <w:pPr>
        <w:pStyle w:val="Normal21"/>
        <w:widowControl w:val="0"/>
        <w:spacing w:before="200" w:line="260" w:lineRule="atLeast"/>
        <w:jc w:val="both"/>
      </w:pPr>
      <w:bookmarkStart w:id="4086" w:name="Bookmark_para_5_20"/>
      <w:bookmarkStart w:id="4087" w:name="Bookmark_I5T1JWPB2HM6XW0020000400"/>
      <w:bookmarkEnd w:id="4086"/>
      <w:bookmarkEnd w:id="4087"/>
      <w:r>
        <w:rPr>
          <w:rFonts w:ascii="Arial" w:eastAsia="Arial" w:hAnsi="Arial" w:cs="Arial"/>
          <w:color w:val="000000"/>
          <w:sz w:val="20"/>
        </w:rPr>
        <w:t xml:space="preserve">There is no dispute that HACLA was required to reasonably accommodate Appellant's disability. </w:t>
      </w:r>
      <w:bookmarkStart w:id="4088" w:name="Bookmark_LNHNREFclscc1_18"/>
      <w:bookmarkEnd w:id="4088"/>
      <w:r>
        <w:rPr>
          <w:rFonts w:ascii="Arial" w:eastAsia="Arial" w:hAnsi="Arial" w:cs="Arial"/>
          <w:color w:val="000000"/>
          <w:sz w:val="20"/>
        </w:rPr>
        <w:t xml:space="preserve">The agency's reason for denying a particular accommodation and the reasonableness of a particular accommodation are material questions of fact which turn "on the individual circumstances of each case." </w:t>
      </w:r>
      <w:bookmarkStart w:id="4089" w:name="Bookmark_I5T1JWPB2HM6XW0010000400"/>
      <w:bookmarkEnd w:id="4089"/>
      <w:r>
        <w:rPr>
          <w:rFonts w:ascii="Arial" w:eastAsia="Arial" w:hAnsi="Arial" w:cs="Arial"/>
          <w:i/>
          <w:color w:val="000000"/>
          <w:sz w:val="20"/>
        </w:rPr>
        <w:t>Vinson v. Thomas</w:t>
      </w:r>
      <w:r>
        <w:rPr>
          <w:rFonts w:ascii="Arial" w:eastAsia="Arial" w:hAnsi="Arial" w:cs="Arial"/>
          <w:color w:val="000000"/>
          <w:sz w:val="20"/>
        </w:rPr>
        <w:t xml:space="preserve">, 288 F.3d 1145, 1154 (9th Cir. 2002) (citation omitted); </w:t>
      </w:r>
      <w:r>
        <w:rPr>
          <w:rFonts w:ascii="Arial" w:eastAsia="Arial" w:hAnsi="Arial" w:cs="Arial"/>
          <w:i/>
          <w:color w:val="000000"/>
          <w:sz w:val="20"/>
        </w:rPr>
        <w:t xml:space="preserve">see </w:t>
      </w:r>
      <w:bookmarkStart w:id="4090" w:name="Bookmark_I5T1JWPB2HM6XW0030000400"/>
      <w:bookmarkEnd w:id="4090"/>
      <w:r>
        <w:rPr>
          <w:rFonts w:ascii="Arial" w:eastAsia="Arial" w:hAnsi="Arial" w:cs="Arial"/>
          <w:i/>
          <w:color w:val="000000"/>
          <w:sz w:val="20"/>
        </w:rPr>
        <w:t>Mustafa v. Clark Cty. Sch. Dist.</w:t>
      </w:r>
      <w:r>
        <w:rPr>
          <w:rFonts w:ascii="Arial" w:eastAsia="Arial" w:hAnsi="Arial" w:cs="Arial"/>
          <w:color w:val="000000"/>
          <w:sz w:val="20"/>
        </w:rPr>
        <w:t>, 157 F.3d 1169, 1176-77 (9th Cir. 1998). In this case, Mr. Mengistu produced sufficient medical documentation to defeat HACLA's motion for summary judgment. Given the unique constraints on Mr. Mengistu's ability to access external health facilities, a jury could reasonably find that Mr. Mengistu's requested accommodation was reasonable and HACLA's denial was not based on a failure to certify the need for the equipment.</w:t>
      </w:r>
    </w:p>
    <w:p w:rsidR="00E456CD" w:rsidRDefault="00000000">
      <w:pPr>
        <w:pStyle w:val="Normal21"/>
        <w:widowControl w:val="0"/>
        <w:spacing w:before="200" w:line="260" w:lineRule="atLeast"/>
        <w:jc w:val="both"/>
      </w:pPr>
      <w:bookmarkStart w:id="4091" w:name="Bookmark_para_6_20"/>
      <w:bookmarkEnd w:id="4091"/>
      <w:r>
        <w:rPr>
          <w:rFonts w:ascii="Arial" w:eastAsia="Arial" w:hAnsi="Arial" w:cs="Arial"/>
          <w:color w:val="000000"/>
          <w:sz w:val="20"/>
        </w:rPr>
        <w:t xml:space="preserve"> [*249]  </w:t>
      </w:r>
      <w:bookmarkStart w:id="4092" w:name="Bookmark_I4SR66MG77N000063KP0009C"/>
      <w:bookmarkStart w:id="4093" w:name="Bookmark_I5T1JWPB2N1PPB0010000400"/>
      <w:bookmarkEnd w:id="4092"/>
      <w:bookmarkEnd w:id="4093"/>
      <w:r>
        <w:rPr>
          <w:rFonts w:ascii="Arial" w:eastAsia="Arial" w:hAnsi="Arial" w:cs="Arial"/>
          <w:color w:val="000000"/>
          <w:sz w:val="20"/>
        </w:rPr>
        <w:t xml:space="preserve">The district court, however, dismissed the action on the ground that Mr. Mengistu had not sufficiently demonstrated a nexus between the disability and the need for a third bedroom. [**4]  But the district court erred in relying on </w:t>
      </w:r>
      <w:bookmarkStart w:id="4094" w:name="Bookmark_I5T1JWPB2HM6XW0050000400"/>
      <w:bookmarkEnd w:id="4094"/>
      <w:r>
        <w:rPr>
          <w:rFonts w:ascii="Arial" w:eastAsia="Arial" w:hAnsi="Arial" w:cs="Arial"/>
          <w:i/>
          <w:color w:val="000000"/>
          <w:sz w:val="20"/>
        </w:rPr>
        <w:t>Weinreich v. L.A. County Metro. Transp. Auth.</w:t>
      </w:r>
      <w:r>
        <w:rPr>
          <w:rFonts w:ascii="Arial" w:eastAsia="Arial" w:hAnsi="Arial" w:cs="Arial"/>
          <w:color w:val="000000"/>
          <w:sz w:val="20"/>
        </w:rPr>
        <w:t xml:space="preserve">, 114 F.3d 976, 978 (9th Cir. 1997). In </w:t>
      </w:r>
      <w:r>
        <w:rPr>
          <w:rFonts w:ascii="Arial" w:eastAsia="Arial" w:hAnsi="Arial" w:cs="Arial"/>
          <w:i/>
          <w:color w:val="000000"/>
          <w:sz w:val="20"/>
        </w:rPr>
        <w:t>Weinreich</w:t>
      </w:r>
      <w:r>
        <w:rPr>
          <w:rFonts w:ascii="Arial" w:eastAsia="Arial" w:hAnsi="Arial" w:cs="Arial"/>
          <w:color w:val="000000"/>
          <w:sz w:val="20"/>
        </w:rPr>
        <w:t xml:space="preserve">, a decade elapsed between the time the plaintiff initially offered medical evidence certifying his disability and the time the agency sought to confirm that the plaintiff was still disabled and eligible for the benefit. </w:t>
      </w:r>
      <w:r>
        <w:rPr>
          <w:rFonts w:ascii="Arial" w:eastAsia="Arial" w:hAnsi="Arial" w:cs="Arial"/>
          <w:i/>
          <w:color w:val="000000"/>
          <w:sz w:val="20"/>
        </w:rPr>
        <w:t>See id.</w:t>
      </w:r>
      <w:r>
        <w:rPr>
          <w:rFonts w:ascii="Arial" w:eastAsia="Arial" w:hAnsi="Arial" w:cs="Arial"/>
          <w:color w:val="000000"/>
          <w:sz w:val="20"/>
        </w:rPr>
        <w:t xml:space="preserve"> The plaintiff in </w:t>
      </w:r>
      <w:r>
        <w:rPr>
          <w:rFonts w:ascii="Arial" w:eastAsia="Arial" w:hAnsi="Arial" w:cs="Arial"/>
          <w:i/>
          <w:color w:val="000000"/>
          <w:sz w:val="20"/>
        </w:rPr>
        <w:t>Weinreich</w:t>
      </w:r>
      <w:r>
        <w:rPr>
          <w:rFonts w:ascii="Arial" w:eastAsia="Arial" w:hAnsi="Arial" w:cs="Arial"/>
          <w:color w:val="000000"/>
          <w:sz w:val="20"/>
        </w:rPr>
        <w:t xml:space="preserve"> did not provide any updated certification. We held the plaintiff ultimately failed to show his exclusion from the relevant benefit program "was due to his disability." </w:t>
      </w:r>
      <w:r>
        <w:rPr>
          <w:rFonts w:ascii="Arial" w:eastAsia="Arial" w:hAnsi="Arial" w:cs="Arial"/>
          <w:i/>
          <w:color w:val="000000"/>
          <w:sz w:val="20"/>
        </w:rPr>
        <w:t>Id.</w:t>
      </w:r>
    </w:p>
    <w:p w:rsidR="00E456CD" w:rsidRDefault="00000000">
      <w:pPr>
        <w:pStyle w:val="Normal21"/>
        <w:widowControl w:val="0"/>
        <w:spacing w:before="200" w:line="260" w:lineRule="atLeast"/>
        <w:jc w:val="both"/>
      </w:pPr>
      <w:bookmarkStart w:id="4095" w:name="Bookmark_para_7_20"/>
      <w:bookmarkEnd w:id="4095"/>
      <w:r>
        <w:rPr>
          <w:rFonts w:ascii="Arial" w:eastAsia="Arial" w:hAnsi="Arial" w:cs="Arial"/>
          <w:color w:val="000000"/>
          <w:sz w:val="20"/>
        </w:rPr>
        <w:t xml:space="preserve">Here, there was no similar need for any updated certification, as Mr. Mengistu's doctors timely responded and confirmed the need for the equipment. Mr. Mengistu requested the third bedroom in November of 2014. </w:t>
      </w:r>
      <w:bookmarkStart w:id="4096" w:name="Bookmark_I5T1JWPB2N1PPB0030000400"/>
      <w:bookmarkEnd w:id="4096"/>
      <w:r>
        <w:rPr>
          <w:rFonts w:ascii="Arial" w:eastAsia="Arial" w:hAnsi="Arial" w:cs="Arial"/>
          <w:color w:val="000000"/>
          <w:sz w:val="20"/>
        </w:rPr>
        <w:t xml:space="preserve">After Mr. Mengistu received notice that his request failed to list the equipment, and after HACLA's Manuel Canela spoke with Dr. Kaszubowski on the phone on January 12, 2015, Doctors Kaszubowski and Gurevitch each submitted letters in February of 2015 stating the listed equipment was a medical necessity. HACLA nevertheless denied the request. </w:t>
      </w:r>
      <w:bookmarkStart w:id="4097" w:name="Bookmark_LNHNREFclscc2_18"/>
      <w:bookmarkEnd w:id="4097"/>
      <w:r>
        <w:rPr>
          <w:rFonts w:ascii="Arial" w:eastAsia="Arial" w:hAnsi="Arial" w:cs="Arial"/>
          <w:color w:val="000000"/>
          <w:sz w:val="20"/>
        </w:rPr>
        <w:t xml:space="preserve">This Court has emphasized that "[a] public agency may require reasonable evidence of a disability before providing accommodations," but an agency "may not, however, [**5]  insist on data supporting a claim of disability beyond that which would satisfy a reasonable expert in the field." </w:t>
      </w:r>
      <w:bookmarkStart w:id="4098" w:name="Bookmark_I5T1JWPB2N1PPB0020000400"/>
      <w:bookmarkEnd w:id="4098"/>
      <w:r>
        <w:rPr>
          <w:rFonts w:ascii="Arial" w:eastAsia="Arial" w:hAnsi="Arial" w:cs="Arial"/>
          <w:i/>
          <w:color w:val="000000"/>
          <w:sz w:val="20"/>
        </w:rPr>
        <w:t>Vinson</w:t>
      </w:r>
      <w:r>
        <w:rPr>
          <w:rFonts w:ascii="Arial" w:eastAsia="Arial" w:hAnsi="Arial" w:cs="Arial"/>
          <w:color w:val="000000"/>
          <w:sz w:val="20"/>
        </w:rPr>
        <w:t>, 288 F.3d at 1153. A reasonable jury could conclude that the requested accommodation was reasonable and that the agency denied Mr. Mengistu's request solely because it chose to disregard his medical evidence, and not because of any stale documentation.</w:t>
      </w:r>
    </w:p>
    <w:p w:rsidR="00E456CD" w:rsidRDefault="00000000">
      <w:pPr>
        <w:pStyle w:val="Normal21"/>
        <w:widowControl w:val="0"/>
        <w:spacing w:before="200" w:line="260" w:lineRule="atLeast"/>
        <w:jc w:val="both"/>
      </w:pPr>
      <w:bookmarkStart w:id="4099" w:name="Bookmark_para_8_20"/>
      <w:bookmarkStart w:id="4100" w:name="Bookmark_I5Y03WWG2D6NXD0010000400"/>
      <w:bookmarkEnd w:id="4099"/>
      <w:bookmarkEnd w:id="4100"/>
      <w:r>
        <w:rPr>
          <w:rFonts w:ascii="Arial" w:eastAsia="Arial" w:hAnsi="Arial" w:cs="Arial"/>
          <w:color w:val="000000"/>
          <w:sz w:val="20"/>
        </w:rPr>
        <w:t>The doubts expressed by our dissenting colleague are to be resolved by the jury. Because Mr. Mengistu has raised material questions of fact surrounding the reasonableness of his requested accommodation and HACLA's reasons for denying it, HACLA is not entitled to summary judgment on this disputed record.</w:t>
      </w:r>
    </w:p>
    <w:p w:rsidR="00E456CD" w:rsidRDefault="00000000">
      <w:pPr>
        <w:pStyle w:val="Normal21"/>
        <w:widowControl w:val="0"/>
        <w:spacing w:before="200" w:line="260" w:lineRule="atLeast"/>
        <w:jc w:val="both"/>
      </w:pPr>
      <w:bookmarkStart w:id="4101" w:name="Bookmark_para_9_20"/>
      <w:bookmarkEnd w:id="4101"/>
      <w:r>
        <w:rPr>
          <w:rFonts w:ascii="Arial" w:eastAsia="Arial" w:hAnsi="Arial" w:cs="Arial"/>
          <w:b/>
          <w:color w:val="000000"/>
          <w:sz w:val="20"/>
        </w:rPr>
        <w:t>REVERSED AND REMANDED</w:t>
      </w:r>
      <w:r>
        <w:rPr>
          <w:rFonts w:ascii="Arial" w:eastAsia="Arial" w:hAnsi="Arial" w:cs="Arial"/>
          <w:color w:val="000000"/>
          <w:sz w:val="20"/>
        </w:rPr>
        <w:t>.</w:t>
      </w:r>
    </w:p>
    <w:p w:rsidR="00E456CD" w:rsidRDefault="00000000">
      <w:pPr>
        <w:pStyle w:val="Normal21"/>
        <w:widowControl w:val="0"/>
        <w:spacing w:before="240" w:line="260" w:lineRule="atLeast"/>
      </w:pPr>
      <w:bookmarkStart w:id="4102" w:name="Dissent_by_1"/>
      <w:bookmarkEnd w:id="4102"/>
      <w:r>
        <w:rPr>
          <w:rFonts w:ascii="Arial" w:eastAsia="Arial" w:hAnsi="Arial" w:cs="Arial"/>
          <w:b/>
          <w:color w:val="000000"/>
          <w:sz w:val="20"/>
        </w:rPr>
        <w:t>Dissent by:</w:t>
      </w:r>
      <w:r>
        <w:rPr>
          <w:rFonts w:ascii="Arial" w:eastAsia="Arial" w:hAnsi="Arial" w:cs="Arial"/>
          <w:color w:val="000000"/>
          <w:sz w:val="20"/>
        </w:rPr>
        <w:t> M. SMITH.</w:t>
      </w:r>
    </w:p>
    <w:p w:rsidR="00E456CD" w:rsidRDefault="00000000">
      <w:pPr>
        <w:pStyle w:val="Normal21"/>
        <w:keepNext/>
        <w:widowControl w:val="0"/>
        <w:spacing w:before="240" w:line="340" w:lineRule="atLeast"/>
      </w:pPr>
      <w:bookmarkStart w:id="4103" w:name="Dissent_1"/>
      <w:bookmarkEnd w:id="4103"/>
      <w:r>
        <w:rPr>
          <w:rFonts w:ascii="Arial" w:eastAsia="Arial" w:hAnsi="Arial" w:cs="Arial"/>
          <w:b/>
          <w:color w:val="000000"/>
          <w:sz w:val="28"/>
        </w:rPr>
        <w:t>Dissent</w:t>
      </w:r>
    </w:p>
    <w:p w:rsidR="00E456CD" w:rsidRDefault="00E22289">
      <w:pPr>
        <w:pStyle w:val="Normal21"/>
        <w:spacing w:line="60" w:lineRule="exact"/>
      </w:pPr>
      <w:r>
        <w:rPr>
          <w:noProof/>
        </w:rPr>
        <mc:AlternateContent>
          <mc:Choice Requires="wps">
            <w:drawing>
              <wp:anchor distT="0" distB="0" distL="114300" distR="114300" simplePos="0" relativeHeight="25170534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750067763"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BAF4BE" id="Line 49"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1"/>
      </w:pPr>
    </w:p>
    <w:p w:rsidR="00E456CD" w:rsidRDefault="00000000">
      <w:pPr>
        <w:pStyle w:val="Normal21"/>
        <w:widowControl w:val="0"/>
        <w:spacing w:before="200" w:line="260" w:lineRule="atLeast"/>
        <w:jc w:val="both"/>
      </w:pPr>
      <w:bookmarkStart w:id="4104" w:name="Bookmark_para_10_20"/>
      <w:bookmarkEnd w:id="4104"/>
      <w:r>
        <w:rPr>
          <w:rFonts w:ascii="Arial" w:eastAsia="Arial" w:hAnsi="Arial" w:cs="Arial"/>
          <w:color w:val="000000"/>
          <w:sz w:val="20"/>
        </w:rPr>
        <w:t>M. SMITH, Circuit Judge, dissenting:</w:t>
      </w:r>
    </w:p>
    <w:p w:rsidR="00E456CD" w:rsidRDefault="00000000">
      <w:pPr>
        <w:pStyle w:val="Normal21"/>
        <w:widowControl w:val="0"/>
        <w:spacing w:before="200" w:line="260" w:lineRule="atLeast"/>
        <w:jc w:val="both"/>
      </w:pPr>
      <w:bookmarkStart w:id="4105" w:name="Bookmark_para_11_20"/>
      <w:bookmarkStart w:id="4106" w:name="Bookmark_I4SR66MGBS3000063KP0009F"/>
      <w:bookmarkStart w:id="4107" w:name="Bookmark_I5T1JWPB2N1PPB0050000400"/>
      <w:bookmarkStart w:id="4108" w:name="Bookmark_I4SR66MGG74000063KP0009H"/>
      <w:bookmarkStart w:id="4109" w:name="Bookmark_I5T1JWPC28T4MG0020000400"/>
      <w:bookmarkEnd w:id="4105"/>
      <w:bookmarkEnd w:id="4106"/>
      <w:bookmarkEnd w:id="4107"/>
      <w:bookmarkEnd w:id="4108"/>
      <w:bookmarkEnd w:id="4109"/>
      <w:r>
        <w:rPr>
          <w:rFonts w:ascii="Arial" w:eastAsia="Arial" w:hAnsi="Arial" w:cs="Arial"/>
          <w:color w:val="000000"/>
          <w:sz w:val="20"/>
        </w:rPr>
        <w:t xml:space="preserve">A disabled plaintiff is entitled to a housing accommodation only if the accommodation "both 'may be necessary to afford [him] equal opportunity to use and enjoy a dwelling' and [is] 'reasonable' within the meaning of that statute." </w:t>
      </w:r>
      <w:bookmarkStart w:id="4110" w:name="Bookmark_I5T1JWPB2N1PPB0040000400"/>
      <w:bookmarkEnd w:id="4110"/>
      <w:r>
        <w:rPr>
          <w:rFonts w:ascii="Arial" w:eastAsia="Arial" w:hAnsi="Arial" w:cs="Arial"/>
          <w:i/>
          <w:color w:val="000000"/>
          <w:sz w:val="20"/>
        </w:rPr>
        <w:t>Giebeler v. M &amp; B Assocs.</w:t>
      </w:r>
      <w:r>
        <w:rPr>
          <w:rFonts w:ascii="Arial" w:eastAsia="Arial" w:hAnsi="Arial" w:cs="Arial"/>
          <w:color w:val="000000"/>
          <w:sz w:val="20"/>
        </w:rPr>
        <w:t xml:space="preserve">, 343 F.3d 1143, 1155 (9th Cir. 2003) (first alteration in original) (quoting 42 U.S.C. § 3604(f)(3)(B)). Here, Mengistu sought a voucher for a third bedroom to store oversized exercise equipment. After Mengistu's doctors submitted letters stating that Mengistu's requested machines were medically necessary, [**6]  HACLA sought to verify his eligibility for the voucher, as it was entitled to do. </w:t>
      </w:r>
      <w:r>
        <w:rPr>
          <w:rFonts w:ascii="Arial" w:eastAsia="Arial" w:hAnsi="Arial" w:cs="Arial"/>
          <w:i/>
          <w:color w:val="000000"/>
          <w:sz w:val="20"/>
        </w:rPr>
        <w:t xml:space="preserve">Cf. </w:t>
      </w:r>
      <w:bookmarkStart w:id="4111" w:name="Bookmark_I5T1JWPC28T4MG0010000400"/>
      <w:bookmarkEnd w:id="4111"/>
      <w:r>
        <w:rPr>
          <w:rFonts w:ascii="Arial" w:eastAsia="Arial" w:hAnsi="Arial" w:cs="Arial"/>
          <w:i/>
          <w:color w:val="000000"/>
          <w:sz w:val="20"/>
        </w:rPr>
        <w:t>Weinreich v. L.A. Cty. Metro. Transp. Auth.</w:t>
      </w:r>
      <w:r>
        <w:rPr>
          <w:rFonts w:ascii="Arial" w:eastAsia="Arial" w:hAnsi="Arial" w:cs="Arial"/>
          <w:color w:val="000000"/>
          <w:sz w:val="20"/>
        </w:rPr>
        <w:t>, 114 F.3d 976, 978-79 (9th Cir. 1997) (affirming that a program's certification requirement did not violate the ADA and he was not excluded from the program based on his disability, but based on his failure to provide updated certification on his disability). During this verification process, one doctor acknowledged that the listed machines were not actually medically necessary, and indicated that he had signed the letter only because he believed that the equipment "might give [Mengistu] added motivation to actually attempt to exercise and improve his condition." Further, both doctors admitted that Mengistu, not the doctors, had found the equipment and could have stayed active without it, which would have  [*250]  rendered a third bedroom for the equipment unnecessary.</w:t>
      </w:r>
    </w:p>
    <w:p w:rsidR="00E456CD" w:rsidRDefault="00000000">
      <w:pPr>
        <w:pStyle w:val="Normal21"/>
        <w:widowControl w:val="0"/>
        <w:spacing w:before="200" w:line="260" w:lineRule="atLeast"/>
        <w:jc w:val="both"/>
      </w:pPr>
      <w:bookmarkStart w:id="4112" w:name="Bookmark_para_12_19"/>
      <w:bookmarkEnd w:id="4112"/>
      <w:r>
        <w:rPr>
          <w:rFonts w:ascii="Arial" w:eastAsia="Arial" w:hAnsi="Arial" w:cs="Arial"/>
          <w:color w:val="000000"/>
          <w:sz w:val="20"/>
        </w:rPr>
        <w:t>Because the third bedroom was not necessary to afford him an equal opportunity to use and enjoy a dwelling, Mengistu was not entitled to a threebedroom voucher and the district court did not err in granting summary judgment in favor of Defendant-Appellee. For this reason, I respectfully dissent.</w:t>
      </w:r>
    </w:p>
    <w:p w:rsidR="00E456CD" w:rsidRDefault="00E456CD">
      <w:pPr>
        <w:pStyle w:val="Normal21"/>
      </w:pPr>
    </w:p>
    <w:p w:rsidR="00E456CD" w:rsidRDefault="00000000">
      <w:pPr>
        <w:pStyle w:val="Normal21"/>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0636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697673220"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B90F0" id="Line 50"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2"/>
        <w:sectPr w:rsidR="00E456CD">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gutter="0"/>
          <w:cols w:space="720"/>
          <w:titlePg/>
        </w:sectPr>
      </w:pPr>
    </w:p>
    <w:p w:rsidR="00E456CD" w:rsidRDefault="00E456CD">
      <w:pPr>
        <w:pStyle w:val="Normal22"/>
      </w:pPr>
    </w:p>
    <w:p w:rsidR="00E456CD" w:rsidRDefault="00000000">
      <w:pPr>
        <w:pStyle w:val="Heading121"/>
        <w:keepNext w:val="0"/>
        <w:widowControl w:val="0"/>
        <w:spacing w:after="200" w:line="340" w:lineRule="atLeast"/>
        <w:jc w:val="center"/>
      </w:pPr>
      <w:r>
        <w:rPr>
          <w:rFonts w:eastAsia="Arial"/>
          <w:color w:val="000000"/>
          <w:sz w:val="28"/>
        </w:rPr>
        <w:t>Sophie G. v. Wilson Cty. Schs</w:t>
      </w:r>
    </w:p>
    <w:p w:rsidR="00E456CD" w:rsidRDefault="00000000">
      <w:pPr>
        <w:pStyle w:val="Normal22"/>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22"/>
        <w:widowControl w:val="0"/>
        <w:spacing w:before="120" w:line="260" w:lineRule="atLeast"/>
        <w:jc w:val="center"/>
      </w:pPr>
      <w:r>
        <w:rPr>
          <w:rFonts w:ascii="Arial" w:eastAsia="Arial" w:hAnsi="Arial" w:cs="Arial"/>
          <w:color w:val="000000"/>
          <w:sz w:val="20"/>
        </w:rPr>
        <w:t>July 12, 2018, Filed</w:t>
      </w:r>
    </w:p>
    <w:p w:rsidR="00E456CD" w:rsidRDefault="00000000">
      <w:pPr>
        <w:pStyle w:val="Normal22"/>
        <w:widowControl w:val="0"/>
        <w:spacing w:before="120" w:line="260" w:lineRule="atLeast"/>
        <w:jc w:val="center"/>
      </w:pPr>
      <w:r>
        <w:rPr>
          <w:rFonts w:ascii="Arial" w:eastAsia="Arial" w:hAnsi="Arial" w:cs="Arial"/>
          <w:color w:val="000000"/>
          <w:sz w:val="20"/>
        </w:rPr>
        <w:t>File Name: 18a0342n.06</w:t>
      </w:r>
    </w:p>
    <w:p w:rsidR="00E456CD" w:rsidRDefault="00000000">
      <w:pPr>
        <w:pStyle w:val="Normal22"/>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17-6209</w:t>
      </w:r>
    </w:p>
    <w:p w:rsidR="00E456CD" w:rsidRDefault="00E456CD">
      <w:pPr>
        <w:pStyle w:val="Normal22"/>
        <w:widowControl w:val="0"/>
        <w:spacing w:line="240" w:lineRule="atLeast"/>
        <w:jc w:val="both"/>
      </w:pPr>
      <w:bookmarkStart w:id="4113" w:name="Bookmark_23"/>
      <w:bookmarkEnd w:id="4113"/>
    </w:p>
    <w:p w:rsidR="00E456CD" w:rsidRDefault="00000000">
      <w:pPr>
        <w:pStyle w:val="Normal22"/>
        <w:widowControl w:val="0"/>
        <w:spacing w:before="200" w:line="240" w:lineRule="atLeast"/>
      </w:pPr>
      <w:bookmarkStart w:id="4114" w:name="Reporter_21"/>
      <w:bookmarkEnd w:id="4114"/>
      <w:r>
        <w:rPr>
          <w:rFonts w:ascii="Arial" w:eastAsia="Arial" w:hAnsi="Arial" w:cs="Arial"/>
          <w:b/>
          <w:color w:val="000000"/>
          <w:sz w:val="18"/>
        </w:rPr>
        <w:t>Reporter</w:t>
      </w:r>
    </w:p>
    <w:p w:rsidR="00E456CD" w:rsidRDefault="00000000">
      <w:pPr>
        <w:pStyle w:val="Normal22"/>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742 Fed. Appx. 73 *; 2018 U.S. App. LEXIS 19036 **; 2018 FED App. 0342N (6th Cir.)</w:t>
      </w:r>
    </w:p>
    <w:p w:rsidR="00E456CD" w:rsidRDefault="00000000">
      <w:pPr>
        <w:pStyle w:val="Normal22"/>
        <w:widowControl w:val="0"/>
        <w:spacing w:before="120" w:line="260" w:lineRule="atLeast"/>
      </w:pPr>
      <w:r>
        <w:rPr>
          <w:rFonts w:ascii="Arial" w:eastAsia="Arial" w:hAnsi="Arial" w:cs="Arial"/>
          <w:color w:val="000000"/>
          <w:sz w:val="20"/>
        </w:rPr>
        <w:t>SOPHIE G., a minor child, by and through her parent and next friend, and KELLY G., Plaintiffs-Appellants, v. WILSON COUNTY SCHOOLS, Defendant-Appellee.</w:t>
      </w:r>
    </w:p>
    <w:p w:rsidR="00E456CD" w:rsidRDefault="00000000">
      <w:pPr>
        <w:pStyle w:val="Normal22"/>
        <w:widowControl w:val="0"/>
        <w:spacing w:before="240" w:line="260" w:lineRule="atLeast"/>
        <w:jc w:val="both"/>
      </w:pPr>
      <w:bookmarkStart w:id="4115" w:name="Notice_7"/>
      <w:bookmarkEnd w:id="4115"/>
      <w:r>
        <w:rPr>
          <w:rFonts w:ascii="Arial" w:eastAsia="Arial" w:hAnsi="Arial" w:cs="Arial"/>
          <w:b/>
          <w:color w:val="000000"/>
          <w:sz w:val="20"/>
        </w:rPr>
        <w:t>Notice:</w:t>
      </w:r>
      <w:r>
        <w:rPr>
          <w:rFonts w:ascii="Arial" w:eastAsia="Arial" w:hAnsi="Arial" w:cs="Arial"/>
          <w:color w:val="000000"/>
          <w:sz w:val="20"/>
        </w:rPr>
        <w:t> </w:t>
      </w:r>
      <w:bookmarkStart w:id="4116" w:name="Bookmark_para_1_21"/>
      <w:bookmarkEnd w:id="4116"/>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22"/>
        <w:widowControl w:val="0"/>
        <w:spacing w:before="240" w:line="260" w:lineRule="atLeast"/>
        <w:jc w:val="both"/>
      </w:pPr>
      <w:bookmarkStart w:id="4117" w:name="Prior_History_21"/>
      <w:bookmarkEnd w:id="4117"/>
      <w:r>
        <w:rPr>
          <w:rFonts w:ascii="Arial" w:eastAsia="Arial" w:hAnsi="Arial" w:cs="Arial"/>
          <w:b/>
          <w:color w:val="000000"/>
          <w:sz w:val="20"/>
        </w:rPr>
        <w:t>Prior History:</w:t>
      </w:r>
      <w:r>
        <w:rPr>
          <w:rFonts w:ascii="Arial" w:eastAsia="Arial" w:hAnsi="Arial" w:cs="Arial"/>
          <w:color w:val="000000"/>
          <w:sz w:val="20"/>
        </w:rPr>
        <w:t> </w:t>
      </w:r>
      <w:bookmarkStart w:id="4118" w:name="Bookmark_para_2_21"/>
      <w:bookmarkEnd w:id="4118"/>
      <w:r>
        <w:rPr>
          <w:rFonts w:ascii="Arial" w:eastAsia="Arial" w:hAnsi="Arial" w:cs="Arial"/>
          <w:color w:val="000000"/>
          <w:sz w:val="20"/>
        </w:rPr>
        <w:t> [**1] ON APPEAL FROM THE UNITED STATES DISTRICT COURT FOR THE MIDDLE DISTRICT OF TENNESSEE.</w:t>
      </w:r>
    </w:p>
    <w:p w:rsidR="00E456CD" w:rsidRDefault="00000000">
      <w:pPr>
        <w:pStyle w:val="Normal22"/>
        <w:widowControl w:val="0"/>
        <w:spacing w:before="120" w:line="260" w:lineRule="atLeast"/>
      </w:pPr>
      <w:r>
        <w:rPr>
          <w:rFonts w:ascii="Arial" w:eastAsia="Arial" w:hAnsi="Arial" w:cs="Arial"/>
          <w:color w:val="000000"/>
          <w:sz w:val="20"/>
        </w:rPr>
        <w:t>Sophie G. v. Wilson Cty. Sch., 265 F. Supp. 3d 765, 2017 U.S. Dist. LEXIS 152107 (M.D. Tenn., Sept. 19, 2017)</w:t>
      </w:r>
    </w:p>
    <w:p w:rsidR="00E456CD" w:rsidRDefault="00000000">
      <w:pPr>
        <w:pStyle w:val="Normal22"/>
        <w:widowControl w:val="0"/>
        <w:spacing w:before="240" w:line="260" w:lineRule="atLeast"/>
      </w:pPr>
      <w:bookmarkStart w:id="4119" w:name="Counsel_21"/>
      <w:bookmarkEnd w:id="4119"/>
      <w:r>
        <w:rPr>
          <w:rFonts w:ascii="Arial" w:eastAsia="Arial" w:hAnsi="Arial" w:cs="Arial"/>
          <w:b/>
          <w:color w:val="000000"/>
          <w:sz w:val="20"/>
        </w:rPr>
        <w:t>Counsel:</w:t>
      </w:r>
      <w:r>
        <w:rPr>
          <w:rFonts w:ascii="Arial" w:eastAsia="Arial" w:hAnsi="Arial" w:cs="Arial"/>
          <w:color w:val="000000"/>
          <w:sz w:val="20"/>
        </w:rPr>
        <w:t> For SOPHIE G., a minor child, by and through her parent and next friend, KELLY G., Plaintiffs - Appellants: Michael Franklin Braun, Michael F. Braun, Attorney at Law, Montgomery, AL; Christa Laser, Kirkland &amp; Ellis, Washington, DC.</w:t>
      </w:r>
    </w:p>
    <w:p w:rsidR="00E456CD" w:rsidRDefault="00000000">
      <w:pPr>
        <w:pStyle w:val="Normal22"/>
        <w:widowControl w:val="0"/>
        <w:spacing w:before="120" w:line="260" w:lineRule="atLeast"/>
      </w:pPr>
      <w:r>
        <w:rPr>
          <w:rFonts w:ascii="Arial" w:eastAsia="Arial" w:hAnsi="Arial" w:cs="Arial"/>
          <w:color w:val="000000"/>
          <w:sz w:val="20"/>
        </w:rPr>
        <w:t>For WILSON COUNTY SCHOOLS, Defendant - Appellee: Kenneth S. Williams, Madewell, Jared, Halfacre &amp; Williams, Cookeville, TN.</w:t>
      </w:r>
    </w:p>
    <w:p w:rsidR="00E456CD" w:rsidRDefault="00000000">
      <w:pPr>
        <w:pStyle w:val="Normal22"/>
        <w:widowControl w:val="0"/>
        <w:spacing w:before="240" w:line="260" w:lineRule="atLeast"/>
      </w:pPr>
      <w:bookmarkStart w:id="4120" w:name="Judges_21"/>
      <w:bookmarkEnd w:id="4120"/>
      <w:r>
        <w:rPr>
          <w:rFonts w:ascii="Arial" w:eastAsia="Arial" w:hAnsi="Arial" w:cs="Arial"/>
          <w:b/>
          <w:color w:val="000000"/>
          <w:sz w:val="20"/>
        </w:rPr>
        <w:t>Judges:</w:t>
      </w:r>
      <w:r>
        <w:rPr>
          <w:rFonts w:ascii="Arial" w:eastAsia="Arial" w:hAnsi="Arial" w:cs="Arial"/>
          <w:color w:val="000000"/>
          <w:sz w:val="20"/>
        </w:rPr>
        <w:t> BEFORE: SILER, COOK, and WHITE, Circuit Judges.</w:t>
      </w:r>
    </w:p>
    <w:p w:rsidR="00E456CD" w:rsidRDefault="00000000">
      <w:pPr>
        <w:pStyle w:val="Normal22"/>
        <w:widowControl w:val="0"/>
        <w:spacing w:before="240" w:line="260" w:lineRule="atLeast"/>
      </w:pPr>
      <w:bookmarkStart w:id="4121" w:name="Opinion_by_15"/>
      <w:bookmarkEnd w:id="4121"/>
      <w:r>
        <w:rPr>
          <w:rFonts w:ascii="Arial" w:eastAsia="Arial" w:hAnsi="Arial" w:cs="Arial"/>
          <w:b/>
          <w:color w:val="000000"/>
          <w:sz w:val="20"/>
        </w:rPr>
        <w:t>Opinion by:</w:t>
      </w:r>
      <w:r>
        <w:rPr>
          <w:rFonts w:ascii="Arial" w:eastAsia="Arial" w:hAnsi="Arial" w:cs="Arial"/>
          <w:color w:val="000000"/>
          <w:sz w:val="20"/>
        </w:rPr>
        <w:t> HELENE N. WHITE</w:t>
      </w:r>
    </w:p>
    <w:p w:rsidR="00E456CD" w:rsidRDefault="00000000">
      <w:pPr>
        <w:pStyle w:val="Normal22"/>
        <w:keepNext/>
        <w:widowControl w:val="0"/>
        <w:spacing w:before="240" w:line="340" w:lineRule="atLeast"/>
      </w:pPr>
      <w:bookmarkStart w:id="4122" w:name="Opinion_21"/>
      <w:bookmarkEnd w:id="4122"/>
      <w:r>
        <w:rPr>
          <w:rFonts w:ascii="Arial" w:eastAsia="Arial" w:hAnsi="Arial" w:cs="Arial"/>
          <w:b/>
          <w:color w:val="000000"/>
          <w:sz w:val="28"/>
        </w:rPr>
        <w:t>Opinion</w:t>
      </w:r>
    </w:p>
    <w:p w:rsidR="00E456CD" w:rsidRDefault="00E22289">
      <w:pPr>
        <w:pStyle w:val="Normal22"/>
        <w:spacing w:line="60" w:lineRule="exact"/>
      </w:pPr>
      <w:r>
        <w:rPr>
          <w:noProof/>
        </w:rPr>
        <mc:AlternateContent>
          <mc:Choice Requires="wps">
            <w:drawing>
              <wp:anchor distT="0" distB="0" distL="114300" distR="114300" simplePos="0" relativeHeight="25170739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354343506"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E4BFA" id="Line 51"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2"/>
      </w:pPr>
    </w:p>
    <w:p w:rsidR="00E456CD" w:rsidRDefault="00000000">
      <w:pPr>
        <w:pStyle w:val="Normal22"/>
        <w:widowControl w:val="0"/>
        <w:spacing w:before="200" w:line="260" w:lineRule="atLeast"/>
        <w:jc w:val="both"/>
      </w:pPr>
      <w:bookmarkStart w:id="4123" w:name="Bookmark_para_3_21"/>
      <w:bookmarkEnd w:id="4123"/>
      <w:r>
        <w:rPr>
          <w:rFonts w:ascii="Arial" w:eastAsia="Arial" w:hAnsi="Arial" w:cs="Arial"/>
          <w:color w:val="000000"/>
          <w:sz w:val="20"/>
        </w:rPr>
        <w:t xml:space="preserve"> [*74]  </w:t>
      </w:r>
      <w:r>
        <w:rPr>
          <w:rFonts w:ascii="Arial" w:eastAsia="Arial" w:hAnsi="Arial" w:cs="Arial"/>
          <w:b/>
          <w:color w:val="000000"/>
          <w:sz w:val="20"/>
        </w:rPr>
        <w:t>HELENE N. WHITE, Circuit Judge</w:t>
      </w:r>
      <w:r>
        <w:rPr>
          <w:rFonts w:ascii="Arial" w:eastAsia="Arial" w:hAnsi="Arial" w:cs="Arial"/>
          <w:color w:val="000000"/>
          <w:sz w:val="20"/>
        </w:rPr>
        <w:t xml:space="preserve">. Defendant-Appellee Wilson County Schools offers a subsidized after-school childcare program called "Kid's Club." Plaintiff-Appellant Kelly G. sought to enroll her seven-year-old daughter, Plaintiff-Appellant Sophie G., in Kid's Club but was denied access because Sophie was not toilet trained. Plaintiffs brought suit under the Americans with Disabilities Act ("ADA") and the Rehabilitation Act, and the district court dismissed the complaint because it found Plaintiffs failed to exhaust administrative remedies under the Individuals with Disabilities Education Act ("IDEA"). We </w:t>
      </w:r>
      <w:r>
        <w:rPr>
          <w:rFonts w:ascii="Arial" w:eastAsia="Arial" w:hAnsi="Arial" w:cs="Arial"/>
          <w:b/>
          <w:color w:val="000000"/>
          <w:sz w:val="20"/>
        </w:rPr>
        <w:t>REVERSE</w:t>
      </w:r>
      <w:r>
        <w:rPr>
          <w:rFonts w:ascii="Arial" w:eastAsia="Arial" w:hAnsi="Arial" w:cs="Arial"/>
          <w:color w:val="000000"/>
          <w:sz w:val="20"/>
        </w:rPr>
        <w:t>.</w:t>
      </w:r>
    </w:p>
    <w:p w:rsidR="00E456CD" w:rsidRDefault="00000000">
      <w:pPr>
        <w:pStyle w:val="Normal22"/>
        <w:widowControl w:val="0"/>
        <w:spacing w:before="120" w:line="260" w:lineRule="atLeast"/>
      </w:pPr>
      <w:r>
        <w:rPr>
          <w:rFonts w:ascii="Arial" w:eastAsia="Arial" w:hAnsi="Arial" w:cs="Arial"/>
          <w:color w:val="000000"/>
          <w:sz w:val="20"/>
        </w:rPr>
        <w:t>I.</w:t>
      </w:r>
    </w:p>
    <w:p w:rsidR="00E456CD" w:rsidRDefault="00000000">
      <w:pPr>
        <w:pStyle w:val="Normal22"/>
        <w:widowControl w:val="0"/>
        <w:spacing w:before="200" w:line="260" w:lineRule="atLeast"/>
        <w:jc w:val="both"/>
      </w:pPr>
      <w:bookmarkStart w:id="4124" w:name="Bookmark_para_4_21"/>
      <w:bookmarkEnd w:id="4124"/>
      <w:r>
        <w:rPr>
          <w:rFonts w:ascii="Arial" w:eastAsia="Arial" w:hAnsi="Arial" w:cs="Arial"/>
          <w:color w:val="000000"/>
          <w:sz w:val="20"/>
        </w:rPr>
        <w:t>Sophie G. attends Tuckers Crossroads Elementary School in Wilson County, [**2]  Tennessee. Kelly is employed full time and requires childcare for Sophie, both during the school year and during school breaks. Sophie has autism and developmental delay, which impairs her functional communication, sensory responses, movements, mannerisms, and social adaptation. Sophie is not fully toilet trained and needs a one-on-one attendant to assist with diapering.</w:t>
      </w:r>
    </w:p>
    <w:p w:rsidR="00E456CD" w:rsidRDefault="00000000">
      <w:pPr>
        <w:pStyle w:val="Normal22"/>
        <w:widowControl w:val="0"/>
        <w:spacing w:before="200" w:line="260" w:lineRule="atLeast"/>
        <w:jc w:val="both"/>
      </w:pPr>
      <w:bookmarkStart w:id="4125" w:name="Bookmark_para_5_21"/>
      <w:bookmarkEnd w:id="4125"/>
      <w:r>
        <w:rPr>
          <w:rFonts w:ascii="Arial" w:eastAsia="Arial" w:hAnsi="Arial" w:cs="Arial"/>
          <w:color w:val="000000"/>
          <w:sz w:val="20"/>
        </w:rPr>
        <w:t>Sophie receives special education services from Wilson County Schools. As a student receiving special education, Sophie's educational services are delivered under an Individualized Education Plan ("IEP") uniquely designed for her disability by an "IEP Team" made up of her mother, teachers, and Wilson County administrators. Sophie's IEP addresses, among other things, social skills and toilet-independence training, including "donning [and] doffing" of clothes. [IEP, R.31-1 at PID 169, 171, 176].</w:t>
      </w:r>
    </w:p>
    <w:p w:rsidR="00E456CD" w:rsidRDefault="00000000">
      <w:pPr>
        <w:pStyle w:val="Normal22"/>
        <w:widowControl w:val="0"/>
        <w:spacing w:before="200" w:line="260" w:lineRule="atLeast"/>
        <w:jc w:val="both"/>
      </w:pPr>
      <w:bookmarkStart w:id="4126" w:name="Bookmark_para_6_21"/>
      <w:bookmarkEnd w:id="4126"/>
      <w:r>
        <w:rPr>
          <w:rFonts w:ascii="Arial" w:eastAsia="Arial" w:hAnsi="Arial" w:cs="Arial"/>
          <w:color w:val="000000"/>
          <w:sz w:val="20"/>
        </w:rPr>
        <w:t>Wilson County offers an extended-day childcare program (sometimes referred to as "after-school") known as "Kid's Club." Kid's Club is a registered childcare provider licensed under the laws of the State of Tennessee. Kid's Club, which has existed in Wilson County for approximately 25 years, operates at Tuckers Crossroads Elementary [**3]  and eleven other locations in the Wilson County School District. Kid's Club programs utilize public facilities and funds in addition to receiving enrollment fees from parents.</w:t>
      </w:r>
    </w:p>
    <w:p w:rsidR="00E456CD" w:rsidRDefault="00000000">
      <w:pPr>
        <w:pStyle w:val="Normal22"/>
        <w:widowControl w:val="0"/>
        <w:spacing w:before="200" w:line="260" w:lineRule="atLeast"/>
        <w:jc w:val="both"/>
      </w:pPr>
      <w:bookmarkStart w:id="4127" w:name="Bookmark_para_7_21"/>
      <w:bookmarkEnd w:id="4127"/>
      <w:r>
        <w:rPr>
          <w:rFonts w:ascii="Arial" w:eastAsia="Arial" w:hAnsi="Arial" w:cs="Arial"/>
          <w:color w:val="000000"/>
          <w:sz w:val="20"/>
        </w:rPr>
        <w:t>Kelly sought to enroll Sophie in Kid's Club, which is less expensive than nonsubsidized after-school care. In September 2016, one of Sophie's classroom aides spoke with the Kid's Club on-site coordinator on Kelly's behalf to determine whether Sophie could attend the program. Kelly was told Sophie could not attend Kid's Club because she was not toilet trained. On October 11, 2016, Kelly inquired again about enrolling Sophie in Kid's Club, but was again told that Sophie could not attend because she was not "potty trained." Kelly continued seeking to enroll Sophie in Kids Club by calling the school district's Department of Exceptional Children and was told on October 20 and October 25 that "the program's rules barred Sophie's participation." Additionally, the School Board's Superintendent, Dr. Donna Wright, witnessed one of Sophie's diaper changes and determined that Sophie "squirmed" or was otherwise difficult to change.</w:t>
      </w:r>
    </w:p>
    <w:p w:rsidR="00E456CD" w:rsidRDefault="00000000">
      <w:pPr>
        <w:pStyle w:val="Normal22"/>
        <w:widowControl w:val="0"/>
        <w:spacing w:before="120" w:line="260" w:lineRule="atLeast"/>
      </w:pPr>
      <w:r>
        <w:rPr>
          <w:rFonts w:ascii="Arial" w:eastAsia="Arial" w:hAnsi="Arial" w:cs="Arial"/>
          <w:color w:val="000000"/>
          <w:sz w:val="20"/>
        </w:rPr>
        <w:t>II.</w:t>
      </w:r>
    </w:p>
    <w:p w:rsidR="00E456CD" w:rsidRDefault="00000000">
      <w:pPr>
        <w:pStyle w:val="Normal22"/>
        <w:widowControl w:val="0"/>
        <w:spacing w:before="200" w:line="260" w:lineRule="atLeast"/>
        <w:jc w:val="both"/>
      </w:pPr>
      <w:bookmarkStart w:id="4128" w:name="Bookmark_para_8_21"/>
      <w:bookmarkEnd w:id="4128"/>
      <w:r>
        <w:rPr>
          <w:rFonts w:ascii="Arial" w:eastAsia="Arial" w:hAnsi="Arial" w:cs="Arial"/>
          <w:color w:val="000000"/>
          <w:sz w:val="20"/>
        </w:rPr>
        <w:t xml:space="preserve">In November 2016, Kelly authorized a due process complaint on Sophie's behalf  [*75]  in the Tennessee [**4]  Department of Education pursuant to 34 C.F.R. § 300.500, </w:t>
      </w:r>
      <w:r>
        <w:rPr>
          <w:rFonts w:ascii="Arial" w:eastAsia="Arial" w:hAnsi="Arial" w:cs="Arial"/>
          <w:i/>
          <w:color w:val="000000"/>
          <w:sz w:val="20"/>
        </w:rPr>
        <w:t>et seq.</w:t>
      </w:r>
      <w:r>
        <w:rPr>
          <w:rFonts w:ascii="Arial" w:eastAsia="Arial" w:hAnsi="Arial" w:cs="Arial"/>
          <w:color w:val="000000"/>
          <w:sz w:val="20"/>
        </w:rPr>
        <w:t xml:space="preserve"> and Tenn. Comp. R. &amp; Regs. § 520-01-09-.18, </w:t>
      </w:r>
      <w:r>
        <w:rPr>
          <w:rFonts w:ascii="Arial" w:eastAsia="Arial" w:hAnsi="Arial" w:cs="Arial"/>
          <w:i/>
          <w:color w:val="000000"/>
          <w:sz w:val="20"/>
        </w:rPr>
        <w:t>et seq.</w:t>
      </w:r>
      <w:r>
        <w:rPr>
          <w:rFonts w:ascii="Arial" w:eastAsia="Arial" w:hAnsi="Arial" w:cs="Arial"/>
          <w:color w:val="000000"/>
          <w:sz w:val="20"/>
        </w:rPr>
        <w:t>, asserting that Sophie's IEP provided insufficient "speech/language service," "Occupational Therapy," and "Behavioral Therapy"; did not provide support services for specific educational goals listed in the IEP; and that the services listed did not adequately support the associated educational goals. The complaint further alleged Wilson County violated the IDEA by failing to "design and implement an appropriate IEP" for the years 2014-2017, "fully and thoroughly evaluate/assess Sophie," or design appropriate services to assist Sophie.</w:t>
      </w:r>
    </w:p>
    <w:p w:rsidR="00E456CD" w:rsidRDefault="00000000">
      <w:pPr>
        <w:pStyle w:val="Normal22"/>
        <w:widowControl w:val="0"/>
        <w:spacing w:before="200" w:line="260" w:lineRule="atLeast"/>
        <w:jc w:val="both"/>
      </w:pPr>
      <w:bookmarkStart w:id="4129" w:name="Bookmark_para_9_21"/>
      <w:bookmarkEnd w:id="4129"/>
      <w:r>
        <w:rPr>
          <w:rFonts w:ascii="Arial" w:eastAsia="Arial" w:hAnsi="Arial" w:cs="Arial"/>
          <w:color w:val="000000"/>
          <w:sz w:val="20"/>
        </w:rPr>
        <w:t>The "History" section of Sophie's due process complaint also outlined her rejection from Kid's Club: "In the IEP, Wilson County determined that 'S. will have every opportunity to participate in extracurricular and nonacademic activities that she qualifies for.['] Despite saying so, S. is denied access to the Tucker Crossroads Elementary School afterschool program because of her disability." [Due Process Compl., R.21-2 at PID 283-84] (listing Kelly's attempts to enroll Sophie in the program). This section concluded that "Wilson County Schools does not understand S., her support needs nor her present levels of functioning." [**5]  [</w:t>
      </w:r>
      <w:r>
        <w:rPr>
          <w:rFonts w:ascii="Arial" w:eastAsia="Arial" w:hAnsi="Arial" w:cs="Arial"/>
          <w:i/>
          <w:color w:val="000000"/>
          <w:sz w:val="20"/>
        </w:rPr>
        <w:t>Id.</w:t>
      </w:r>
      <w:r>
        <w:rPr>
          <w:rFonts w:ascii="Arial" w:eastAsia="Arial" w:hAnsi="Arial" w:cs="Arial"/>
          <w:color w:val="000000"/>
          <w:sz w:val="20"/>
        </w:rPr>
        <w:t xml:space="preserve"> at PID 284].</w:t>
      </w:r>
    </w:p>
    <w:p w:rsidR="00E456CD" w:rsidRDefault="00000000">
      <w:pPr>
        <w:pStyle w:val="Normal22"/>
        <w:widowControl w:val="0"/>
        <w:spacing w:before="200" w:line="260" w:lineRule="atLeast"/>
        <w:jc w:val="both"/>
      </w:pPr>
      <w:bookmarkStart w:id="4130" w:name="Bookmark_para_10_21"/>
      <w:bookmarkEnd w:id="4130"/>
      <w:r>
        <w:rPr>
          <w:rFonts w:ascii="Arial" w:eastAsia="Arial" w:hAnsi="Arial" w:cs="Arial"/>
          <w:color w:val="000000"/>
          <w:sz w:val="20"/>
        </w:rPr>
        <w:t>For "Relief," the complaint requested that Wilson County further evaluate Sophie, develop and implement an appropriate IEP, alter the IEP to include staff supports, and provide certain therapies. The complaint did not request Kid's Club admittance.</w:t>
      </w:r>
    </w:p>
    <w:p w:rsidR="00E456CD" w:rsidRDefault="00000000">
      <w:pPr>
        <w:pStyle w:val="Normal22"/>
        <w:widowControl w:val="0"/>
        <w:spacing w:before="200" w:line="260" w:lineRule="atLeast"/>
        <w:jc w:val="both"/>
      </w:pPr>
      <w:bookmarkStart w:id="4131" w:name="Bookmark_para_11_21"/>
      <w:bookmarkEnd w:id="4131"/>
      <w:r>
        <w:rPr>
          <w:rFonts w:ascii="Arial" w:eastAsia="Arial" w:hAnsi="Arial" w:cs="Arial"/>
          <w:color w:val="000000"/>
          <w:sz w:val="20"/>
        </w:rPr>
        <w:t>On April 12, 2017, an administrative judge entered a "Final Order Entered By Consent" ordering the due process complaint dismissed without prejudice as a result of the parties' settlement. The parties agreed that they had "resolved that substantive part of the Petitioner's complaint for due process seeking relief for educational benefits under the IDEA." [Final Consent Order, R.21-3 at PID 107]. The order noted that the parties could not "reach agreement on resolution of the Petitioner's claims related to the Respondent's after-school program. Those claims are voluntarily dismissed without prejudice." [</w:t>
      </w:r>
      <w:r>
        <w:rPr>
          <w:rFonts w:ascii="Arial" w:eastAsia="Arial" w:hAnsi="Arial" w:cs="Arial"/>
          <w:i/>
          <w:color w:val="000000"/>
          <w:sz w:val="20"/>
        </w:rPr>
        <w:t>Id.</w:t>
      </w:r>
      <w:r>
        <w:rPr>
          <w:rFonts w:ascii="Arial" w:eastAsia="Arial" w:hAnsi="Arial" w:cs="Arial"/>
          <w:color w:val="000000"/>
          <w:sz w:val="20"/>
        </w:rPr>
        <w:t>].</w:t>
      </w:r>
    </w:p>
    <w:p w:rsidR="00E456CD" w:rsidRDefault="00000000">
      <w:pPr>
        <w:pStyle w:val="Normal22"/>
        <w:widowControl w:val="0"/>
        <w:spacing w:before="200" w:line="260" w:lineRule="atLeast"/>
        <w:jc w:val="both"/>
      </w:pPr>
      <w:bookmarkStart w:id="4132" w:name="Bookmark_para_12_20"/>
      <w:bookmarkEnd w:id="4132"/>
      <w:r>
        <w:rPr>
          <w:rFonts w:ascii="Arial" w:eastAsia="Arial" w:hAnsi="Arial" w:cs="Arial"/>
          <w:color w:val="000000"/>
          <w:sz w:val="20"/>
        </w:rPr>
        <w:t>Shortly thereafter, Plaintiffs filed this suit under the ADA and the Rehabilitation Act alleging that Wilson County intentionally discriminated against Sophie when it denied her access to the Kid's Club program on the basis of her lack of independent toileting ability. Plaintiffs' complaint sought relief in the form of [**6]  damages, attorney's fees, and an injunction requiring Wilson County to comply with the accessibility requirements under relevant law.</w:t>
      </w:r>
    </w:p>
    <w:p w:rsidR="00E456CD" w:rsidRDefault="00000000">
      <w:pPr>
        <w:pStyle w:val="Normal22"/>
        <w:widowControl w:val="0"/>
        <w:spacing w:before="200" w:line="260" w:lineRule="atLeast"/>
        <w:jc w:val="both"/>
      </w:pPr>
      <w:bookmarkStart w:id="4133" w:name="Bookmark_para_13_18"/>
      <w:bookmarkEnd w:id="4133"/>
      <w:r>
        <w:rPr>
          <w:rFonts w:ascii="Arial" w:eastAsia="Arial" w:hAnsi="Arial" w:cs="Arial"/>
          <w:color w:val="000000"/>
          <w:sz w:val="20"/>
        </w:rPr>
        <w:t>Wilson County moved to dismiss on the basis that Plaintiffs failed to properly exhaust their administrative remedies. The district court agreed and granted the motion. Plaintiffs timely appealed.</w:t>
      </w:r>
    </w:p>
    <w:p w:rsidR="00E456CD" w:rsidRDefault="00000000">
      <w:pPr>
        <w:pStyle w:val="Normal22"/>
        <w:widowControl w:val="0"/>
        <w:spacing w:before="120" w:line="260" w:lineRule="atLeast"/>
      </w:pPr>
      <w:r>
        <w:rPr>
          <w:rFonts w:ascii="Arial" w:eastAsia="Arial" w:hAnsi="Arial" w:cs="Arial"/>
          <w:color w:val="000000"/>
          <w:sz w:val="20"/>
        </w:rPr>
        <w:t>III.</w:t>
      </w:r>
    </w:p>
    <w:p w:rsidR="00E456CD" w:rsidRDefault="00000000">
      <w:pPr>
        <w:pStyle w:val="Normal22"/>
        <w:widowControl w:val="0"/>
        <w:spacing w:before="200" w:line="260" w:lineRule="atLeast"/>
        <w:jc w:val="both"/>
      </w:pPr>
      <w:bookmarkStart w:id="4134" w:name="Bookmark_para_14_17"/>
      <w:bookmarkStart w:id="4135" w:name="Bookmark_I5SYW4892D6NNT0020000400"/>
      <w:bookmarkStart w:id="4136" w:name="Bookmark_I5SYW4892D6NNT0040000400"/>
      <w:bookmarkStart w:id="4137" w:name="Bookmark_LNHNREFclscc1_19"/>
      <w:bookmarkEnd w:id="4134"/>
      <w:bookmarkEnd w:id="4135"/>
      <w:bookmarkEnd w:id="4136"/>
      <w:bookmarkEnd w:id="4137"/>
      <w:r>
        <w:rPr>
          <w:rFonts w:ascii="Arial" w:eastAsia="Arial" w:hAnsi="Arial" w:cs="Arial"/>
          <w:color w:val="000000"/>
          <w:sz w:val="20"/>
        </w:rPr>
        <w:t xml:space="preserve">We review de novo the district court's dismissal under Fed. R. Civ. P. 12(b)(6). </w:t>
      </w:r>
      <w:bookmarkStart w:id="4138" w:name="Bookmark_I5SYW4892D6NNT0010000400"/>
      <w:bookmarkEnd w:id="4138"/>
      <w:r>
        <w:rPr>
          <w:rFonts w:ascii="Arial" w:eastAsia="Arial" w:hAnsi="Arial" w:cs="Arial"/>
          <w:i/>
          <w:color w:val="000000"/>
          <w:sz w:val="20"/>
        </w:rPr>
        <w:t>Nelson v. Miller</w:t>
      </w:r>
      <w:r>
        <w:rPr>
          <w:rFonts w:ascii="Arial" w:eastAsia="Arial" w:hAnsi="Arial" w:cs="Arial"/>
          <w:color w:val="000000"/>
          <w:sz w:val="20"/>
        </w:rPr>
        <w:t xml:space="preserve">, 170 F.3d 641, 649 (6th Cir. 1999) (citation omitted). "A court should not dismiss a plaintiff's complaint under Rule 12(b)(6) unless, after construing the complaint in the light most favorable to the plaintiff and accepting all factual allegations as true, the court determines that the plaintiff can prove no set of facts in support of his claim that would entitle him to relief." </w:t>
      </w:r>
      <w:r>
        <w:rPr>
          <w:rFonts w:ascii="Arial" w:eastAsia="Arial" w:hAnsi="Arial" w:cs="Arial"/>
          <w:i/>
          <w:color w:val="000000"/>
          <w:sz w:val="20"/>
        </w:rPr>
        <w:t>Id.</w:t>
      </w:r>
      <w:r>
        <w:rPr>
          <w:rFonts w:ascii="Arial" w:eastAsia="Arial" w:hAnsi="Arial" w:cs="Arial"/>
          <w:color w:val="000000"/>
          <w:sz w:val="20"/>
        </w:rPr>
        <w:t xml:space="preserve"> (citing </w:t>
      </w:r>
      <w:bookmarkStart w:id="4139" w:name="Bookmark_I5SYW4892D6NNT0030000400"/>
      <w:bookmarkEnd w:id="4139"/>
      <w:r>
        <w:rPr>
          <w:rFonts w:ascii="Arial" w:eastAsia="Arial" w:hAnsi="Arial" w:cs="Arial"/>
          <w:i/>
          <w:color w:val="000000"/>
          <w:sz w:val="20"/>
        </w:rPr>
        <w:t>Columbia Natural Resources, Inc. v. Tatum</w:t>
      </w:r>
      <w:r>
        <w:rPr>
          <w:rFonts w:ascii="Arial" w:eastAsia="Arial" w:hAnsi="Arial" w:cs="Arial"/>
          <w:color w:val="000000"/>
          <w:sz w:val="20"/>
        </w:rPr>
        <w:t>, 58 F.3d 1101, 1109 (6th Cir. 1995)).</w:t>
      </w:r>
    </w:p>
    <w:p w:rsidR="00E456CD" w:rsidRDefault="00000000">
      <w:pPr>
        <w:pStyle w:val="Normal22"/>
        <w:widowControl w:val="0"/>
        <w:spacing w:before="120" w:line="260" w:lineRule="atLeast"/>
      </w:pPr>
      <w:r>
        <w:rPr>
          <w:rFonts w:ascii="Arial" w:eastAsia="Arial" w:hAnsi="Arial" w:cs="Arial"/>
          <w:color w:val="000000"/>
          <w:sz w:val="20"/>
        </w:rPr>
        <w:t>A.</w:t>
      </w:r>
    </w:p>
    <w:p w:rsidR="00E456CD" w:rsidRDefault="00000000">
      <w:pPr>
        <w:pStyle w:val="Normal22"/>
        <w:widowControl w:val="0"/>
        <w:spacing w:before="200" w:line="260" w:lineRule="atLeast"/>
        <w:jc w:val="both"/>
      </w:pPr>
      <w:bookmarkStart w:id="4140" w:name="Bookmark_para_15_17"/>
      <w:bookmarkStart w:id="4141" w:name="Bookmark_I5SYW4892HM6T10010000400"/>
      <w:bookmarkStart w:id="4142" w:name="Bookmark_LNHNREFclscc2_19"/>
      <w:bookmarkEnd w:id="4140"/>
      <w:bookmarkEnd w:id="4141"/>
      <w:bookmarkEnd w:id="4142"/>
      <w:r>
        <w:rPr>
          <w:rFonts w:ascii="Arial" w:eastAsia="Arial" w:hAnsi="Arial" w:cs="Arial"/>
          <w:color w:val="000000"/>
          <w:sz w:val="20"/>
        </w:rPr>
        <w:t xml:space="preserve">The IDEA ensures that children with disabilities receive necessary special-education  [*76]  services and provides administrative remedies to achieve that goal. </w:t>
      </w:r>
      <w:bookmarkStart w:id="4143" w:name="Bookmark_I5SYW4892D6NNT0050000400"/>
      <w:bookmarkEnd w:id="4143"/>
      <w:r>
        <w:rPr>
          <w:rFonts w:ascii="Arial" w:eastAsia="Arial" w:hAnsi="Arial" w:cs="Arial"/>
          <w:i/>
          <w:color w:val="000000"/>
          <w:sz w:val="20"/>
        </w:rPr>
        <w:t>Forest Grove Sch. Dist. v. T.A.</w:t>
      </w:r>
      <w:r>
        <w:rPr>
          <w:rFonts w:ascii="Arial" w:eastAsia="Arial" w:hAnsi="Arial" w:cs="Arial"/>
          <w:color w:val="000000"/>
          <w:sz w:val="20"/>
        </w:rPr>
        <w:t xml:space="preserve">, 557 U.S. 230, 245, 129 S. Ct. 2484, 174 L. Ed. 2d 168 (2009); </w:t>
      </w:r>
      <w:bookmarkStart w:id="4144" w:name="Bookmark_I5SYW4892HM6T10020000400"/>
      <w:bookmarkEnd w:id="4144"/>
      <w:r>
        <w:rPr>
          <w:rFonts w:ascii="Arial" w:eastAsia="Arial" w:hAnsi="Arial" w:cs="Arial"/>
          <w:i/>
          <w:color w:val="000000"/>
          <w:sz w:val="20"/>
        </w:rPr>
        <w:t>Covington v. Knox Cty. Sch. Sys.</w:t>
      </w:r>
      <w:r>
        <w:rPr>
          <w:rFonts w:ascii="Arial" w:eastAsia="Arial" w:hAnsi="Arial" w:cs="Arial"/>
          <w:color w:val="000000"/>
          <w:sz w:val="20"/>
        </w:rPr>
        <w:t xml:space="preserve">, 205 F.3d 912, 915 (6th Cir. 2000). The IDEA offers federal funds to states in exchange for a commitment to furnish a "free appropriate public education" (a "FAPE") to all children with certain physical or intellectual disabilities. 20 U.S.C. §§ 1412(a)(1)(A), 1401(3)(A)(i) (listing covered disabilities). As defined in the IDEA, a FAPE comprises "special education and related [**7]  services"—both "instruction" tailored to meet a child's needs and "supportive services" sufficient to permit the child to benefit from that instruction. </w:t>
      </w:r>
      <w:r>
        <w:rPr>
          <w:rFonts w:ascii="Arial" w:eastAsia="Arial" w:hAnsi="Arial" w:cs="Arial"/>
          <w:i/>
          <w:color w:val="000000"/>
          <w:sz w:val="20"/>
        </w:rPr>
        <w:t>Id.</w:t>
      </w:r>
      <w:r>
        <w:rPr>
          <w:rFonts w:ascii="Arial" w:eastAsia="Arial" w:hAnsi="Arial" w:cs="Arial"/>
          <w:color w:val="000000"/>
          <w:sz w:val="20"/>
        </w:rPr>
        <w:t xml:space="preserve"> at § 1401.</w:t>
      </w:r>
    </w:p>
    <w:p w:rsidR="00E456CD" w:rsidRDefault="00000000">
      <w:pPr>
        <w:pStyle w:val="Normal22"/>
        <w:widowControl w:val="0"/>
        <w:spacing w:before="200" w:line="260" w:lineRule="atLeast"/>
        <w:jc w:val="both"/>
      </w:pPr>
      <w:bookmarkStart w:id="4145" w:name="Bookmark_para_16_16"/>
      <w:bookmarkStart w:id="4146" w:name="Bookmark_I5SYW4892HM6T10050000400"/>
      <w:bookmarkEnd w:id="4145"/>
      <w:bookmarkEnd w:id="4146"/>
      <w:r>
        <w:rPr>
          <w:rFonts w:ascii="Arial" w:eastAsia="Arial" w:hAnsi="Arial" w:cs="Arial"/>
          <w:color w:val="000000"/>
          <w:sz w:val="20"/>
        </w:rPr>
        <w:t xml:space="preserve">Under the IDEA, an IEP serves as the "primary vehicle" for providing each child with the promised FAPE. </w:t>
      </w:r>
      <w:bookmarkStart w:id="4147" w:name="Bookmark_I5SYW4892HM6T10040000400"/>
      <w:bookmarkEnd w:id="4147"/>
      <w:r>
        <w:rPr>
          <w:rFonts w:ascii="Arial" w:eastAsia="Arial" w:hAnsi="Arial" w:cs="Arial"/>
          <w:i/>
          <w:color w:val="000000"/>
          <w:sz w:val="20"/>
        </w:rPr>
        <w:t>Honig v. Doe</w:t>
      </w:r>
      <w:r>
        <w:rPr>
          <w:rFonts w:ascii="Arial" w:eastAsia="Arial" w:hAnsi="Arial" w:cs="Arial"/>
          <w:color w:val="000000"/>
          <w:sz w:val="20"/>
        </w:rPr>
        <w:t>, 484 U.S. 305, 311, 108 S. Ct. 592, 98 L. Ed. 2d 686 (1988). A student's IEP outlines a personalized plan to meet all of the child's educational needs, documents the student's current "levels of academic achievement," specifies "measurable annual goals" for how she can "make progress in the general education curriculum," and lists the "special education and related services" to be provided so that she can "advance appropriately toward [those] goals." 20 U.S.C. § 1414(d).</w:t>
      </w:r>
    </w:p>
    <w:p w:rsidR="00E456CD" w:rsidRDefault="00000000">
      <w:pPr>
        <w:pStyle w:val="Normal22"/>
        <w:widowControl w:val="0"/>
        <w:spacing w:before="200" w:line="260" w:lineRule="atLeast"/>
        <w:jc w:val="both"/>
      </w:pPr>
      <w:bookmarkStart w:id="4148" w:name="Bookmark_para_17_15"/>
      <w:bookmarkStart w:id="4149" w:name="Bookmark_LNHNREFclscc3_17"/>
      <w:bookmarkEnd w:id="4148"/>
      <w:bookmarkEnd w:id="4149"/>
      <w:r>
        <w:rPr>
          <w:rFonts w:ascii="Arial" w:eastAsia="Arial" w:hAnsi="Arial" w:cs="Arial"/>
          <w:color w:val="000000"/>
          <w:sz w:val="20"/>
        </w:rPr>
        <w:t xml:space="preserve">The IDEA establishes formal procedures for resolving disputes. A parent or guardian may file a complaint regarding any matter concerning the provision of a FAPE with the local or state educational agency. </w:t>
      </w:r>
      <w:r>
        <w:rPr>
          <w:rFonts w:ascii="Arial" w:eastAsia="Arial" w:hAnsi="Arial" w:cs="Arial"/>
          <w:i/>
          <w:color w:val="000000"/>
          <w:sz w:val="20"/>
        </w:rPr>
        <w:t>Id.</w:t>
      </w:r>
      <w:r>
        <w:rPr>
          <w:rFonts w:ascii="Arial" w:eastAsia="Arial" w:hAnsi="Arial" w:cs="Arial"/>
          <w:color w:val="000000"/>
          <w:sz w:val="20"/>
        </w:rPr>
        <w:t xml:space="preserve"> at § 1415(b)(6). That pleading triggers a "[p]reliminary meeting" involving "the parents and the relevant member or members of the IEP Team who have specific knowledge of the facts identified in the complaint." </w:t>
      </w:r>
      <w:r>
        <w:rPr>
          <w:rFonts w:ascii="Arial" w:eastAsia="Arial" w:hAnsi="Arial" w:cs="Arial"/>
          <w:i/>
          <w:color w:val="000000"/>
          <w:sz w:val="20"/>
        </w:rPr>
        <w:t>Id.</w:t>
      </w:r>
      <w:r>
        <w:rPr>
          <w:rFonts w:ascii="Arial" w:eastAsia="Arial" w:hAnsi="Arial" w:cs="Arial"/>
          <w:color w:val="000000"/>
          <w:sz w:val="20"/>
        </w:rPr>
        <w:t xml:space="preserve"> at § 1415(f)(1)(B)(i). If the issue is not resolved, the matter proceeds to a "due process hearing" before an impartial hearing officer. § 1415(f)(1)(A). Any decision [**8]  of the officer granting substantive relief must be "based on a determination of whether the child received a [FAPE]." </w:t>
      </w:r>
      <w:r>
        <w:rPr>
          <w:rFonts w:ascii="Arial" w:eastAsia="Arial" w:hAnsi="Arial" w:cs="Arial"/>
          <w:i/>
          <w:color w:val="000000"/>
          <w:sz w:val="20"/>
        </w:rPr>
        <w:t>Id.</w:t>
      </w:r>
      <w:r>
        <w:rPr>
          <w:rFonts w:ascii="Arial" w:eastAsia="Arial" w:hAnsi="Arial" w:cs="Arial"/>
          <w:color w:val="000000"/>
          <w:sz w:val="20"/>
        </w:rPr>
        <w:t xml:space="preserve"> at § 1415(f)(3)(E)(i). If the hearing is initially conducted at the local level, the ruling is appealable to the state agency. </w:t>
      </w:r>
      <w:r>
        <w:rPr>
          <w:rFonts w:ascii="Arial" w:eastAsia="Arial" w:hAnsi="Arial" w:cs="Arial"/>
          <w:i/>
          <w:color w:val="000000"/>
          <w:sz w:val="20"/>
        </w:rPr>
        <w:t>Id.</w:t>
      </w:r>
      <w:r>
        <w:rPr>
          <w:rFonts w:ascii="Arial" w:eastAsia="Arial" w:hAnsi="Arial" w:cs="Arial"/>
          <w:color w:val="000000"/>
          <w:sz w:val="20"/>
        </w:rPr>
        <w:t xml:space="preserve"> at § 1415(g). Finally, any party unhappy with the outcome of the administrative process may seek judicial review by filing a civil action in state or federal court. </w:t>
      </w:r>
      <w:r>
        <w:rPr>
          <w:rFonts w:ascii="Arial" w:eastAsia="Arial" w:hAnsi="Arial" w:cs="Arial"/>
          <w:i/>
          <w:color w:val="000000"/>
          <w:sz w:val="20"/>
        </w:rPr>
        <w:t>Id.</w:t>
      </w:r>
      <w:r>
        <w:rPr>
          <w:rFonts w:ascii="Arial" w:eastAsia="Arial" w:hAnsi="Arial" w:cs="Arial"/>
          <w:color w:val="000000"/>
          <w:sz w:val="20"/>
        </w:rPr>
        <w:t xml:space="preserve"> at § 1415(i)(2)(A).</w:t>
      </w:r>
    </w:p>
    <w:p w:rsidR="00E456CD" w:rsidRDefault="00000000">
      <w:pPr>
        <w:pStyle w:val="Normal22"/>
        <w:widowControl w:val="0"/>
        <w:spacing w:before="200" w:line="260" w:lineRule="atLeast"/>
        <w:jc w:val="both"/>
      </w:pPr>
      <w:bookmarkStart w:id="4150" w:name="Bookmark_para_18_15"/>
      <w:bookmarkStart w:id="4151" w:name="Bookmark_LNHNREFclscc4_17"/>
      <w:bookmarkEnd w:id="4150"/>
      <w:bookmarkEnd w:id="4151"/>
      <w:r>
        <w:rPr>
          <w:rFonts w:ascii="Arial" w:eastAsia="Arial" w:hAnsi="Arial" w:cs="Arial"/>
          <w:color w:val="000000"/>
          <w:sz w:val="20"/>
        </w:rPr>
        <w:t>Section 1415(</w:t>
      </w:r>
      <w:r>
        <w:rPr>
          <w:rFonts w:ascii="Arial" w:eastAsia="Arial" w:hAnsi="Arial" w:cs="Arial"/>
          <w:i/>
          <w:color w:val="000000"/>
          <w:sz w:val="20"/>
        </w:rPr>
        <w:t>l</w:t>
      </w:r>
      <w:r>
        <w:rPr>
          <w:rFonts w:ascii="Arial" w:eastAsia="Arial" w:hAnsi="Arial" w:cs="Arial"/>
          <w:color w:val="000000"/>
          <w:sz w:val="20"/>
        </w:rPr>
        <w:t>) of the IDEA addresses the Act's relationship with other statutory remedies and contains an exhaustion requirement:</w:t>
      </w:r>
    </w:p>
    <w:p w:rsidR="00E456CD" w:rsidRDefault="00000000">
      <w:pPr>
        <w:pStyle w:val="Normal22"/>
        <w:widowControl w:val="0"/>
        <w:spacing w:line="260" w:lineRule="atLeast"/>
        <w:ind w:left="400"/>
        <w:jc w:val="both"/>
      </w:pPr>
      <w:bookmarkStart w:id="4152" w:name="Bookmark_para_19_15"/>
      <w:bookmarkEnd w:id="4152"/>
      <w:r>
        <w:rPr>
          <w:rFonts w:ascii="Arial" w:eastAsia="Arial" w:hAnsi="Arial" w:cs="Arial"/>
          <w:color w:val="000000"/>
          <w:sz w:val="20"/>
        </w:rPr>
        <w:t>Nothing in this chapter shall be construed to restrict or limit the rights, procedures, and remedies available under the Constitution, the Americans with Disabilities Act of 1990, Title V of the Rehabilitation Act of 1973, or other Federal laws protecting the rights of children with disabilities, except that before the filing of a civil action under such laws seeking relief that is also available under this subchapter, the procedures under subsections (f) and (g) shall be exhausted to the same extent as would be required had the action been brought under this subchapter.</w:t>
      </w:r>
    </w:p>
    <w:p w:rsidR="00E456CD" w:rsidRDefault="00000000">
      <w:pPr>
        <w:pStyle w:val="Normal22"/>
        <w:widowControl w:val="0"/>
        <w:spacing w:line="260" w:lineRule="atLeast"/>
        <w:jc w:val="both"/>
      </w:pPr>
      <w:r>
        <w:rPr>
          <w:rFonts w:ascii="Arial" w:eastAsia="Arial" w:hAnsi="Arial" w:cs="Arial"/>
          <w:color w:val="000000"/>
          <w:sz w:val="20"/>
        </w:rPr>
        <w:t>29 U.S.C. § 1415(l).</w:t>
      </w:r>
    </w:p>
    <w:p w:rsidR="00E456CD" w:rsidRDefault="00000000">
      <w:pPr>
        <w:pStyle w:val="Normal22"/>
        <w:widowControl w:val="0"/>
        <w:spacing w:before="120" w:line="260" w:lineRule="atLeast"/>
      </w:pPr>
      <w:r>
        <w:rPr>
          <w:rFonts w:ascii="Arial" w:eastAsia="Arial" w:hAnsi="Arial" w:cs="Arial"/>
          <w:color w:val="000000"/>
          <w:sz w:val="20"/>
        </w:rPr>
        <w:t>B.</w:t>
      </w:r>
    </w:p>
    <w:p w:rsidR="00E456CD" w:rsidRDefault="00000000">
      <w:pPr>
        <w:pStyle w:val="Normal22"/>
        <w:widowControl w:val="0"/>
        <w:spacing w:before="200" w:line="260" w:lineRule="atLeast"/>
        <w:jc w:val="both"/>
      </w:pPr>
      <w:bookmarkStart w:id="4153" w:name="Bookmark_para_20_15"/>
      <w:bookmarkStart w:id="4154" w:name="Bookmark_I5SYW4892D6NNV0020000400"/>
      <w:bookmarkStart w:id="4155" w:name="Bookmark_LNHNREFclscc5_16"/>
      <w:bookmarkEnd w:id="4153"/>
      <w:bookmarkEnd w:id="4154"/>
      <w:bookmarkEnd w:id="4155"/>
      <w:r>
        <w:rPr>
          <w:rFonts w:ascii="Arial" w:eastAsia="Arial" w:hAnsi="Arial" w:cs="Arial"/>
          <w:color w:val="000000"/>
          <w:sz w:val="20"/>
        </w:rPr>
        <w:t xml:space="preserve">"[T]he ADA and Rehabilitation Act cover largely the same ground." </w:t>
      </w:r>
      <w:bookmarkStart w:id="4156" w:name="Bookmark_I5SYW4892D6NNV0010000400"/>
      <w:bookmarkEnd w:id="4156"/>
      <w:r>
        <w:rPr>
          <w:rFonts w:ascii="Arial" w:eastAsia="Arial" w:hAnsi="Arial" w:cs="Arial"/>
          <w:i/>
          <w:color w:val="000000"/>
          <w:sz w:val="20"/>
        </w:rPr>
        <w:t>R.K. ex rel. J.K. v. Bd. of Educ. of Scott Cty., Ky.</w:t>
      </w:r>
      <w:r>
        <w:rPr>
          <w:rFonts w:ascii="Arial" w:eastAsia="Arial" w:hAnsi="Arial" w:cs="Arial"/>
          <w:color w:val="000000"/>
          <w:sz w:val="20"/>
        </w:rPr>
        <w:t>, 637 F. App'x 922, 924 (6th Cir. 2016). The Rehabilitation Act § 504 provides:</w:t>
      </w:r>
    </w:p>
    <w:p w:rsidR="00E456CD" w:rsidRDefault="00000000">
      <w:pPr>
        <w:pStyle w:val="Normal22"/>
        <w:widowControl w:val="0"/>
        <w:spacing w:before="200" w:line="260" w:lineRule="atLeast"/>
        <w:ind w:left="400"/>
        <w:jc w:val="both"/>
      </w:pPr>
      <w:bookmarkStart w:id="4157" w:name="Bookmark_para_21_14"/>
      <w:bookmarkStart w:id="4158" w:name="Bookmark_I5SYW4892D6NNV0020000400_2"/>
      <w:bookmarkEnd w:id="4157"/>
      <w:bookmarkEnd w:id="4158"/>
      <w:r>
        <w:rPr>
          <w:rFonts w:ascii="Arial" w:eastAsia="Arial" w:hAnsi="Arial" w:cs="Arial"/>
          <w:color w:val="000000"/>
          <w:sz w:val="20"/>
        </w:rPr>
        <w:t>No otherwise qualified [**9]  individual with a disability in the United States . . . shall, solely by reason of her or his disability, be excluded from the participation in, be denied the benefits of, or be subjected to discrimination under any program or activity  [*77]  receiving Federal financial assistance.</w:t>
      </w:r>
    </w:p>
    <w:p w:rsidR="00E456CD" w:rsidRDefault="00000000">
      <w:pPr>
        <w:pStyle w:val="Normal22"/>
        <w:widowControl w:val="0"/>
        <w:spacing w:before="200" w:line="260" w:lineRule="atLeast"/>
        <w:jc w:val="both"/>
      </w:pPr>
      <w:r>
        <w:rPr>
          <w:rFonts w:ascii="Arial" w:eastAsia="Arial" w:hAnsi="Arial" w:cs="Arial"/>
          <w:color w:val="000000"/>
          <w:sz w:val="20"/>
        </w:rPr>
        <w:t xml:space="preserve">29 U.S.C. § 794(a). Similarly, Title II of the ADA forbids any "public entity" from discriminating based on disability. 42 U.S.C. § 12131 </w:t>
      </w:r>
      <w:r>
        <w:rPr>
          <w:rFonts w:ascii="Arial" w:eastAsia="Arial" w:hAnsi="Arial" w:cs="Arial"/>
          <w:i/>
          <w:color w:val="000000"/>
          <w:sz w:val="20"/>
        </w:rPr>
        <w:t>et seq.</w:t>
      </w:r>
      <w:r>
        <w:rPr>
          <w:rFonts w:ascii="Arial" w:eastAsia="Arial" w:hAnsi="Arial" w:cs="Arial"/>
          <w:color w:val="000000"/>
          <w:sz w:val="20"/>
        </w:rPr>
        <w:t xml:space="preserve"> This statute provides:</w:t>
      </w:r>
    </w:p>
    <w:p w:rsidR="00E456CD" w:rsidRDefault="00000000">
      <w:pPr>
        <w:pStyle w:val="Normal22"/>
        <w:widowControl w:val="0"/>
        <w:spacing w:line="260" w:lineRule="atLeast"/>
        <w:ind w:left="400"/>
        <w:jc w:val="both"/>
      </w:pPr>
      <w:bookmarkStart w:id="4159" w:name="Bookmark_para_22_14"/>
      <w:bookmarkEnd w:id="4159"/>
      <w:r>
        <w:rPr>
          <w:rFonts w:ascii="Arial" w:eastAsia="Arial" w:hAnsi="Arial" w:cs="Arial"/>
          <w:color w:val="000000"/>
          <w:sz w:val="20"/>
        </w:rPr>
        <w:t>[N]o qualified individual with a disability shall, by reason of such disability, be excluded from participation in or be denied the benefits of the services, programs, or activities of a public entity, or be subjected to discrimination by any such entity.</w:t>
      </w:r>
    </w:p>
    <w:p w:rsidR="00E456CD" w:rsidRDefault="00000000">
      <w:pPr>
        <w:pStyle w:val="Normal22"/>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at § 12132. ADA regulations require that a public entity "make reasonable modifications in policies, practices, or procedures when the modifications are necessary to avoid discrimination on the basis of disability, unless the public entity can demonstrate that making the modifications would fundamentally alter the nature of the service, program, or activity." 28 C.F.R. § 35.130(b)(7). Individuals may seek monetary damages or injunctive relief for violations of Title II.</w:t>
      </w:r>
    </w:p>
    <w:p w:rsidR="00E456CD" w:rsidRDefault="00000000">
      <w:pPr>
        <w:pStyle w:val="Normal22"/>
        <w:widowControl w:val="0"/>
        <w:spacing w:before="200" w:line="260" w:lineRule="atLeast"/>
        <w:jc w:val="both"/>
      </w:pPr>
      <w:bookmarkStart w:id="4160" w:name="Bookmark_para_23_14"/>
      <w:bookmarkStart w:id="4161" w:name="Bookmark_I5SYW4892D6NNV0040000400"/>
      <w:bookmarkEnd w:id="4160"/>
      <w:bookmarkEnd w:id="4161"/>
      <w:r>
        <w:rPr>
          <w:rFonts w:ascii="Arial" w:eastAsia="Arial" w:hAnsi="Arial" w:cs="Arial"/>
          <w:color w:val="000000"/>
          <w:sz w:val="20"/>
        </w:rPr>
        <w:t xml:space="preserve">The Supreme Court recently addressed the relationship between the IDEA and federal discrimination [**10]  statutes. </w:t>
      </w:r>
      <w:bookmarkStart w:id="4162" w:name="Bookmark_I5SYW4892N1RV60010000400"/>
      <w:bookmarkEnd w:id="4162"/>
      <w:r>
        <w:rPr>
          <w:rFonts w:ascii="Arial" w:eastAsia="Arial" w:hAnsi="Arial" w:cs="Arial"/>
          <w:color w:val="000000"/>
          <w:sz w:val="20"/>
        </w:rPr>
        <w:t xml:space="preserve">In </w:t>
      </w:r>
      <w:r>
        <w:rPr>
          <w:rFonts w:ascii="Arial" w:eastAsia="Arial" w:hAnsi="Arial" w:cs="Arial"/>
          <w:i/>
          <w:color w:val="000000"/>
          <w:sz w:val="20"/>
        </w:rPr>
        <w:t>Fry v. Napoleon Community Schools</w:t>
      </w:r>
      <w:r>
        <w:rPr>
          <w:rFonts w:ascii="Arial" w:eastAsia="Arial" w:hAnsi="Arial" w:cs="Arial"/>
          <w:color w:val="000000"/>
          <w:sz w:val="20"/>
        </w:rPr>
        <w:t xml:space="preserve">, the plaintiffs' daughter, E.F., suffered from cerebral palsy and was prescribed a service dog to assist her with everyday tasks. </w:t>
      </w:r>
      <w:bookmarkStart w:id="4163" w:name="Bookmark_I5SYW4892D6NNV0030000400"/>
      <w:bookmarkEnd w:id="4163"/>
      <w:r>
        <w:rPr>
          <w:rFonts w:ascii="Arial" w:eastAsia="Arial" w:hAnsi="Arial" w:cs="Arial"/>
          <w:color w:val="000000"/>
          <w:sz w:val="20"/>
        </w:rPr>
        <w:t xml:space="preserve">788 F.3d 622, 624 (6th Cir. 2015). E.F.'s school, which provided her with a human aide as part of her IEP under the IDEA, refused to permit her to bring the service dog to school. </w:t>
      </w:r>
      <w:bookmarkStart w:id="4164" w:name="Bookmark_I5SYW4892N1RV60010000400_2"/>
      <w:bookmarkEnd w:id="4164"/>
      <w:r>
        <w:rPr>
          <w:rFonts w:ascii="Arial" w:eastAsia="Arial" w:hAnsi="Arial" w:cs="Arial"/>
          <w:color w:val="000000"/>
          <w:sz w:val="20"/>
        </w:rPr>
        <w:t xml:space="preserve">The plaintiffs sued the school, its principal, and the school district, alleging violations of the ADA, the Rehabilitation Act, and state disability law. The district court granted the defendants' motion to dismiss on the grounds that because the claims related to E.F.'s education and therefore necessarily implicated E.F.'s IEP, the IDEA's exhaustion provision required the plaintiffs to exhaust IDEA administrative procedures before bringing suit under the ADA and Rehabilitation Act. This court affirmed, finding that because plaintiffs "could have used IDEA procedures" to remedy the issue, they "must exhaust IDEA procedures if they seek 'relief that is also available' under IDEA, even if they do not include IDEA claims in their complaint." </w:t>
      </w:r>
      <w:bookmarkStart w:id="4165" w:name="Bookmark_I5SYW4892D6NNV0050000400"/>
      <w:bookmarkEnd w:id="4165"/>
      <w:r>
        <w:rPr>
          <w:rFonts w:ascii="Arial" w:eastAsia="Arial" w:hAnsi="Arial" w:cs="Arial"/>
          <w:i/>
          <w:color w:val="000000"/>
          <w:sz w:val="20"/>
        </w:rPr>
        <w:t>Id.</w:t>
      </w:r>
      <w:r>
        <w:rPr>
          <w:rFonts w:ascii="Arial" w:eastAsia="Arial" w:hAnsi="Arial" w:cs="Arial"/>
          <w:color w:val="000000"/>
          <w:sz w:val="20"/>
        </w:rPr>
        <w:t xml:space="preserve"> at 625.</w:t>
      </w:r>
    </w:p>
    <w:p w:rsidR="00E456CD" w:rsidRDefault="00000000">
      <w:pPr>
        <w:pStyle w:val="Normal22"/>
        <w:widowControl w:val="0"/>
        <w:spacing w:before="200" w:line="260" w:lineRule="atLeast"/>
        <w:jc w:val="both"/>
      </w:pPr>
      <w:bookmarkStart w:id="4166" w:name="Bookmark_para_24_13"/>
      <w:bookmarkEnd w:id="4166"/>
      <w:r>
        <w:rPr>
          <w:rFonts w:ascii="Arial" w:eastAsia="Arial" w:hAnsi="Arial" w:cs="Arial"/>
          <w:color w:val="000000"/>
          <w:sz w:val="20"/>
        </w:rPr>
        <w:t>The Supreme Court reversed:</w:t>
      </w:r>
    </w:p>
    <w:p w:rsidR="00E456CD" w:rsidRDefault="00000000">
      <w:pPr>
        <w:pStyle w:val="Normal22"/>
        <w:widowControl w:val="0"/>
        <w:spacing w:before="200" w:line="260" w:lineRule="atLeast"/>
        <w:ind w:left="400"/>
        <w:jc w:val="both"/>
      </w:pPr>
      <w:bookmarkStart w:id="4167" w:name="Bookmark_para_25_13"/>
      <w:bookmarkStart w:id="4168" w:name="Bookmark_LNHNREFclscc6_15"/>
      <w:bookmarkEnd w:id="4167"/>
      <w:bookmarkEnd w:id="4168"/>
      <w:r>
        <w:rPr>
          <w:rFonts w:ascii="Arial" w:eastAsia="Arial" w:hAnsi="Arial" w:cs="Arial"/>
          <w:color w:val="000000"/>
          <w:sz w:val="20"/>
        </w:rPr>
        <w:t>[Section] § 1415(</w:t>
      </w:r>
      <w:r>
        <w:rPr>
          <w:rFonts w:ascii="Arial" w:eastAsia="Arial" w:hAnsi="Arial" w:cs="Arial"/>
          <w:i/>
          <w:color w:val="000000"/>
          <w:sz w:val="20"/>
        </w:rPr>
        <w:t>l</w:t>
      </w:r>
      <w:r>
        <w:rPr>
          <w:rFonts w:ascii="Arial" w:eastAsia="Arial" w:hAnsi="Arial" w:cs="Arial"/>
          <w:color w:val="000000"/>
          <w:sz w:val="20"/>
        </w:rPr>
        <w:t>)'s exhaustion rule hinges on whether a lawsuit seeks relief for the denial of a free appropriate [**11]  public education. If a lawsuit charges such a denial, the plaintiff cannot escape § 1415(</w:t>
      </w:r>
      <w:r>
        <w:rPr>
          <w:rFonts w:ascii="Arial" w:eastAsia="Arial" w:hAnsi="Arial" w:cs="Arial"/>
          <w:i/>
          <w:color w:val="000000"/>
          <w:sz w:val="20"/>
        </w:rPr>
        <w:t>l</w:t>
      </w:r>
      <w:r>
        <w:rPr>
          <w:rFonts w:ascii="Arial" w:eastAsia="Arial" w:hAnsi="Arial" w:cs="Arial"/>
          <w:color w:val="000000"/>
          <w:sz w:val="20"/>
        </w:rPr>
        <w:t xml:space="preserve">) merely by bringing her suit under a statute other than the IDEA. . . . </w:t>
      </w:r>
      <w:bookmarkStart w:id="4169" w:name="Bookmark_I5SYW4892N1RV60030000400"/>
      <w:bookmarkEnd w:id="4169"/>
      <w:r>
        <w:rPr>
          <w:rFonts w:ascii="Arial" w:eastAsia="Arial" w:hAnsi="Arial" w:cs="Arial"/>
          <w:color w:val="000000"/>
          <w:sz w:val="20"/>
        </w:rPr>
        <w:t>Rather, that plaintiff must first submit her case to an IDEA hearing officer, experienced in addressing exactly the issues she raises. But if, in a suit brought under a different statute, the remedy sought is not for the denial of a FAPE, then exhaustion of the IDEA's procedures is not required.</w:t>
      </w:r>
    </w:p>
    <w:p w:rsidR="00E456CD" w:rsidRDefault="00000000">
      <w:pPr>
        <w:pStyle w:val="Normal22"/>
        <w:widowControl w:val="0"/>
        <w:spacing w:before="200" w:line="260" w:lineRule="atLeast"/>
        <w:jc w:val="both"/>
      </w:pPr>
      <w:bookmarkStart w:id="4170" w:name="Bookmark_I5SYW4892N1RV60030000400_2"/>
      <w:bookmarkStart w:id="4171" w:name="Bookmark_I5SYW4892N1RV60020000400"/>
      <w:bookmarkEnd w:id="4170"/>
      <w:bookmarkEnd w:id="4171"/>
      <w:r>
        <w:rPr>
          <w:rFonts w:ascii="Arial" w:eastAsia="Arial" w:hAnsi="Arial" w:cs="Arial"/>
          <w:i/>
          <w:color w:val="000000"/>
          <w:sz w:val="20"/>
        </w:rPr>
        <w:t>Fry v. Napoleon Cmty. Sch.</w:t>
      </w:r>
      <w:r>
        <w:rPr>
          <w:rFonts w:ascii="Arial" w:eastAsia="Arial" w:hAnsi="Arial" w:cs="Arial"/>
          <w:color w:val="000000"/>
          <w:sz w:val="20"/>
        </w:rPr>
        <w:t xml:space="preserve">, 137 S. Ct. 743, 754, 197 L. Ed. 2d 46 (2017). </w:t>
      </w:r>
      <w:bookmarkStart w:id="4172" w:name="Bookmark_LNHNREFclscc7_15"/>
      <w:bookmarkEnd w:id="4172"/>
      <w:r>
        <w:rPr>
          <w:rFonts w:ascii="Arial" w:eastAsia="Arial" w:hAnsi="Arial" w:cs="Arial"/>
          <w:color w:val="000000"/>
          <w:sz w:val="20"/>
        </w:rPr>
        <w:t>The Court also provided guidance for analyzing whether a plaintiff seeks relief for the denial of a FAPE:</w:t>
      </w:r>
    </w:p>
    <w:p w:rsidR="00E456CD" w:rsidRDefault="00000000">
      <w:pPr>
        <w:pStyle w:val="Normal22"/>
        <w:widowControl w:val="0"/>
        <w:spacing w:line="260" w:lineRule="atLeast"/>
        <w:ind w:left="400"/>
        <w:jc w:val="both"/>
      </w:pPr>
      <w:bookmarkStart w:id="4173" w:name="Bookmark_para_26_13"/>
      <w:bookmarkEnd w:id="4173"/>
      <w:r>
        <w:rPr>
          <w:rFonts w:ascii="Arial" w:eastAsia="Arial" w:hAnsi="Arial" w:cs="Arial"/>
          <w:color w:val="000000"/>
          <w:sz w:val="20"/>
        </w:rPr>
        <w:t>What matters is the crux—or, in legal-speak, the gravamen—of the plaintiff's complaint, setting aside any attempts at artful pleading.</w:t>
      </w:r>
    </w:p>
    <w:p w:rsidR="00E456CD" w:rsidRDefault="00000000">
      <w:pPr>
        <w:pStyle w:val="Normal22"/>
        <w:widowControl w:val="0"/>
        <w:spacing w:before="200" w:line="260" w:lineRule="atLeast"/>
        <w:ind w:left="400"/>
        <w:jc w:val="both"/>
      </w:pPr>
      <w:bookmarkStart w:id="4174" w:name="Bookmark_para_27_13"/>
      <w:bookmarkEnd w:id="4174"/>
      <w:r>
        <w:rPr>
          <w:rFonts w:ascii="Arial" w:eastAsia="Arial" w:hAnsi="Arial" w:cs="Arial"/>
          <w:color w:val="000000"/>
          <w:sz w:val="20"/>
        </w:rPr>
        <w:t>That inquiry makes central the plaintiff's own claims, as § 1415(</w:t>
      </w:r>
      <w:r>
        <w:rPr>
          <w:rFonts w:ascii="Arial" w:eastAsia="Arial" w:hAnsi="Arial" w:cs="Arial"/>
          <w:i/>
          <w:color w:val="000000"/>
          <w:sz w:val="20"/>
        </w:rPr>
        <w:t>l</w:t>
      </w:r>
      <w:r>
        <w:rPr>
          <w:rFonts w:ascii="Arial" w:eastAsia="Arial" w:hAnsi="Arial" w:cs="Arial"/>
          <w:color w:val="000000"/>
          <w:sz w:val="20"/>
        </w:rPr>
        <w:t>) explicitly requires. . . . In effect, § 1415(</w:t>
      </w:r>
      <w:r>
        <w:rPr>
          <w:rFonts w:ascii="Arial" w:eastAsia="Arial" w:hAnsi="Arial" w:cs="Arial"/>
          <w:i/>
          <w:color w:val="000000"/>
          <w:sz w:val="20"/>
        </w:rPr>
        <w:t>l</w:t>
      </w:r>
      <w:r>
        <w:rPr>
          <w:rFonts w:ascii="Arial" w:eastAsia="Arial" w:hAnsi="Arial" w:cs="Arial"/>
          <w:color w:val="000000"/>
          <w:sz w:val="20"/>
        </w:rPr>
        <w:t>) treats the plaintiff as "the master of the claim": She identifies its remedial basis—and is subject to exhaustion or not based on that choice. A court deciding whether § 1415(</w:t>
      </w:r>
      <w:r>
        <w:rPr>
          <w:rFonts w:ascii="Arial" w:eastAsia="Arial" w:hAnsi="Arial" w:cs="Arial"/>
          <w:i/>
          <w:color w:val="000000"/>
          <w:sz w:val="20"/>
        </w:rPr>
        <w:t>l</w:t>
      </w:r>
      <w:r>
        <w:rPr>
          <w:rFonts w:ascii="Arial" w:eastAsia="Arial" w:hAnsi="Arial" w:cs="Arial"/>
          <w:color w:val="000000"/>
          <w:sz w:val="20"/>
        </w:rPr>
        <w:t>) applies must therefore examine whether a plaintiff's complaint—the principal instrument by which she describes  [*78]  her case—seeks relief for the denial of an appropriate education. . . .</w:t>
      </w:r>
    </w:p>
    <w:p w:rsidR="00E456CD" w:rsidRDefault="00000000">
      <w:pPr>
        <w:pStyle w:val="Normal22"/>
        <w:widowControl w:val="0"/>
        <w:spacing w:before="200" w:line="260" w:lineRule="atLeast"/>
        <w:ind w:left="400"/>
        <w:jc w:val="both"/>
      </w:pPr>
      <w:bookmarkStart w:id="4175" w:name="Bookmark_para_28_13"/>
      <w:bookmarkStart w:id="4176" w:name="Bookmark_LNHNREFclscc8_13"/>
      <w:bookmarkEnd w:id="4175"/>
      <w:bookmarkEnd w:id="4176"/>
      <w:r>
        <w:rPr>
          <w:rFonts w:ascii="Arial" w:eastAsia="Arial" w:hAnsi="Arial" w:cs="Arial"/>
          <w:color w:val="000000"/>
          <w:sz w:val="20"/>
        </w:rPr>
        <w:t xml:space="preserve">One clue to whether the gravamen of a complaint [**12]  against a school concerns the denial of a FAPE, or instead addresses disability-based discrimination, can come from asking a pair of hypothetical questions. First, could the plaintiff have brought essentially the same claim if the alleged conduct had occurred at a public facility that was not a school—say, a public theater or library? And second, could an adult at the school—say, an employee or visitor—have pressed essentially the same grievance? </w:t>
      </w:r>
      <w:bookmarkStart w:id="4177" w:name="Bookmark_I5SYW4892N1RV60050000400"/>
      <w:bookmarkEnd w:id="4177"/>
      <w:r>
        <w:rPr>
          <w:rFonts w:ascii="Arial" w:eastAsia="Arial" w:hAnsi="Arial" w:cs="Arial"/>
          <w:color w:val="000000"/>
          <w:sz w:val="20"/>
        </w:rPr>
        <w:t>When the answer to those questions is yes, a complaint that does not expressly allege the denial of a FAPE is also unlikely to be truly about that subject; after all, in those other situations there is no FAPE obligation and yet the same basic suit could go forward. But when the answer is no, then the complaint probably does concern a FAPE, even if it does not explicitly say so; for the FAPE requirement is all that explains why only a child in the school setting (not an adult in that setting or a child in some other) has a viable claim.</w:t>
      </w:r>
    </w:p>
    <w:p w:rsidR="00E456CD" w:rsidRDefault="00000000">
      <w:pPr>
        <w:pStyle w:val="Normal22"/>
        <w:widowControl w:val="0"/>
        <w:spacing w:before="200" w:line="260" w:lineRule="atLeast"/>
        <w:jc w:val="both"/>
      </w:pPr>
      <w:bookmarkStart w:id="4178" w:name="Bookmark_I5SYW4892N1RV60050000400_2"/>
      <w:bookmarkStart w:id="4179" w:name="Bookmark_I5SYW4892N1RV60040000400"/>
      <w:bookmarkEnd w:id="4178"/>
      <w:bookmarkEnd w:id="4179"/>
      <w:r>
        <w:rPr>
          <w:rFonts w:ascii="Arial" w:eastAsia="Arial" w:hAnsi="Arial" w:cs="Arial"/>
          <w:i/>
          <w:color w:val="000000"/>
          <w:sz w:val="20"/>
        </w:rPr>
        <w:t>Id.</w:t>
      </w:r>
      <w:r>
        <w:rPr>
          <w:rFonts w:ascii="Arial" w:eastAsia="Arial" w:hAnsi="Arial" w:cs="Arial"/>
          <w:color w:val="000000"/>
          <w:sz w:val="20"/>
        </w:rPr>
        <w:t xml:space="preserve"> at 755-56 (internal citations omitted).</w:t>
      </w:r>
    </w:p>
    <w:p w:rsidR="00E456CD" w:rsidRDefault="00000000">
      <w:pPr>
        <w:pStyle w:val="Normal22"/>
        <w:widowControl w:val="0"/>
        <w:spacing w:before="120" w:line="260" w:lineRule="atLeast"/>
      </w:pPr>
      <w:r>
        <w:rPr>
          <w:rFonts w:ascii="Arial" w:eastAsia="Arial" w:hAnsi="Arial" w:cs="Arial"/>
          <w:color w:val="000000"/>
          <w:sz w:val="20"/>
        </w:rPr>
        <w:t>IV.</w:t>
      </w:r>
    </w:p>
    <w:p w:rsidR="00E456CD" w:rsidRDefault="00000000">
      <w:pPr>
        <w:pStyle w:val="Normal22"/>
        <w:widowControl w:val="0"/>
        <w:spacing w:before="200" w:line="260" w:lineRule="atLeast"/>
        <w:jc w:val="both"/>
      </w:pPr>
      <w:bookmarkStart w:id="4180" w:name="Bookmark_para_29_13"/>
      <w:bookmarkStart w:id="4181" w:name="Bookmark_I5SYW48928T4GK0020000400"/>
      <w:bookmarkEnd w:id="4180"/>
      <w:bookmarkEnd w:id="4181"/>
      <w:r>
        <w:rPr>
          <w:rFonts w:ascii="Arial" w:eastAsia="Arial" w:hAnsi="Arial" w:cs="Arial"/>
          <w:color w:val="000000"/>
          <w:sz w:val="20"/>
        </w:rPr>
        <w:t xml:space="preserve">Looking to the gravamen of Plaintiffs' complaint—the violations alleged and relief sought—admission to the Kid's Club is distinct from Sophie's education, is not alleged to be [**13]  necessary for Sophie to receive a FAPE, and is, at most, tangentially related to Sophie's IEP. </w:t>
      </w:r>
      <w:bookmarkStart w:id="4182" w:name="Bookmark_LNHNREFclscc9_11"/>
      <w:bookmarkEnd w:id="4182"/>
      <w:r>
        <w:rPr>
          <w:rFonts w:ascii="Arial" w:eastAsia="Arial" w:hAnsi="Arial" w:cs="Arial"/>
          <w:color w:val="000000"/>
          <w:sz w:val="20"/>
        </w:rPr>
        <w:t xml:space="preserve">A FAPE includes instruction specially designed to meet the unique needs of a child with a disability. </w:t>
      </w:r>
      <w:bookmarkStart w:id="4183" w:name="Bookmark_I5SYW48928T4GK0040000400"/>
      <w:bookmarkStart w:id="4184" w:name="Bookmark_I5SYW48928T4GK0010000400"/>
      <w:bookmarkEnd w:id="4183"/>
      <w:bookmarkEnd w:id="4184"/>
      <w:r>
        <w:rPr>
          <w:rFonts w:ascii="Arial" w:eastAsia="Arial" w:hAnsi="Arial" w:cs="Arial"/>
          <w:i/>
          <w:color w:val="000000"/>
          <w:sz w:val="20"/>
        </w:rPr>
        <w:t>Endrew F. ex rel. Joseph F. v. Douglas Cty. Sch. Dist. RE-1</w:t>
      </w:r>
      <w:r>
        <w:rPr>
          <w:rFonts w:ascii="Arial" w:eastAsia="Arial" w:hAnsi="Arial" w:cs="Arial"/>
          <w:color w:val="000000"/>
          <w:sz w:val="20"/>
        </w:rPr>
        <w:t xml:space="preserve">, 137 S. Ct. 988, 1000, 197 L. Ed. 2d 335 (2017) (citation omitted). "The IEP provisions reflect . . . that, for most children, a FAPE will involve integration in the regular classroom and individualized special education calculated to achieve advancement from grade to grade." </w:t>
      </w:r>
      <w:r>
        <w:rPr>
          <w:rFonts w:ascii="Arial" w:eastAsia="Arial" w:hAnsi="Arial" w:cs="Arial"/>
          <w:i/>
          <w:color w:val="000000"/>
          <w:sz w:val="20"/>
        </w:rPr>
        <w:t>Id.</w:t>
      </w:r>
      <w:r>
        <w:rPr>
          <w:rFonts w:ascii="Arial" w:eastAsia="Arial" w:hAnsi="Arial" w:cs="Arial"/>
          <w:color w:val="000000"/>
          <w:sz w:val="20"/>
        </w:rPr>
        <w:t xml:space="preserve"> Here, admission to an after-school childcare program is not required for Sophie to receive educational benefits at school, and nothing in Plaintiffs' complaint alleges admission to the Kid's Club is required for her education. </w:t>
      </w:r>
      <w:bookmarkStart w:id="4185" w:name="Bookmark_I5SYW48928T4GK0040000400_2"/>
      <w:bookmarkEnd w:id="4185"/>
      <w:r>
        <w:rPr>
          <w:rFonts w:ascii="Arial" w:eastAsia="Arial" w:hAnsi="Arial" w:cs="Arial"/>
          <w:i/>
          <w:color w:val="000000"/>
          <w:sz w:val="20"/>
        </w:rPr>
        <w:t xml:space="preserve">See </w:t>
      </w:r>
      <w:bookmarkStart w:id="4186" w:name="Bookmark_I5SYW48928T4GK0030000400"/>
      <w:bookmarkEnd w:id="4186"/>
      <w:r>
        <w:rPr>
          <w:rFonts w:ascii="Arial" w:eastAsia="Arial" w:hAnsi="Arial" w:cs="Arial"/>
          <w:i/>
          <w:color w:val="000000"/>
          <w:sz w:val="20"/>
        </w:rPr>
        <w:t>Fry</w:t>
      </w:r>
      <w:r>
        <w:rPr>
          <w:rFonts w:ascii="Arial" w:eastAsia="Arial" w:hAnsi="Arial" w:cs="Arial"/>
          <w:color w:val="000000"/>
          <w:sz w:val="20"/>
        </w:rPr>
        <w:t>, 137 S. Ct. at 758 ("The Frys' complaint alleges only disability-based discrimination, without making any reference to the adequacy of the special education services E.F.'s school provided.").</w:t>
      </w:r>
      <w:r>
        <w:rPr>
          <w:rFonts w:ascii="Arial" w:eastAsia="Arial" w:hAnsi="Arial" w:cs="Arial"/>
          <w:vertAlign w:val="superscript"/>
        </w:rPr>
        <w:footnoteReference w:customMarkFollows="1" w:id="185"/>
        <w:t>1</w:t>
      </w:r>
    </w:p>
    <w:p w:rsidR="00E456CD" w:rsidRDefault="00000000">
      <w:pPr>
        <w:pStyle w:val="Normal22"/>
        <w:widowControl w:val="0"/>
        <w:spacing w:before="200" w:line="260" w:lineRule="atLeast"/>
        <w:jc w:val="both"/>
      </w:pPr>
      <w:bookmarkStart w:id="4191" w:name="Bookmark_para_30_13"/>
      <w:bookmarkStart w:id="4192" w:name="Bookmark_I5SYW48928T4GM0050000400"/>
      <w:bookmarkEnd w:id="4191"/>
      <w:bookmarkEnd w:id="4192"/>
      <w:r>
        <w:rPr>
          <w:rFonts w:ascii="Arial" w:eastAsia="Arial" w:hAnsi="Arial" w:cs="Arial"/>
          <w:color w:val="000000"/>
          <w:sz w:val="20"/>
        </w:rPr>
        <w:t>Wilson County argues that the claim seeks relief for denial of a FAPE because Sophie's IEP addresses her toileting needs, including "improved independence with donning/doffing [lower extremity] clothing for toileting." [IEP, R.31-1 at PID 176]. The district court agreed with this argument because "when a plaintiff has alleged injuries that could be redressed [**14]  to any degree by the IDEA's administrative procedures and remedies, exhaustion of those remedies is required." [</w:t>
      </w:r>
      <w:r>
        <w:rPr>
          <w:rFonts w:ascii="Arial" w:eastAsia="Arial" w:hAnsi="Arial" w:cs="Arial"/>
          <w:i/>
          <w:color w:val="000000"/>
          <w:sz w:val="20"/>
        </w:rPr>
        <w:t>Id.</w:t>
      </w:r>
      <w:r>
        <w:rPr>
          <w:rFonts w:ascii="Arial" w:eastAsia="Arial" w:hAnsi="Arial" w:cs="Arial"/>
          <w:color w:val="000000"/>
          <w:sz w:val="20"/>
        </w:rPr>
        <w:t xml:space="preserve">] (quoting </w:t>
      </w:r>
      <w:bookmarkStart w:id="4193" w:name="Bookmark_I5SYW48928T4GM0040000400"/>
      <w:bookmarkEnd w:id="4193"/>
      <w:r>
        <w:rPr>
          <w:rFonts w:ascii="Arial" w:eastAsia="Arial" w:hAnsi="Arial" w:cs="Arial"/>
          <w:i/>
          <w:color w:val="000000"/>
          <w:sz w:val="20"/>
        </w:rPr>
        <w:t>S.E. v. Grant Cty. Bd. of Educ.</w:t>
      </w:r>
      <w:r>
        <w:rPr>
          <w:rFonts w:ascii="Arial" w:eastAsia="Arial" w:hAnsi="Arial" w:cs="Arial"/>
          <w:color w:val="000000"/>
          <w:sz w:val="20"/>
        </w:rPr>
        <w:t>, 544 F.3d 633, 642-43 (6th Cir. 2008)).</w:t>
      </w:r>
    </w:p>
    <w:p w:rsidR="00E456CD" w:rsidRDefault="00000000">
      <w:pPr>
        <w:pStyle w:val="Normal22"/>
        <w:widowControl w:val="0"/>
        <w:spacing w:before="200" w:line="260" w:lineRule="atLeast"/>
        <w:jc w:val="both"/>
      </w:pPr>
      <w:bookmarkStart w:id="4194" w:name="Bookmark_para_31_13"/>
      <w:bookmarkStart w:id="4195" w:name="Bookmark_I5C4T35JT4C0000G2DT00002"/>
      <w:bookmarkStart w:id="4196" w:name="Bookmark_I5SYW4892D6NNW0020000400"/>
      <w:bookmarkStart w:id="4197" w:name="Bookmark_I5SYW4892D6NNW0040000400"/>
      <w:bookmarkEnd w:id="4194"/>
      <w:bookmarkEnd w:id="4195"/>
      <w:bookmarkEnd w:id="4196"/>
      <w:bookmarkEnd w:id="4197"/>
      <w:r>
        <w:rPr>
          <w:rFonts w:ascii="Arial" w:eastAsia="Arial" w:hAnsi="Arial" w:cs="Arial"/>
          <w:color w:val="000000"/>
          <w:sz w:val="20"/>
        </w:rPr>
        <w:t>This analysis runs contrary to § 1415(</w:t>
      </w:r>
      <w:r>
        <w:rPr>
          <w:rFonts w:ascii="Arial" w:eastAsia="Arial" w:hAnsi="Arial" w:cs="Arial"/>
          <w:i/>
          <w:color w:val="000000"/>
          <w:sz w:val="20"/>
        </w:rPr>
        <w:t>l</w:t>
      </w:r>
      <w:r>
        <w:rPr>
          <w:rFonts w:ascii="Arial" w:eastAsia="Arial" w:hAnsi="Arial" w:cs="Arial"/>
          <w:color w:val="000000"/>
          <w:sz w:val="20"/>
        </w:rPr>
        <w:t xml:space="preserve">) and </w:t>
      </w:r>
      <w:bookmarkStart w:id="4198" w:name="Bookmark_I5SYW4892D6NNW0010000400"/>
      <w:bookmarkEnd w:id="4198"/>
      <w:r>
        <w:rPr>
          <w:rFonts w:ascii="Arial" w:eastAsia="Arial" w:hAnsi="Arial" w:cs="Arial"/>
          <w:i/>
          <w:color w:val="000000"/>
          <w:sz w:val="20"/>
        </w:rPr>
        <w:t>Fry</w:t>
      </w:r>
      <w:r>
        <w:rPr>
          <w:rFonts w:ascii="Arial" w:eastAsia="Arial" w:hAnsi="Arial" w:cs="Arial"/>
          <w:color w:val="000000"/>
          <w:sz w:val="20"/>
        </w:rPr>
        <w:t xml:space="preserve">. </w:t>
      </w:r>
      <w:bookmarkStart w:id="4199" w:name="Bookmark_LNHNREFclscc10_11"/>
      <w:bookmarkEnd w:id="4199"/>
      <w:r>
        <w:rPr>
          <w:rFonts w:ascii="Arial" w:eastAsia="Arial" w:hAnsi="Arial" w:cs="Arial"/>
          <w:color w:val="000000"/>
          <w:sz w:val="20"/>
        </w:rPr>
        <w:t>Under § 1415(</w:t>
      </w:r>
      <w:r>
        <w:rPr>
          <w:rFonts w:ascii="Arial" w:eastAsia="Arial" w:hAnsi="Arial" w:cs="Arial"/>
          <w:i/>
          <w:color w:val="000000"/>
          <w:sz w:val="20"/>
        </w:rPr>
        <w:t>l</w:t>
      </w:r>
      <w:r>
        <w:rPr>
          <w:rFonts w:ascii="Arial" w:eastAsia="Arial" w:hAnsi="Arial" w:cs="Arial"/>
          <w:color w:val="000000"/>
          <w:sz w:val="20"/>
        </w:rPr>
        <w:t xml:space="preserve">), courts must consider the substance of the plaintiff's own claims. </w:t>
      </w:r>
      <w:bookmarkStart w:id="4200" w:name="Bookmark_I5SYW4892D6NNX0010000400"/>
      <w:bookmarkEnd w:id="4200"/>
      <w:r>
        <w:rPr>
          <w:rFonts w:ascii="Arial" w:eastAsia="Arial" w:hAnsi="Arial" w:cs="Arial"/>
          <w:color w:val="000000"/>
          <w:sz w:val="20"/>
        </w:rPr>
        <w:t xml:space="preserve">"The statutory language asks whether a lawsuit in fact 'seeks' relief  [*79]  available under the IDEA—not, as a stricter exhaustion statute might, whether the suit 'could have sought' relief available under the IDEA (or, what is much the same, whether any remedies 'are' available under that law)." </w:t>
      </w:r>
      <w:bookmarkStart w:id="4201" w:name="Bookmark_I5SYW4892D6NNW0030000400"/>
      <w:bookmarkEnd w:id="4201"/>
      <w:r>
        <w:rPr>
          <w:rFonts w:ascii="Arial" w:eastAsia="Arial" w:hAnsi="Arial" w:cs="Arial"/>
          <w:i/>
          <w:color w:val="000000"/>
          <w:sz w:val="20"/>
        </w:rPr>
        <w:t>Fry</w:t>
      </w:r>
      <w:r>
        <w:rPr>
          <w:rFonts w:ascii="Arial" w:eastAsia="Arial" w:hAnsi="Arial" w:cs="Arial"/>
          <w:color w:val="000000"/>
          <w:sz w:val="20"/>
        </w:rPr>
        <w:t xml:space="preserve">, 137 S. Ct. at 755. </w:t>
      </w:r>
      <w:bookmarkStart w:id="4202" w:name="Bookmark_I5SYW4892D6NNX0010000400_2"/>
      <w:bookmarkEnd w:id="4202"/>
      <w:r>
        <w:rPr>
          <w:rFonts w:ascii="Arial" w:eastAsia="Arial" w:hAnsi="Arial" w:cs="Arial"/>
          <w:color w:val="000000"/>
          <w:sz w:val="20"/>
        </w:rPr>
        <w:t xml:space="preserve">This is further evinced by the facts of </w:t>
      </w:r>
      <w:r>
        <w:rPr>
          <w:rFonts w:ascii="Arial" w:eastAsia="Arial" w:hAnsi="Arial" w:cs="Arial"/>
          <w:i/>
          <w:color w:val="000000"/>
          <w:sz w:val="20"/>
        </w:rPr>
        <w:t>Fry</w:t>
      </w:r>
      <w:r>
        <w:rPr>
          <w:rFonts w:ascii="Arial" w:eastAsia="Arial" w:hAnsi="Arial" w:cs="Arial"/>
          <w:color w:val="000000"/>
          <w:sz w:val="20"/>
        </w:rPr>
        <w:t xml:space="preserve">, where the parties seemed to agree that E.F.'s claims could have been redressed by the IDEA's administrative procedures and remedies. But that was not dispositive because "nothing in the nature of the Frys' suit suggests any implicit focus on the adequacy of E.F.'s education." </w:t>
      </w:r>
      <w:bookmarkStart w:id="4203" w:name="Bookmark_I5SYW4892D6NNW0050000400"/>
      <w:bookmarkEnd w:id="4203"/>
      <w:r>
        <w:rPr>
          <w:rFonts w:ascii="Arial" w:eastAsia="Arial" w:hAnsi="Arial" w:cs="Arial"/>
          <w:i/>
          <w:color w:val="000000"/>
          <w:sz w:val="20"/>
        </w:rPr>
        <w:t>Id.</w:t>
      </w:r>
      <w:r>
        <w:rPr>
          <w:rFonts w:ascii="Arial" w:eastAsia="Arial" w:hAnsi="Arial" w:cs="Arial"/>
          <w:color w:val="000000"/>
          <w:sz w:val="20"/>
        </w:rPr>
        <w:t xml:space="preserve"> at 758. Similarly, Plaintiffs addressed Sophie's educational concerns in her administrative complaint, and now seek equal admission of disabled, non-toilet-trained students to Wilson County's after-school care program, separate and apart from her, or any other student's, IEP.</w:t>
      </w:r>
    </w:p>
    <w:p w:rsidR="00E456CD" w:rsidRDefault="00000000">
      <w:pPr>
        <w:pStyle w:val="Normal22"/>
        <w:widowControl w:val="0"/>
        <w:spacing w:before="200" w:line="260" w:lineRule="atLeast"/>
        <w:jc w:val="both"/>
      </w:pPr>
      <w:bookmarkStart w:id="4204" w:name="Bookmark_para_32_13"/>
      <w:bookmarkEnd w:id="4204"/>
      <w:r>
        <w:rPr>
          <w:rFonts w:ascii="Arial" w:eastAsia="Arial" w:hAnsi="Arial" w:cs="Arial"/>
          <w:color w:val="000000"/>
          <w:sz w:val="20"/>
        </w:rPr>
        <w:t xml:space="preserve">The district court determined Plaintiffs' complaint was subject to [**15]  the IDEA's exhaustion requirement by relying on the hypothetical "clues" posited in </w:t>
      </w:r>
      <w:r>
        <w:rPr>
          <w:rFonts w:ascii="Arial" w:eastAsia="Arial" w:hAnsi="Arial" w:cs="Arial"/>
          <w:i/>
          <w:color w:val="000000"/>
          <w:sz w:val="20"/>
        </w:rPr>
        <w:t>Fry</w:t>
      </w:r>
      <w:r>
        <w:rPr>
          <w:rFonts w:ascii="Arial" w:eastAsia="Arial" w:hAnsi="Arial" w:cs="Arial"/>
          <w:color w:val="000000"/>
          <w:sz w:val="20"/>
        </w:rPr>
        <w:t>, reasoning that Plaintiffs could not sue "a library or theater based on its refusal to provide personal assistants to help with toileting needs. Nor is it likely that an adult could successfully sue a school that refused to help with bathroom needs . . ." [R.38 at PID 212-13, 216].</w:t>
      </w:r>
    </w:p>
    <w:p w:rsidR="00E456CD" w:rsidRDefault="00000000">
      <w:pPr>
        <w:pStyle w:val="Normal22"/>
        <w:widowControl w:val="0"/>
        <w:spacing w:before="200" w:line="260" w:lineRule="atLeast"/>
        <w:jc w:val="both"/>
      </w:pPr>
      <w:bookmarkStart w:id="4205" w:name="Bookmark_para_33_12"/>
      <w:bookmarkStart w:id="4206" w:name="Bookmark_I5SYW4892D6NNX0030000400"/>
      <w:bookmarkEnd w:id="4205"/>
      <w:bookmarkEnd w:id="4206"/>
      <w:r>
        <w:rPr>
          <w:rFonts w:ascii="Arial" w:eastAsia="Arial" w:hAnsi="Arial" w:cs="Arial"/>
          <w:color w:val="000000"/>
          <w:sz w:val="20"/>
        </w:rPr>
        <w:t xml:space="preserve">But </w:t>
      </w:r>
      <w:bookmarkStart w:id="4207" w:name="Bookmark_LNHNREFclscc11_10"/>
      <w:bookmarkEnd w:id="4207"/>
      <w:r>
        <w:rPr>
          <w:rFonts w:ascii="Arial" w:eastAsia="Arial" w:hAnsi="Arial" w:cs="Arial"/>
          <w:i/>
          <w:color w:val="000000"/>
          <w:sz w:val="20"/>
        </w:rPr>
        <w:t>Fry</w:t>
      </w:r>
      <w:r>
        <w:rPr>
          <w:rFonts w:ascii="Arial" w:eastAsia="Arial" w:hAnsi="Arial" w:cs="Arial"/>
          <w:color w:val="000000"/>
          <w:sz w:val="20"/>
        </w:rPr>
        <w:t xml:space="preserve">'s clues will not always assist courts. </w:t>
      </w:r>
      <w:bookmarkStart w:id="4208" w:name="Bookmark_I5SYW4892D6NNX0050000400"/>
      <w:bookmarkEnd w:id="4208"/>
      <w:r>
        <w:rPr>
          <w:rFonts w:ascii="Arial" w:eastAsia="Arial" w:hAnsi="Arial" w:cs="Arial"/>
          <w:i/>
          <w:color w:val="000000"/>
          <w:sz w:val="20"/>
        </w:rPr>
        <w:t xml:space="preserve">See </w:t>
      </w:r>
      <w:bookmarkStart w:id="4209" w:name="Bookmark_I5SYW4892D6NNX0020000400"/>
      <w:bookmarkEnd w:id="4209"/>
      <w:r>
        <w:rPr>
          <w:rFonts w:ascii="Arial" w:eastAsia="Arial" w:hAnsi="Arial" w:cs="Arial"/>
          <w:i/>
          <w:color w:val="000000"/>
          <w:sz w:val="20"/>
        </w:rPr>
        <w:t>Fry</w:t>
      </w:r>
      <w:r>
        <w:rPr>
          <w:rFonts w:ascii="Arial" w:eastAsia="Arial" w:hAnsi="Arial" w:cs="Arial"/>
          <w:color w:val="000000"/>
          <w:sz w:val="20"/>
        </w:rPr>
        <w:t xml:space="preserve">, 137 S. Ct. at 759 (Alito, J., concurring) ("These clues make sense only if there is no overlap between the relief available under [the IDEA and other federal laws]. The Court does not show or even claim that there is no such overlap—to the contrary, it observes that '[t]he same conduct might violate' the ADA, the Rehabilitation Act and the IDEA. And since these clues work only in the absence of overlap, I would not suggest them."). </w:t>
      </w:r>
      <w:bookmarkStart w:id="4210" w:name="Bookmark_I5SYW4892D6NNX0050000400_2"/>
      <w:bookmarkEnd w:id="4210"/>
      <w:r>
        <w:rPr>
          <w:rFonts w:ascii="Arial" w:eastAsia="Arial" w:hAnsi="Arial" w:cs="Arial"/>
          <w:i/>
          <w:color w:val="000000"/>
          <w:sz w:val="20"/>
        </w:rPr>
        <w:t xml:space="preserve">See also J.S., III by &amp; through </w:t>
      </w:r>
      <w:bookmarkStart w:id="4211" w:name="Bookmark_I5SYW4892D6NNX0040000400"/>
      <w:bookmarkEnd w:id="4211"/>
      <w:r>
        <w:rPr>
          <w:rFonts w:ascii="Arial" w:eastAsia="Arial" w:hAnsi="Arial" w:cs="Arial"/>
          <w:i/>
          <w:color w:val="000000"/>
          <w:sz w:val="20"/>
        </w:rPr>
        <w:t>J.S. Jr. v. Houston Cty. Bd. of Educ.</w:t>
      </w:r>
      <w:r>
        <w:rPr>
          <w:rFonts w:ascii="Arial" w:eastAsia="Arial" w:hAnsi="Arial" w:cs="Arial"/>
          <w:color w:val="000000"/>
          <w:sz w:val="20"/>
        </w:rPr>
        <w:t xml:space="preserve">, 877 F.3d 979, 986 (11th Cir. 2017) ("The cause of action here does not fit neatly into </w:t>
      </w:r>
      <w:r>
        <w:rPr>
          <w:rFonts w:ascii="Arial" w:eastAsia="Arial" w:hAnsi="Arial" w:cs="Arial"/>
          <w:i/>
          <w:color w:val="000000"/>
          <w:sz w:val="20"/>
        </w:rPr>
        <w:t>Fry</w:t>
      </w:r>
      <w:r>
        <w:rPr>
          <w:rFonts w:ascii="Arial" w:eastAsia="Arial" w:hAnsi="Arial" w:cs="Arial"/>
          <w:color w:val="000000"/>
          <w:sz w:val="20"/>
        </w:rPr>
        <w:t>'s hypotheticals. . . . Although this claim could be brought as a FAPE violation for failure to follow J.S.' IEP, we conclude that it is also cognizable as a separate claim for intentional discrimination under the ADA and § 504.").</w:t>
      </w:r>
    </w:p>
    <w:p w:rsidR="00E456CD" w:rsidRDefault="00000000">
      <w:pPr>
        <w:pStyle w:val="Normal22"/>
        <w:widowControl w:val="0"/>
        <w:spacing w:before="200" w:line="260" w:lineRule="atLeast"/>
        <w:jc w:val="both"/>
      </w:pPr>
      <w:bookmarkStart w:id="4212" w:name="Bookmark_para_34_11"/>
      <w:bookmarkStart w:id="4213" w:name="Bookmark_I5C4T35JJN20000G2DT00001"/>
      <w:bookmarkStart w:id="4214" w:name="Bookmark_I5SYW4892N1RV70020000400"/>
      <w:bookmarkEnd w:id="4212"/>
      <w:bookmarkEnd w:id="4213"/>
      <w:bookmarkEnd w:id="4214"/>
      <w:r>
        <w:rPr>
          <w:rFonts w:ascii="Arial" w:eastAsia="Arial" w:hAnsi="Arial" w:cs="Arial"/>
          <w:color w:val="000000"/>
          <w:sz w:val="20"/>
        </w:rPr>
        <w:t xml:space="preserve">Plaintiffs' complaint does not fit neatly into </w:t>
      </w:r>
      <w:bookmarkStart w:id="4215" w:name="Bookmark_I5SYW4892N1RV70010000400"/>
      <w:bookmarkEnd w:id="4215"/>
      <w:r>
        <w:rPr>
          <w:rFonts w:ascii="Arial" w:eastAsia="Arial" w:hAnsi="Arial" w:cs="Arial"/>
          <w:i/>
          <w:color w:val="000000"/>
          <w:sz w:val="20"/>
        </w:rPr>
        <w:t>Fry</w:t>
      </w:r>
      <w:r>
        <w:rPr>
          <w:rFonts w:ascii="Arial" w:eastAsia="Arial" w:hAnsi="Arial" w:cs="Arial"/>
          <w:color w:val="000000"/>
          <w:sz w:val="20"/>
        </w:rPr>
        <w:t>'s hypotheticals [**16]  because some claims apply only to children, including access to childcare. Here, asking whether Plaintiffs could sue a theater under the ADA or § 504 based on its refusal to provide toileting assistance does not assist the court. The more pertinent question is whether essentially the same claim could be brought against another public childcare provider. Without reaching the merits of that hypothetical claim,</w:t>
      </w:r>
      <w:r>
        <w:rPr>
          <w:rFonts w:ascii="Arial" w:eastAsia="Arial" w:hAnsi="Arial" w:cs="Arial"/>
          <w:vertAlign w:val="superscript"/>
        </w:rPr>
        <w:footnoteReference w:customMarkFollows="1" w:id="186"/>
        <w:t>2</w:t>
      </w:r>
      <w:r>
        <w:rPr>
          <w:rFonts w:ascii="Arial" w:eastAsia="Arial" w:hAnsi="Arial" w:cs="Arial"/>
          <w:color w:val="000000"/>
          <w:sz w:val="20"/>
        </w:rPr>
        <w:t xml:space="preserve"> there are circumstances under which such a claim would survive. For example, if a public facility admitted non-toilet-trained children under a certain age but refused to accommodate older children requiring diapering,  [*80]  that may violate the ADA or § 504. Or if a public facility provided toileting or diapering assistance to a non-disabled child who had an accident or was young enough to need occasional help, then the facility may have an obligation under the ADA and § 504 to provide disabled children a similar accommodation.</w:t>
      </w:r>
    </w:p>
    <w:p w:rsidR="00E456CD" w:rsidRDefault="00000000">
      <w:pPr>
        <w:pStyle w:val="Normal22"/>
        <w:widowControl w:val="0"/>
        <w:spacing w:before="200" w:line="260" w:lineRule="atLeast"/>
        <w:jc w:val="both"/>
      </w:pPr>
      <w:bookmarkStart w:id="4217" w:name="Bookmark_para_35_10"/>
      <w:bookmarkStart w:id="4218" w:name="Bookmark_I5SYW4892N1RV70040000400"/>
      <w:bookmarkEnd w:id="4217"/>
      <w:bookmarkEnd w:id="4218"/>
      <w:r>
        <w:rPr>
          <w:rFonts w:ascii="Arial" w:eastAsia="Arial" w:hAnsi="Arial" w:cs="Arial"/>
          <w:color w:val="000000"/>
          <w:sz w:val="20"/>
        </w:rPr>
        <w:t xml:space="preserve">The district court also relied on the fact that Plaintiffs initially "included the Kid's Club claim in the administrative Due Process Complaint and that they voluntarily dismissed the claim." [R.38 at PID 216]. The </w:t>
      </w:r>
      <w:r>
        <w:rPr>
          <w:rFonts w:ascii="Arial" w:eastAsia="Arial" w:hAnsi="Arial" w:cs="Arial"/>
          <w:i/>
          <w:color w:val="000000"/>
          <w:sz w:val="20"/>
        </w:rPr>
        <w:t>Fry</w:t>
      </w:r>
      <w:r>
        <w:rPr>
          <w:rFonts w:ascii="Arial" w:eastAsia="Arial" w:hAnsi="Arial" w:cs="Arial"/>
          <w:color w:val="000000"/>
          <w:sz w:val="20"/>
        </w:rPr>
        <w:t xml:space="preserve"> court suggested that, on remand, the court should consider whether [**17]  parents, before filing suit under the ADA or the Rehabilitation Act, began to pursue but then abandoned the IDEA's formal procedures because "a plaintiff's initial pursuit of the IDEA's administrative remedies can serve as evidence that the gravamen of her later suit is the denial of a FAPE, even though that does not appear on the face of her complaint." </w:t>
      </w:r>
      <w:bookmarkStart w:id="4219" w:name="Bookmark_I5SYW4892N1RV70030000400"/>
      <w:bookmarkEnd w:id="4219"/>
      <w:r>
        <w:rPr>
          <w:rFonts w:ascii="Arial" w:eastAsia="Arial" w:hAnsi="Arial" w:cs="Arial"/>
          <w:i/>
          <w:color w:val="000000"/>
          <w:sz w:val="20"/>
        </w:rPr>
        <w:t>Fry</w:t>
      </w:r>
      <w:r>
        <w:rPr>
          <w:rFonts w:ascii="Arial" w:eastAsia="Arial" w:hAnsi="Arial" w:cs="Arial"/>
          <w:color w:val="000000"/>
          <w:sz w:val="20"/>
        </w:rPr>
        <w:t>, 137 S. Ct. at 758.</w:t>
      </w:r>
      <w:r>
        <w:rPr>
          <w:rFonts w:ascii="Arial" w:eastAsia="Arial" w:hAnsi="Arial" w:cs="Arial"/>
          <w:vertAlign w:val="superscript"/>
        </w:rPr>
        <w:footnoteReference w:customMarkFollows="1" w:id="187"/>
        <w:t>3</w:t>
      </w:r>
    </w:p>
    <w:p w:rsidR="00E456CD" w:rsidRDefault="00000000">
      <w:pPr>
        <w:pStyle w:val="Normal22"/>
        <w:widowControl w:val="0"/>
        <w:spacing w:before="200" w:line="260" w:lineRule="atLeast"/>
        <w:jc w:val="both"/>
      </w:pPr>
      <w:bookmarkStart w:id="4223" w:name="Bookmark_para_36_10"/>
      <w:bookmarkEnd w:id="4223"/>
      <w:r>
        <w:rPr>
          <w:rFonts w:ascii="Arial" w:eastAsia="Arial" w:hAnsi="Arial" w:cs="Arial"/>
          <w:color w:val="000000"/>
          <w:sz w:val="20"/>
        </w:rPr>
        <w:t>However, Sophie's administrative due process complaint did not seek admission to the Kid's Club as a remedy, nor did Plaintiffs allege Sophie's exclusion violated the IDEA. The due process complaint described various therapies and aids Sophie sought to benefit her educational development. [R.21-2 at PID 286]. The Final Order Entered By Consent sets forth agreed changes to Sophie's IEP and then states:</w:t>
      </w:r>
    </w:p>
    <w:p w:rsidR="00E456CD" w:rsidRDefault="00000000">
      <w:pPr>
        <w:pStyle w:val="Normal22"/>
        <w:widowControl w:val="0"/>
        <w:spacing w:line="260" w:lineRule="atLeast"/>
        <w:ind w:left="400"/>
        <w:jc w:val="both"/>
      </w:pPr>
      <w:bookmarkStart w:id="4224" w:name="Bookmark_para_37_9"/>
      <w:bookmarkEnd w:id="4224"/>
      <w:r>
        <w:rPr>
          <w:rFonts w:ascii="Arial" w:eastAsia="Arial" w:hAnsi="Arial" w:cs="Arial"/>
          <w:color w:val="000000"/>
          <w:sz w:val="20"/>
        </w:rPr>
        <w:t>The Parties agreed that under the terms of the IEP, the parties have satisfactorily resolved that substantive part of the Petitioner's complaint for due process seeking relief for educational benefits under the IDEA.</w:t>
      </w:r>
    </w:p>
    <w:p w:rsidR="00E456CD" w:rsidRDefault="00000000">
      <w:pPr>
        <w:pStyle w:val="Normal22"/>
        <w:widowControl w:val="0"/>
        <w:spacing w:before="200" w:line="260" w:lineRule="atLeast"/>
        <w:ind w:left="400"/>
        <w:jc w:val="both"/>
      </w:pPr>
      <w:bookmarkStart w:id="4225" w:name="Bookmark_para_38_9"/>
      <w:bookmarkEnd w:id="4225"/>
      <w:r>
        <w:rPr>
          <w:rFonts w:ascii="Arial" w:eastAsia="Arial" w:hAnsi="Arial" w:cs="Arial"/>
          <w:color w:val="000000"/>
          <w:sz w:val="20"/>
        </w:rPr>
        <w:t>The Parties cannot reach agreement on resolution of the Petitioner's claims related to the Respondent's after-school program. Those claims are voluntarily dismissed without prejudice at the instance of the Petitioner. [**18] </w:t>
      </w:r>
    </w:p>
    <w:p w:rsidR="00E456CD" w:rsidRDefault="00000000">
      <w:pPr>
        <w:pStyle w:val="Normal22"/>
        <w:widowControl w:val="0"/>
        <w:spacing w:line="260" w:lineRule="atLeast"/>
        <w:jc w:val="both"/>
      </w:pPr>
      <w:r>
        <w:rPr>
          <w:rFonts w:ascii="Arial" w:eastAsia="Arial" w:hAnsi="Arial" w:cs="Arial"/>
          <w:color w:val="000000"/>
          <w:sz w:val="20"/>
        </w:rPr>
        <w:t>[R.21-3 at PID 107]. This language suggests that the Kid's Club dispute was regarded as separate from the request for educational benefits under the IDEA.</w:t>
      </w:r>
    </w:p>
    <w:p w:rsidR="00E456CD" w:rsidRDefault="00000000">
      <w:pPr>
        <w:pStyle w:val="Normal22"/>
        <w:widowControl w:val="0"/>
        <w:spacing w:before="200" w:line="260" w:lineRule="atLeast"/>
        <w:jc w:val="both"/>
      </w:pPr>
      <w:bookmarkStart w:id="4226" w:name="Bookmark_para_39_9"/>
      <w:bookmarkEnd w:id="4226"/>
      <w:r>
        <w:rPr>
          <w:rFonts w:ascii="Arial" w:eastAsia="Arial" w:hAnsi="Arial" w:cs="Arial"/>
          <w:color w:val="000000"/>
          <w:sz w:val="20"/>
        </w:rPr>
        <w:t xml:space="preserve">The gravamen of Plaintiffs' complaint seeks access to subsidized childcare on equal terms, and not redress for the denial of a FAPE. Neither </w:t>
      </w:r>
      <w:r>
        <w:rPr>
          <w:rFonts w:ascii="Arial" w:eastAsia="Arial" w:hAnsi="Arial" w:cs="Arial"/>
          <w:i/>
          <w:color w:val="000000"/>
          <w:sz w:val="20"/>
        </w:rPr>
        <w:t>Fry</w:t>
      </w:r>
      <w:r>
        <w:rPr>
          <w:rFonts w:ascii="Arial" w:eastAsia="Arial" w:hAnsi="Arial" w:cs="Arial"/>
          <w:color w:val="000000"/>
          <w:sz w:val="20"/>
        </w:rPr>
        <w:t>'s clues nor the administrative proceedings suggest otherwise. Therefore, the district court erred in finding Plaintiffs were required to exhaust administrative remedies under the IDEA.</w:t>
      </w:r>
    </w:p>
    <w:p w:rsidR="00E456CD" w:rsidRDefault="00000000">
      <w:pPr>
        <w:pStyle w:val="Normal22"/>
        <w:widowControl w:val="0"/>
        <w:spacing w:before="120" w:line="260" w:lineRule="atLeast"/>
      </w:pPr>
      <w:r>
        <w:rPr>
          <w:rFonts w:ascii="Arial" w:eastAsia="Arial" w:hAnsi="Arial" w:cs="Arial"/>
          <w:color w:val="000000"/>
          <w:sz w:val="20"/>
        </w:rPr>
        <w:t>V.</w:t>
      </w:r>
    </w:p>
    <w:p w:rsidR="00E456CD" w:rsidRDefault="00000000">
      <w:pPr>
        <w:pStyle w:val="Normal22"/>
        <w:widowControl w:val="0"/>
        <w:spacing w:before="200" w:line="260" w:lineRule="atLeast"/>
        <w:jc w:val="both"/>
      </w:pPr>
      <w:bookmarkStart w:id="4227" w:name="Bookmark_para_40_8"/>
      <w:bookmarkEnd w:id="4227"/>
      <w:r>
        <w:rPr>
          <w:rFonts w:ascii="Arial" w:eastAsia="Arial" w:hAnsi="Arial" w:cs="Arial"/>
          <w:color w:val="000000"/>
          <w:sz w:val="20"/>
        </w:rPr>
        <w:t xml:space="preserve">For the foregoing reasons, we </w:t>
      </w:r>
      <w:r>
        <w:rPr>
          <w:rFonts w:ascii="Arial" w:eastAsia="Arial" w:hAnsi="Arial" w:cs="Arial"/>
          <w:b/>
          <w:color w:val="000000"/>
          <w:sz w:val="20"/>
        </w:rPr>
        <w:t>REVERSE</w:t>
      </w:r>
      <w:r>
        <w:rPr>
          <w:rFonts w:ascii="Arial" w:eastAsia="Arial" w:hAnsi="Arial" w:cs="Arial"/>
          <w:color w:val="000000"/>
          <w:sz w:val="20"/>
        </w:rPr>
        <w:t xml:space="preserve"> the district court's dismissal and </w:t>
      </w:r>
      <w:r>
        <w:rPr>
          <w:rFonts w:ascii="Arial" w:eastAsia="Arial" w:hAnsi="Arial" w:cs="Arial"/>
          <w:b/>
          <w:color w:val="000000"/>
          <w:sz w:val="20"/>
        </w:rPr>
        <w:t>REMAND</w:t>
      </w:r>
      <w:r>
        <w:rPr>
          <w:rFonts w:ascii="Arial" w:eastAsia="Arial" w:hAnsi="Arial" w:cs="Arial"/>
          <w:color w:val="000000"/>
          <w:sz w:val="20"/>
        </w:rPr>
        <w:t xml:space="preserve"> for further proceedings consistent with this opinion.</w:t>
      </w:r>
    </w:p>
    <w:p w:rsidR="00E456CD" w:rsidRDefault="00E456CD">
      <w:pPr>
        <w:pStyle w:val="Normal22"/>
      </w:pPr>
    </w:p>
    <w:p w:rsidR="00E456CD" w:rsidRDefault="00000000">
      <w:pPr>
        <w:pStyle w:val="Normal22"/>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0841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88496704"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8203A" id="Line 52"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3"/>
        <w:sectPr w:rsidR="00E456CD">
          <w:headerReference w:type="even" r:id="rId145"/>
          <w:headerReference w:type="default" r:id="rId146"/>
          <w:footerReference w:type="even" r:id="rId147"/>
          <w:footerReference w:type="default" r:id="rId148"/>
          <w:headerReference w:type="first" r:id="rId149"/>
          <w:footerReference w:type="first" r:id="rId150"/>
          <w:pgSz w:w="12240" w:h="15840"/>
          <w:pgMar w:top="840" w:right="1000" w:bottom="840" w:left="1000" w:header="400" w:footer="400" w:gutter="0"/>
          <w:cols w:space="720"/>
          <w:titlePg/>
        </w:sectPr>
      </w:pPr>
    </w:p>
    <w:p w:rsidR="00E456CD" w:rsidRDefault="00E456CD">
      <w:pPr>
        <w:pStyle w:val="Normal23"/>
      </w:pPr>
    </w:p>
    <w:p w:rsidR="00E456CD" w:rsidRDefault="00000000">
      <w:pPr>
        <w:pStyle w:val="Heading122"/>
        <w:keepNext w:val="0"/>
        <w:widowControl w:val="0"/>
        <w:spacing w:after="200" w:line="340" w:lineRule="atLeast"/>
        <w:jc w:val="center"/>
      </w:pPr>
      <w:r>
        <w:rPr>
          <w:rFonts w:eastAsia="Arial"/>
          <w:color w:val="000000"/>
          <w:sz w:val="28"/>
        </w:rPr>
        <w:t>Heit v. Aerotek, Inc.</w:t>
      </w:r>
    </w:p>
    <w:p w:rsidR="00E456CD" w:rsidRDefault="00000000">
      <w:pPr>
        <w:pStyle w:val="Normal23"/>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23"/>
        <w:widowControl w:val="0"/>
        <w:spacing w:before="120" w:line="260" w:lineRule="atLeast"/>
        <w:jc w:val="center"/>
      </w:pPr>
      <w:r>
        <w:rPr>
          <w:rFonts w:ascii="Arial" w:eastAsia="Arial" w:hAnsi="Arial" w:cs="Arial"/>
          <w:color w:val="000000"/>
          <w:sz w:val="20"/>
        </w:rPr>
        <w:t>June 12, 2018</w:t>
      </w:r>
      <w:r>
        <w:rPr>
          <w:rFonts w:ascii="Arial" w:eastAsia="Arial" w:hAnsi="Arial" w:cs="Arial"/>
          <w:vertAlign w:val="superscript"/>
        </w:rPr>
        <w:footnoteReference w:customMarkFollows="1" w:id="188"/>
        <w:t>**</w:t>
      </w:r>
      <w:r>
        <w:rPr>
          <w:rFonts w:ascii="Arial" w:eastAsia="Arial" w:hAnsi="Arial" w:cs="Arial"/>
          <w:color w:val="000000"/>
          <w:sz w:val="20"/>
        </w:rPr>
        <w:t>, Submitted, Seattle, Washington; June 14, 2018, Filed</w:t>
      </w:r>
    </w:p>
    <w:p w:rsidR="00E456CD" w:rsidRDefault="00000000">
      <w:pPr>
        <w:pStyle w:val="Normal23"/>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16-35981</w:t>
      </w:r>
    </w:p>
    <w:p w:rsidR="00E456CD" w:rsidRDefault="00E456CD">
      <w:pPr>
        <w:pStyle w:val="Normal23"/>
        <w:widowControl w:val="0"/>
        <w:spacing w:line="240" w:lineRule="atLeast"/>
        <w:jc w:val="both"/>
      </w:pPr>
      <w:bookmarkStart w:id="4229" w:name="Bookmark_24"/>
      <w:bookmarkEnd w:id="4229"/>
    </w:p>
    <w:p w:rsidR="00E456CD" w:rsidRDefault="00000000">
      <w:pPr>
        <w:pStyle w:val="Normal23"/>
        <w:widowControl w:val="0"/>
        <w:spacing w:before="200" w:line="240" w:lineRule="atLeast"/>
      </w:pPr>
      <w:bookmarkStart w:id="4230" w:name="Reporter_22"/>
      <w:bookmarkEnd w:id="4230"/>
      <w:r>
        <w:rPr>
          <w:rFonts w:ascii="Arial" w:eastAsia="Arial" w:hAnsi="Arial" w:cs="Arial"/>
          <w:b/>
          <w:color w:val="000000"/>
          <w:sz w:val="18"/>
        </w:rPr>
        <w:t>Reporter</w:t>
      </w:r>
    </w:p>
    <w:p w:rsidR="00E456CD" w:rsidRDefault="00000000">
      <w:pPr>
        <w:pStyle w:val="Normal23"/>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726 Fed. Appx. 648 *; 2018 U.S. App. LEXIS 16016 **; 2018 WL 2978997</w:t>
      </w:r>
    </w:p>
    <w:p w:rsidR="00E456CD" w:rsidRDefault="00000000">
      <w:pPr>
        <w:pStyle w:val="Normal23"/>
        <w:widowControl w:val="0"/>
        <w:spacing w:before="120" w:line="260" w:lineRule="atLeast"/>
      </w:pPr>
      <w:r>
        <w:rPr>
          <w:rFonts w:ascii="Arial" w:eastAsia="Arial" w:hAnsi="Arial" w:cs="Arial"/>
          <w:color w:val="000000"/>
          <w:sz w:val="20"/>
        </w:rPr>
        <w:t>MICHAEL HEIT, Plaintiff-Appellant, v. AEROTEK, INC., Defendant-Appellee.</w:t>
      </w:r>
    </w:p>
    <w:p w:rsidR="00E456CD" w:rsidRDefault="00000000">
      <w:pPr>
        <w:pStyle w:val="Normal23"/>
        <w:widowControl w:val="0"/>
        <w:spacing w:before="240" w:line="260" w:lineRule="atLeast"/>
        <w:jc w:val="both"/>
      </w:pPr>
      <w:bookmarkStart w:id="4231" w:name="Notice_8"/>
      <w:bookmarkEnd w:id="4231"/>
      <w:r>
        <w:rPr>
          <w:rFonts w:ascii="Arial" w:eastAsia="Arial" w:hAnsi="Arial" w:cs="Arial"/>
          <w:b/>
          <w:color w:val="000000"/>
          <w:sz w:val="20"/>
        </w:rPr>
        <w:t>Notice:</w:t>
      </w:r>
      <w:r>
        <w:rPr>
          <w:rFonts w:ascii="Arial" w:eastAsia="Arial" w:hAnsi="Arial" w:cs="Arial"/>
          <w:color w:val="000000"/>
          <w:sz w:val="20"/>
        </w:rPr>
        <w:t> </w:t>
      </w:r>
      <w:bookmarkStart w:id="4232" w:name="Bookmark_para_1_22"/>
      <w:bookmarkEnd w:id="4232"/>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23"/>
        <w:widowControl w:val="0"/>
        <w:spacing w:before="240" w:line="260" w:lineRule="atLeast"/>
        <w:jc w:val="both"/>
      </w:pPr>
      <w:bookmarkStart w:id="4233" w:name="Prior_History_22"/>
      <w:bookmarkEnd w:id="4233"/>
      <w:r>
        <w:rPr>
          <w:rFonts w:ascii="Arial" w:eastAsia="Arial" w:hAnsi="Arial" w:cs="Arial"/>
          <w:b/>
          <w:color w:val="000000"/>
          <w:sz w:val="20"/>
        </w:rPr>
        <w:t>Prior History:</w:t>
      </w:r>
      <w:r>
        <w:rPr>
          <w:rFonts w:ascii="Arial" w:eastAsia="Arial" w:hAnsi="Arial" w:cs="Arial"/>
          <w:color w:val="000000"/>
          <w:sz w:val="20"/>
        </w:rPr>
        <w:t> </w:t>
      </w:r>
      <w:bookmarkStart w:id="4234" w:name="Bookmark_para_2_22"/>
      <w:bookmarkEnd w:id="4234"/>
      <w:r>
        <w:rPr>
          <w:rFonts w:ascii="Arial" w:eastAsia="Arial" w:hAnsi="Arial" w:cs="Arial"/>
          <w:color w:val="000000"/>
          <w:sz w:val="20"/>
        </w:rPr>
        <w:t> [**1] Appeal from the United States District Court for the Western District of Washington. D.C. No. 2:15-cv-01805-JCC. John C. Coughenour, District Judge, Presiding.</w:t>
      </w:r>
    </w:p>
    <w:p w:rsidR="00E456CD" w:rsidRDefault="00000000">
      <w:pPr>
        <w:pStyle w:val="Normal23"/>
        <w:widowControl w:val="0"/>
        <w:spacing w:before="120" w:line="260" w:lineRule="atLeast"/>
      </w:pPr>
      <w:r>
        <w:rPr>
          <w:rFonts w:ascii="Arial" w:eastAsia="Arial" w:hAnsi="Arial" w:cs="Arial"/>
          <w:color w:val="000000"/>
          <w:sz w:val="20"/>
        </w:rPr>
        <w:t>Heit v. Aerotek Inc., 2016 U.S. Dist. LEXIS 149222 (W.D. Wash., Oct. 27, 2016)</w:t>
      </w:r>
    </w:p>
    <w:p w:rsidR="00E456CD" w:rsidRDefault="00000000">
      <w:pPr>
        <w:pStyle w:val="Normal23"/>
        <w:widowControl w:val="0"/>
        <w:spacing w:before="240" w:line="260" w:lineRule="atLeast"/>
        <w:jc w:val="both"/>
      </w:pPr>
      <w:bookmarkStart w:id="4235" w:name="Disposition_5"/>
      <w:bookmarkEnd w:id="4235"/>
      <w:r>
        <w:rPr>
          <w:rFonts w:ascii="Arial" w:eastAsia="Arial" w:hAnsi="Arial" w:cs="Arial"/>
          <w:b/>
          <w:color w:val="000000"/>
          <w:sz w:val="20"/>
        </w:rPr>
        <w:t>Disposition:</w:t>
      </w:r>
      <w:r>
        <w:rPr>
          <w:rFonts w:ascii="Arial" w:eastAsia="Arial" w:hAnsi="Arial" w:cs="Arial"/>
          <w:color w:val="000000"/>
          <w:sz w:val="20"/>
        </w:rPr>
        <w:t> </w:t>
      </w:r>
      <w:bookmarkStart w:id="4236" w:name="Bookmark_clspara_1"/>
      <w:bookmarkEnd w:id="4236"/>
      <w:r>
        <w:rPr>
          <w:rFonts w:ascii="Arial" w:eastAsia="Arial" w:hAnsi="Arial" w:cs="Arial"/>
          <w:color w:val="000000"/>
          <w:sz w:val="20"/>
        </w:rPr>
        <w:t>AFFIRMED.</w:t>
      </w:r>
    </w:p>
    <w:p w:rsidR="00E456CD" w:rsidRDefault="00000000">
      <w:pPr>
        <w:pStyle w:val="Normal23"/>
        <w:widowControl w:val="0"/>
        <w:spacing w:before="240" w:line="260" w:lineRule="atLeast"/>
      </w:pPr>
      <w:bookmarkStart w:id="4237" w:name="Counsel_22"/>
      <w:bookmarkEnd w:id="4237"/>
      <w:r>
        <w:rPr>
          <w:rFonts w:ascii="Arial" w:eastAsia="Arial" w:hAnsi="Arial" w:cs="Arial"/>
          <w:b/>
          <w:color w:val="000000"/>
          <w:sz w:val="20"/>
        </w:rPr>
        <w:t>Counsel:</w:t>
      </w:r>
      <w:r>
        <w:rPr>
          <w:rFonts w:ascii="Arial" w:eastAsia="Arial" w:hAnsi="Arial" w:cs="Arial"/>
          <w:color w:val="000000"/>
          <w:sz w:val="20"/>
        </w:rPr>
        <w:t> For MICHAEL HEIT, Plaintiff - Appellant: Daniel R. Fjelstad, Esquire, Attorney, Daniel R. Fjelstad, PLLC, Seattle, WA.</w:t>
      </w:r>
    </w:p>
    <w:p w:rsidR="00E456CD" w:rsidRDefault="00000000">
      <w:pPr>
        <w:pStyle w:val="Normal23"/>
        <w:widowControl w:val="0"/>
        <w:spacing w:before="120" w:line="260" w:lineRule="atLeast"/>
      </w:pPr>
      <w:r>
        <w:rPr>
          <w:rFonts w:ascii="Arial" w:eastAsia="Arial" w:hAnsi="Arial" w:cs="Arial"/>
          <w:color w:val="000000"/>
          <w:sz w:val="20"/>
        </w:rPr>
        <w:t>For AEROTEK, INC., Defendant - Appellee: William E. Corum, HUSCH BLACKWELL LLP, Kansas City, MO; Brian K. Keeley, Attorney, Schlemlein Goetz Fick &amp; Scruggs, PLLC, Seattle, WA.</w:t>
      </w:r>
    </w:p>
    <w:p w:rsidR="00E456CD" w:rsidRDefault="00000000">
      <w:pPr>
        <w:pStyle w:val="Normal23"/>
        <w:widowControl w:val="0"/>
        <w:spacing w:before="240" w:line="260" w:lineRule="atLeast"/>
      </w:pPr>
      <w:bookmarkStart w:id="4238" w:name="Judges_22"/>
      <w:bookmarkEnd w:id="4238"/>
      <w:r>
        <w:rPr>
          <w:rFonts w:ascii="Arial" w:eastAsia="Arial" w:hAnsi="Arial" w:cs="Arial"/>
          <w:b/>
          <w:color w:val="000000"/>
          <w:sz w:val="20"/>
        </w:rPr>
        <w:t>Judges:</w:t>
      </w:r>
      <w:r>
        <w:rPr>
          <w:rFonts w:ascii="Arial" w:eastAsia="Arial" w:hAnsi="Arial" w:cs="Arial"/>
          <w:color w:val="000000"/>
          <w:sz w:val="20"/>
        </w:rPr>
        <w:t> Before: D.W. NELSON and WATFORD, Circuit Judges, and PREGERSON,</w:t>
      </w:r>
      <w:r>
        <w:rPr>
          <w:rFonts w:ascii="Arial" w:eastAsia="Arial" w:hAnsi="Arial" w:cs="Arial"/>
          <w:vertAlign w:val="superscript"/>
        </w:rPr>
        <w:footnoteReference w:customMarkFollows="1" w:id="189"/>
        <w:t>***</w:t>
      </w:r>
      <w:r>
        <w:rPr>
          <w:rFonts w:ascii="Arial" w:eastAsia="Arial" w:hAnsi="Arial" w:cs="Arial"/>
          <w:color w:val="000000"/>
          <w:sz w:val="20"/>
        </w:rPr>
        <w:t xml:space="preserve"> District Judge.</w:t>
      </w:r>
    </w:p>
    <w:p w:rsidR="00E456CD" w:rsidRDefault="00000000">
      <w:pPr>
        <w:pStyle w:val="Normal23"/>
        <w:keepNext/>
        <w:widowControl w:val="0"/>
        <w:spacing w:before="240" w:line="340" w:lineRule="atLeast"/>
      </w:pPr>
      <w:bookmarkStart w:id="4240" w:name="Opinion_22"/>
      <w:bookmarkEnd w:id="4240"/>
      <w:r>
        <w:rPr>
          <w:rFonts w:ascii="Arial" w:eastAsia="Arial" w:hAnsi="Arial" w:cs="Arial"/>
          <w:b/>
          <w:color w:val="000000"/>
          <w:sz w:val="28"/>
        </w:rPr>
        <w:t>Opinion</w:t>
      </w:r>
    </w:p>
    <w:p w:rsidR="00E456CD" w:rsidRDefault="00E22289">
      <w:pPr>
        <w:pStyle w:val="Normal23"/>
        <w:spacing w:line="60" w:lineRule="exact"/>
      </w:pPr>
      <w:r>
        <w:rPr>
          <w:noProof/>
        </w:rPr>
        <mc:AlternateContent>
          <mc:Choice Requires="wps">
            <w:drawing>
              <wp:anchor distT="0" distB="0" distL="114300" distR="114300" simplePos="0" relativeHeight="25170944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0527858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37ED1" id="Line 53"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3"/>
        <w:spacing w:line="120" w:lineRule="exact"/>
      </w:pPr>
    </w:p>
    <w:p w:rsidR="00E456CD" w:rsidRDefault="00000000">
      <w:pPr>
        <w:pStyle w:val="Normal23"/>
        <w:widowControl w:val="0"/>
        <w:spacing w:before="240" w:line="260" w:lineRule="atLeast"/>
      </w:pPr>
      <w:r>
        <w:br/>
      </w:r>
      <w:r>
        <w:rPr>
          <w:rFonts w:ascii="Arial" w:eastAsia="Arial" w:hAnsi="Arial" w:cs="Arial"/>
          <w:color w:val="000000"/>
          <w:sz w:val="20"/>
        </w:rPr>
        <w:t> [*649]  MEMORANDUM</w:t>
      </w:r>
      <w:r>
        <w:rPr>
          <w:rFonts w:ascii="Arial" w:eastAsia="Arial" w:hAnsi="Arial" w:cs="Arial"/>
          <w:vertAlign w:val="superscript"/>
        </w:rPr>
        <w:footnoteReference w:customMarkFollows="1" w:id="190"/>
        <w:t>*</w:t>
      </w:r>
    </w:p>
    <w:p w:rsidR="00E456CD" w:rsidRDefault="00000000">
      <w:pPr>
        <w:pStyle w:val="Normal23"/>
        <w:widowControl w:val="0"/>
        <w:spacing w:before="200" w:line="260" w:lineRule="atLeast"/>
        <w:jc w:val="both"/>
      </w:pPr>
      <w:bookmarkStart w:id="4242" w:name="Bookmark_para_3_22"/>
      <w:bookmarkStart w:id="4243" w:name="Bookmark_I5SRWRH12N1PPG0020000400"/>
      <w:bookmarkEnd w:id="4242"/>
      <w:bookmarkEnd w:id="4243"/>
      <w:r>
        <w:rPr>
          <w:rFonts w:ascii="Arial" w:eastAsia="Arial" w:hAnsi="Arial" w:cs="Arial"/>
          <w:color w:val="000000"/>
          <w:sz w:val="20"/>
        </w:rPr>
        <w:t xml:space="preserve">Michael Heit ("Heit") appeals the district court's granting summary judgment to Aerotek, Inc. ("Aerotek") on his claims for disability discrimination under the Americans with Disabilities Act ("ADA") and the Washington Law Against Discrimination ("WLAD"). We "review the district court's grant . . . of motions for summary judgment </w:t>
      </w:r>
      <w:r>
        <w:rPr>
          <w:rFonts w:ascii="Arial" w:eastAsia="Arial" w:hAnsi="Arial" w:cs="Arial"/>
          <w:i/>
          <w:color w:val="000000"/>
          <w:sz w:val="20"/>
        </w:rPr>
        <w:t>de novo</w:t>
      </w:r>
      <w:r>
        <w:rPr>
          <w:rFonts w:ascii="Arial" w:eastAsia="Arial" w:hAnsi="Arial" w:cs="Arial"/>
          <w:color w:val="000000"/>
          <w:sz w:val="20"/>
        </w:rPr>
        <w:t xml:space="preserve">." </w:t>
      </w:r>
      <w:bookmarkStart w:id="4244" w:name="Bookmark_I5SRWRH12N1PPG0010000400"/>
      <w:bookmarkEnd w:id="4244"/>
      <w:r>
        <w:rPr>
          <w:rFonts w:ascii="Arial" w:eastAsia="Arial" w:hAnsi="Arial" w:cs="Arial"/>
          <w:i/>
          <w:color w:val="000000"/>
          <w:sz w:val="20"/>
        </w:rPr>
        <w:t>Animal Legal Defense Fund v. U.S. Food &amp; Drug Admin.</w:t>
      </w:r>
      <w:r>
        <w:rPr>
          <w:rFonts w:ascii="Arial" w:eastAsia="Arial" w:hAnsi="Arial" w:cs="Arial"/>
          <w:color w:val="000000"/>
          <w:sz w:val="20"/>
        </w:rPr>
        <w:t xml:space="preserve">, 836 F.3d 987, 988 (9th Cir. 2016) (citations and internal quotation marks omitted). We have jurisdiction under 28 U.S.C. § 1291, and we </w:t>
      </w:r>
      <w:r>
        <w:rPr>
          <w:rFonts w:ascii="Arial" w:eastAsia="Arial" w:hAnsi="Arial" w:cs="Arial"/>
          <w:b/>
          <w:color w:val="000000"/>
          <w:sz w:val="20"/>
        </w:rPr>
        <w:t>AFFIRM</w:t>
      </w:r>
      <w:r>
        <w:rPr>
          <w:rFonts w:ascii="Arial" w:eastAsia="Arial" w:hAnsi="Arial" w:cs="Arial"/>
          <w:color w:val="000000"/>
          <w:sz w:val="20"/>
        </w:rPr>
        <w:t>.</w:t>
      </w:r>
    </w:p>
    <w:p w:rsidR="00E456CD" w:rsidRDefault="00000000">
      <w:pPr>
        <w:pStyle w:val="Normal23"/>
        <w:widowControl w:val="0"/>
        <w:spacing w:before="200" w:line="260" w:lineRule="atLeast"/>
        <w:jc w:val="both"/>
      </w:pPr>
      <w:bookmarkStart w:id="4245" w:name="Bookmark_para_4_22"/>
      <w:bookmarkEnd w:id="4245"/>
      <w:r>
        <w:rPr>
          <w:rFonts w:ascii="Arial" w:eastAsia="Arial" w:hAnsi="Arial" w:cs="Arial"/>
          <w:color w:val="000000"/>
          <w:sz w:val="20"/>
        </w:rPr>
        <w:t xml:space="preserve">1. </w:t>
      </w:r>
      <w:bookmarkStart w:id="4246" w:name="Bookmark_I5SRWRH12N1PPG0040000400"/>
      <w:bookmarkEnd w:id="4246"/>
      <w:r>
        <w:rPr>
          <w:rFonts w:ascii="Arial" w:eastAsia="Arial" w:hAnsi="Arial" w:cs="Arial"/>
          <w:color w:val="000000"/>
          <w:sz w:val="20"/>
        </w:rPr>
        <w:t>Heit failed to raise a genuine dispute of fact as to whether he actually suffers from Shy Bladder Syndrome.</w:t>
      </w:r>
      <w:r>
        <w:rPr>
          <w:rFonts w:ascii="Arial" w:eastAsia="Arial" w:hAnsi="Arial" w:cs="Arial"/>
          <w:vertAlign w:val="superscript"/>
        </w:rPr>
        <w:footnoteReference w:customMarkFollows="1" w:id="191"/>
        <w:t>1</w:t>
      </w:r>
      <w:r>
        <w:rPr>
          <w:rFonts w:ascii="Arial" w:eastAsia="Arial" w:hAnsi="Arial" w:cs="Arial"/>
          <w:color w:val="000000"/>
          <w:sz w:val="20"/>
        </w:rPr>
        <w:t xml:space="preserve"> He produced a doctor's note stating he has this condition, but that doctor later testified she never conducted [**2]  any medical examination on Heit, did not review his records, and merely wrote down what he told her during their conversation. </w:t>
      </w:r>
      <w:bookmarkStart w:id="4248" w:name="Bookmark_I5SRWRH12HM6Y60010000400"/>
      <w:bookmarkEnd w:id="4248"/>
      <w:r>
        <w:rPr>
          <w:rFonts w:ascii="Arial" w:eastAsia="Arial" w:hAnsi="Arial" w:cs="Arial"/>
          <w:color w:val="000000"/>
          <w:sz w:val="20"/>
        </w:rPr>
        <w:t xml:space="preserve">Without the note, Heit is left with only his own testimony regarding his condition. "[L]ay witnesses [like Heit, however, are] incompetent to testify as to the existence . . . of [medical] illnesses." </w:t>
      </w:r>
      <w:bookmarkStart w:id="4249" w:name="Bookmark_I5SRWRH12N1PPG0030000400"/>
      <w:bookmarkEnd w:id="4249"/>
      <w:r>
        <w:rPr>
          <w:rFonts w:ascii="Arial" w:eastAsia="Arial" w:hAnsi="Arial" w:cs="Arial"/>
          <w:i/>
          <w:color w:val="000000"/>
          <w:sz w:val="20"/>
        </w:rPr>
        <w:t>Frisone v. United States</w:t>
      </w:r>
      <w:r>
        <w:rPr>
          <w:rFonts w:ascii="Arial" w:eastAsia="Arial" w:hAnsi="Arial" w:cs="Arial"/>
          <w:color w:val="000000"/>
          <w:sz w:val="20"/>
        </w:rPr>
        <w:t xml:space="preserve">, 270 F.2d 401, 403 (9th Cir. 1959) (citations omitted). </w:t>
      </w:r>
      <w:bookmarkStart w:id="4250" w:name="Bookmark_I5SRWRH12HM6Y60010000400_2"/>
      <w:bookmarkEnd w:id="4250"/>
      <w:r>
        <w:rPr>
          <w:rFonts w:ascii="Arial" w:eastAsia="Arial" w:hAnsi="Arial" w:cs="Arial"/>
          <w:color w:val="000000"/>
          <w:sz w:val="20"/>
        </w:rPr>
        <w:t xml:space="preserve">While he is competent to testify about the effects of the alleged condition—that he was unable to urinate during the drug tests—the "cause of such a condition is a medical question . . . not within the certain knowledge of laymen," and "must be proved by expert testimony." </w:t>
      </w:r>
      <w:bookmarkStart w:id="4251" w:name="Bookmark_I5SRWRH12N1PPG0050000400"/>
      <w:bookmarkEnd w:id="4251"/>
      <w:r>
        <w:rPr>
          <w:rFonts w:ascii="Arial" w:eastAsia="Arial" w:hAnsi="Arial" w:cs="Arial"/>
          <w:i/>
          <w:color w:val="000000"/>
          <w:sz w:val="20"/>
        </w:rPr>
        <w:t>Nelson v. Murphy</w:t>
      </w:r>
      <w:r>
        <w:rPr>
          <w:rFonts w:ascii="Arial" w:eastAsia="Arial" w:hAnsi="Arial" w:cs="Arial"/>
          <w:color w:val="000000"/>
          <w:sz w:val="20"/>
        </w:rPr>
        <w:t xml:space="preserve">, 42 Wash. 2d 737, 740, 258 P.2d 472 (1953); </w:t>
      </w:r>
      <w:r>
        <w:rPr>
          <w:rFonts w:ascii="Arial" w:eastAsia="Arial" w:hAnsi="Arial" w:cs="Arial"/>
          <w:i/>
          <w:color w:val="000000"/>
          <w:sz w:val="20"/>
        </w:rPr>
        <w:t xml:space="preserve">see also </w:t>
      </w:r>
      <w:bookmarkStart w:id="4252" w:name="Bookmark_I5SRWRH12HM6Y60020000400"/>
      <w:bookmarkEnd w:id="4252"/>
      <w:r>
        <w:rPr>
          <w:rFonts w:ascii="Arial" w:eastAsia="Arial" w:hAnsi="Arial" w:cs="Arial"/>
          <w:i/>
          <w:color w:val="000000"/>
          <w:sz w:val="20"/>
        </w:rPr>
        <w:t>Frisone</w:t>
      </w:r>
      <w:r>
        <w:rPr>
          <w:rFonts w:ascii="Arial" w:eastAsia="Arial" w:hAnsi="Arial" w:cs="Arial"/>
          <w:color w:val="000000"/>
          <w:sz w:val="20"/>
        </w:rPr>
        <w:t xml:space="preserve">, 270 F.2d at 403 (citations omitted); </w:t>
      </w:r>
      <w:bookmarkStart w:id="4253" w:name="Bookmark_I5SRWRH12HM6Y60040000400"/>
      <w:bookmarkEnd w:id="4253"/>
      <w:r>
        <w:rPr>
          <w:rFonts w:ascii="Arial" w:eastAsia="Arial" w:hAnsi="Arial" w:cs="Arial"/>
          <w:i/>
          <w:color w:val="000000"/>
          <w:sz w:val="20"/>
        </w:rPr>
        <w:t>Felkins v. City of Lakewood</w:t>
      </w:r>
      <w:r>
        <w:rPr>
          <w:rFonts w:ascii="Arial" w:eastAsia="Arial" w:hAnsi="Arial" w:cs="Arial"/>
          <w:color w:val="000000"/>
          <w:sz w:val="20"/>
        </w:rPr>
        <w:t>, 774 F.3d 647, 651-52 (10th Cir. 2014) (citing Fed. R. Evid. 701). Accordingly, Heit cannot rely on his testimony alone to raise a genuine dispute of fact about whether he actually suffers from paruresis.</w:t>
      </w:r>
    </w:p>
    <w:p w:rsidR="00E456CD" w:rsidRDefault="00000000">
      <w:pPr>
        <w:pStyle w:val="Normal23"/>
        <w:widowControl w:val="0"/>
        <w:spacing w:before="200" w:line="260" w:lineRule="atLeast"/>
        <w:jc w:val="both"/>
      </w:pPr>
      <w:bookmarkStart w:id="4254" w:name="Bookmark_para_5_22"/>
      <w:bookmarkEnd w:id="4254"/>
      <w:r>
        <w:rPr>
          <w:rFonts w:ascii="Arial" w:eastAsia="Arial" w:hAnsi="Arial" w:cs="Arial"/>
          <w:color w:val="000000"/>
          <w:sz w:val="20"/>
        </w:rPr>
        <w:t xml:space="preserve">2. </w:t>
      </w:r>
      <w:bookmarkStart w:id="4255" w:name="Bookmark_I5SRWRH22SF7NG0020000400"/>
      <w:bookmarkEnd w:id="4255"/>
      <w:r>
        <w:rPr>
          <w:rFonts w:ascii="Arial" w:eastAsia="Arial" w:hAnsi="Arial" w:cs="Arial"/>
          <w:color w:val="000000"/>
          <w:sz w:val="20"/>
        </w:rPr>
        <w:t xml:space="preserve">Even if Heit had raised a dispute about whether he suffers from paruresis, summary judgment was still proper because he raises no issues with respect to his failure-to-accommodate claims. The record establishes that Aerotek did not accommodate Heit's request for alternative drug testing because it did not have the requisite documentation to determine what kind of testing would be appropriate. [**3]  </w:t>
      </w:r>
      <w:bookmarkStart w:id="4256" w:name="Bookmark_I5SRWRH22SF7NG0040000400"/>
      <w:bookmarkEnd w:id="4256"/>
      <w:r>
        <w:rPr>
          <w:rFonts w:ascii="Arial" w:eastAsia="Arial" w:hAnsi="Arial" w:cs="Arial"/>
          <w:color w:val="000000"/>
          <w:sz w:val="20"/>
        </w:rPr>
        <w:t xml:space="preserve">An employer has a right to this documentation under both the ADA and the WLAD. </w:t>
      </w:r>
      <w:r>
        <w:rPr>
          <w:rFonts w:ascii="Arial" w:eastAsia="Arial" w:hAnsi="Arial" w:cs="Arial"/>
          <w:i/>
          <w:color w:val="000000"/>
          <w:sz w:val="20"/>
        </w:rPr>
        <w:t xml:space="preserve">See </w:t>
      </w:r>
      <w:r>
        <w:rPr>
          <w:rFonts w:ascii="Arial" w:eastAsia="Arial" w:hAnsi="Arial" w:cs="Arial"/>
          <w:color w:val="000000"/>
          <w:sz w:val="20"/>
        </w:rPr>
        <w:t xml:space="preserve"> [*650]  </w:t>
      </w:r>
      <w:bookmarkStart w:id="4257" w:name="Bookmark_I5SRWRH22SF7NG0010000400"/>
      <w:bookmarkEnd w:id="4257"/>
      <w:r>
        <w:rPr>
          <w:rFonts w:ascii="Arial" w:eastAsia="Arial" w:hAnsi="Arial" w:cs="Arial"/>
          <w:i/>
          <w:color w:val="000000"/>
          <w:sz w:val="20"/>
        </w:rPr>
        <w:t>Vinson v. Thomas</w:t>
      </w:r>
      <w:r>
        <w:rPr>
          <w:rFonts w:ascii="Arial" w:eastAsia="Arial" w:hAnsi="Arial" w:cs="Arial"/>
          <w:color w:val="000000"/>
          <w:sz w:val="20"/>
        </w:rPr>
        <w:t xml:space="preserve">, 288 F.3d 1145, 1153 (9th Cir. 2002) (citation omitted) (ADA); Wash. Rev. Code § 49.60.040(7)(d)(ii) (requiring "medical documentation" for accommodation purposes). </w:t>
      </w:r>
      <w:bookmarkStart w:id="4258" w:name="Bookmark_I5SRWRH22SF7NG0040000400_2"/>
      <w:bookmarkEnd w:id="4258"/>
      <w:r>
        <w:rPr>
          <w:rFonts w:ascii="Arial" w:eastAsia="Arial" w:hAnsi="Arial" w:cs="Arial"/>
          <w:color w:val="000000"/>
          <w:sz w:val="20"/>
        </w:rPr>
        <w:t xml:space="preserve">Because Heit was responsible for the breakdown of the interactive process, the district court properly granted summary judgment in favor of Aerotek. </w:t>
      </w:r>
      <w:r>
        <w:rPr>
          <w:rFonts w:ascii="Arial" w:eastAsia="Arial" w:hAnsi="Arial" w:cs="Arial"/>
          <w:i/>
          <w:color w:val="000000"/>
          <w:sz w:val="20"/>
        </w:rPr>
        <w:t xml:space="preserve">See </w:t>
      </w:r>
      <w:bookmarkStart w:id="4259" w:name="Bookmark_I5SRWRH22SF7NG0030000400"/>
      <w:bookmarkEnd w:id="4259"/>
      <w:r>
        <w:rPr>
          <w:rFonts w:ascii="Arial" w:eastAsia="Arial" w:hAnsi="Arial" w:cs="Arial"/>
          <w:i/>
          <w:color w:val="000000"/>
          <w:sz w:val="20"/>
        </w:rPr>
        <w:t>Dep't of Fair Emp't &amp; Hous. v. Lucent Techs., Inc.</w:t>
      </w:r>
      <w:r>
        <w:rPr>
          <w:rFonts w:ascii="Arial" w:eastAsia="Arial" w:hAnsi="Arial" w:cs="Arial"/>
          <w:color w:val="000000"/>
          <w:sz w:val="20"/>
        </w:rPr>
        <w:t xml:space="preserve">, 642 F.3d 728, 743 (9th Cir. 2011) (dismissing failure-to-accommodate claim under California law where the plaintiff was responsible for breakdown); </w:t>
      </w:r>
      <w:bookmarkStart w:id="4260" w:name="Bookmark_I5SRWRH22SF7NG0050000400"/>
      <w:bookmarkEnd w:id="4260"/>
      <w:r>
        <w:rPr>
          <w:rFonts w:ascii="Arial" w:eastAsia="Arial" w:hAnsi="Arial" w:cs="Arial"/>
          <w:i/>
          <w:color w:val="000000"/>
          <w:sz w:val="20"/>
        </w:rPr>
        <w:t>Maxwell v. State, Dep't of Corr.</w:t>
      </w:r>
      <w:r>
        <w:rPr>
          <w:rFonts w:ascii="Arial" w:eastAsia="Arial" w:hAnsi="Arial" w:cs="Arial"/>
          <w:color w:val="000000"/>
          <w:sz w:val="20"/>
        </w:rPr>
        <w:t>, 91 Wash. App. 171, 180, 956 P.2d 1110 (1998) (same, under Washington law).</w:t>
      </w:r>
    </w:p>
    <w:p w:rsidR="00E456CD" w:rsidRDefault="00000000">
      <w:pPr>
        <w:pStyle w:val="Normal23"/>
        <w:widowControl w:val="0"/>
        <w:spacing w:before="200" w:line="260" w:lineRule="atLeast"/>
        <w:jc w:val="both"/>
      </w:pPr>
      <w:bookmarkStart w:id="4261" w:name="Bookmark_para_6_22"/>
      <w:bookmarkEnd w:id="4261"/>
      <w:r>
        <w:rPr>
          <w:rFonts w:ascii="Arial" w:eastAsia="Arial" w:hAnsi="Arial" w:cs="Arial"/>
          <w:b/>
          <w:color w:val="000000"/>
          <w:sz w:val="20"/>
        </w:rPr>
        <w:t>AFFIRMED</w:t>
      </w:r>
      <w:r>
        <w:rPr>
          <w:rFonts w:ascii="Arial" w:eastAsia="Arial" w:hAnsi="Arial" w:cs="Arial"/>
          <w:color w:val="000000"/>
          <w:sz w:val="20"/>
        </w:rPr>
        <w:t>.</w:t>
      </w:r>
    </w:p>
    <w:p w:rsidR="00E456CD" w:rsidRDefault="00E456CD">
      <w:pPr>
        <w:pStyle w:val="Normal23"/>
      </w:pPr>
    </w:p>
    <w:p w:rsidR="00E456CD" w:rsidRDefault="00000000">
      <w:pPr>
        <w:pStyle w:val="Normal23"/>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1046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423821277"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C2D40" id="Line 54"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4"/>
        <w:sectPr w:rsidR="00E456CD">
          <w:headerReference w:type="even" r:id="rId151"/>
          <w:headerReference w:type="default" r:id="rId152"/>
          <w:footerReference w:type="even" r:id="rId153"/>
          <w:footerReference w:type="default" r:id="rId154"/>
          <w:headerReference w:type="first" r:id="rId155"/>
          <w:footerReference w:type="first" r:id="rId156"/>
          <w:pgSz w:w="12240" w:h="15840"/>
          <w:pgMar w:top="840" w:right="1000" w:bottom="840" w:left="1000" w:header="400" w:footer="400" w:gutter="0"/>
          <w:cols w:space="720"/>
          <w:titlePg/>
        </w:sectPr>
      </w:pPr>
    </w:p>
    <w:p w:rsidR="00E456CD" w:rsidRDefault="00E456CD">
      <w:pPr>
        <w:pStyle w:val="Normal24"/>
      </w:pPr>
    </w:p>
    <w:p w:rsidR="00E456CD" w:rsidRDefault="00000000">
      <w:pPr>
        <w:pStyle w:val="Heading123"/>
        <w:keepNext w:val="0"/>
        <w:widowControl w:val="0"/>
        <w:spacing w:after="200" w:line="340" w:lineRule="atLeast"/>
        <w:jc w:val="center"/>
      </w:pPr>
      <w:r>
        <w:rPr>
          <w:rFonts w:eastAsia="Arial"/>
          <w:color w:val="000000"/>
          <w:sz w:val="28"/>
        </w:rPr>
        <w:t>Perona v. Time Warner Cable, Inc.</w:t>
      </w:r>
    </w:p>
    <w:p w:rsidR="00E456CD" w:rsidRDefault="00000000">
      <w:pPr>
        <w:pStyle w:val="Normal24"/>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24"/>
        <w:widowControl w:val="0"/>
        <w:spacing w:before="120" w:line="260" w:lineRule="atLeast"/>
        <w:jc w:val="center"/>
      </w:pPr>
      <w:r>
        <w:rPr>
          <w:rFonts w:ascii="Arial" w:eastAsia="Arial" w:hAnsi="Arial" w:cs="Arial"/>
          <w:color w:val="000000"/>
          <w:sz w:val="20"/>
        </w:rPr>
        <w:t>April 11, 2018, Argued and Submitted, Pasadena, California; May 24, 2018, Filed</w:t>
      </w:r>
    </w:p>
    <w:p w:rsidR="00E456CD" w:rsidRDefault="00000000">
      <w:pPr>
        <w:pStyle w:val="Normal24"/>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16-56897</w:t>
      </w:r>
    </w:p>
    <w:p w:rsidR="00E456CD" w:rsidRDefault="00E456CD">
      <w:pPr>
        <w:pStyle w:val="Normal24"/>
        <w:widowControl w:val="0"/>
        <w:spacing w:line="240" w:lineRule="atLeast"/>
        <w:jc w:val="both"/>
      </w:pPr>
      <w:bookmarkStart w:id="4262" w:name="Bookmark_25"/>
      <w:bookmarkEnd w:id="4262"/>
    </w:p>
    <w:p w:rsidR="00E456CD" w:rsidRDefault="00000000">
      <w:pPr>
        <w:pStyle w:val="Normal24"/>
        <w:widowControl w:val="0"/>
        <w:spacing w:before="200" w:line="240" w:lineRule="atLeast"/>
      </w:pPr>
      <w:bookmarkStart w:id="4263" w:name="Reporter_23"/>
      <w:bookmarkEnd w:id="4263"/>
      <w:r>
        <w:rPr>
          <w:rFonts w:ascii="Arial" w:eastAsia="Arial" w:hAnsi="Arial" w:cs="Arial"/>
          <w:b/>
          <w:color w:val="000000"/>
          <w:sz w:val="18"/>
        </w:rPr>
        <w:t>Reporter</w:t>
      </w:r>
    </w:p>
    <w:p w:rsidR="00E456CD" w:rsidRDefault="00000000">
      <w:pPr>
        <w:pStyle w:val="Normal24"/>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724 Fed. Appx. 595 *; 2018 U.S. App. LEXIS 13730 **; 2018 WL 2371647</w:t>
      </w:r>
    </w:p>
    <w:p w:rsidR="00E456CD" w:rsidRDefault="00000000">
      <w:pPr>
        <w:pStyle w:val="Normal24"/>
        <w:widowControl w:val="0"/>
        <w:spacing w:before="120" w:line="260" w:lineRule="atLeast"/>
      </w:pPr>
      <w:r>
        <w:rPr>
          <w:rFonts w:ascii="Arial" w:eastAsia="Arial" w:hAnsi="Arial" w:cs="Arial"/>
          <w:color w:val="000000"/>
          <w:sz w:val="20"/>
        </w:rPr>
        <w:t>KATRINA PERONA, an individual, Plaintiff-Appellee, v. TIME WARNER CABLE, INC., a corporation; DOES, 1 through 50, inclusive, Defendants-Appellants.</w:t>
      </w:r>
    </w:p>
    <w:p w:rsidR="00E456CD" w:rsidRDefault="00000000">
      <w:pPr>
        <w:pStyle w:val="Normal24"/>
        <w:widowControl w:val="0"/>
        <w:spacing w:before="240" w:line="260" w:lineRule="atLeast"/>
        <w:jc w:val="both"/>
      </w:pPr>
      <w:bookmarkStart w:id="4264" w:name="Notice_9"/>
      <w:bookmarkEnd w:id="4264"/>
      <w:r>
        <w:rPr>
          <w:rFonts w:ascii="Arial" w:eastAsia="Arial" w:hAnsi="Arial" w:cs="Arial"/>
          <w:b/>
          <w:color w:val="000000"/>
          <w:sz w:val="20"/>
        </w:rPr>
        <w:t>Notice:</w:t>
      </w:r>
      <w:r>
        <w:rPr>
          <w:rFonts w:ascii="Arial" w:eastAsia="Arial" w:hAnsi="Arial" w:cs="Arial"/>
          <w:color w:val="000000"/>
          <w:sz w:val="20"/>
        </w:rPr>
        <w:t> </w:t>
      </w:r>
      <w:bookmarkStart w:id="4265" w:name="Bookmark_para_1_23"/>
      <w:bookmarkEnd w:id="4265"/>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24"/>
        <w:widowControl w:val="0"/>
        <w:spacing w:before="240" w:line="260" w:lineRule="atLeast"/>
      </w:pPr>
      <w:bookmarkStart w:id="4266" w:name="Subsequent_History_7"/>
      <w:bookmarkEnd w:id="4266"/>
      <w:r>
        <w:rPr>
          <w:rFonts w:ascii="Arial" w:eastAsia="Arial" w:hAnsi="Arial" w:cs="Arial"/>
          <w:b/>
          <w:color w:val="000000"/>
          <w:sz w:val="20"/>
        </w:rPr>
        <w:t>Subsequent History:</w:t>
      </w:r>
      <w:r>
        <w:rPr>
          <w:rFonts w:ascii="Arial" w:eastAsia="Arial" w:hAnsi="Arial" w:cs="Arial"/>
          <w:color w:val="000000"/>
          <w:sz w:val="20"/>
        </w:rPr>
        <w:t> Rehearing denied by, Rehearing, en banc, denied by Perona v. Time Warner Cable, Inc., 2018 U.S. App. LEXIS 17960 (9th Cir. Cal., June 29, 2018)</w:t>
      </w:r>
    </w:p>
    <w:p w:rsidR="00E456CD" w:rsidRDefault="00000000">
      <w:pPr>
        <w:pStyle w:val="Normal24"/>
        <w:widowControl w:val="0"/>
        <w:spacing w:before="120" w:line="260" w:lineRule="atLeast"/>
      </w:pPr>
      <w:r>
        <w:rPr>
          <w:rFonts w:ascii="Arial" w:eastAsia="Arial" w:hAnsi="Arial" w:cs="Arial"/>
          <w:color w:val="000000"/>
          <w:sz w:val="20"/>
        </w:rPr>
        <w:t>Motion granted by, Costs and fees proceeding at Perona v. Time Warner Cable, Inc., 2018 U.S. App. LEXIS 21978 (9th Cir. Cal., Aug. 7, 2018)</w:t>
      </w:r>
    </w:p>
    <w:p w:rsidR="00E456CD" w:rsidRDefault="00000000">
      <w:pPr>
        <w:pStyle w:val="Normal24"/>
        <w:widowControl w:val="0"/>
        <w:spacing w:before="240" w:line="260" w:lineRule="atLeast"/>
        <w:jc w:val="both"/>
      </w:pPr>
      <w:bookmarkStart w:id="4267" w:name="Prior_History_23"/>
      <w:bookmarkEnd w:id="4267"/>
      <w:r>
        <w:rPr>
          <w:rFonts w:ascii="Arial" w:eastAsia="Arial" w:hAnsi="Arial" w:cs="Arial"/>
          <w:b/>
          <w:color w:val="000000"/>
          <w:sz w:val="20"/>
        </w:rPr>
        <w:t>Prior History:</w:t>
      </w:r>
      <w:r>
        <w:rPr>
          <w:rFonts w:ascii="Arial" w:eastAsia="Arial" w:hAnsi="Arial" w:cs="Arial"/>
          <w:color w:val="000000"/>
          <w:sz w:val="20"/>
        </w:rPr>
        <w:t> </w:t>
      </w:r>
      <w:bookmarkStart w:id="4268" w:name="Bookmark_para_2_23"/>
      <w:bookmarkEnd w:id="4268"/>
      <w:r>
        <w:rPr>
          <w:rFonts w:ascii="Arial" w:eastAsia="Arial" w:hAnsi="Arial" w:cs="Arial"/>
          <w:color w:val="000000"/>
          <w:sz w:val="20"/>
        </w:rPr>
        <w:t> [**1] Appeal from the United States District Court for the Central District of California. D.C. No. 5:14-cv-02501-MWF-SP. Michael W. Fitzgerald, District Judge, Presiding.</w:t>
      </w:r>
    </w:p>
    <w:p w:rsidR="00E456CD" w:rsidRDefault="00000000">
      <w:pPr>
        <w:pStyle w:val="Normal24"/>
        <w:widowControl w:val="0"/>
        <w:spacing w:before="120" w:line="260" w:lineRule="atLeast"/>
      </w:pPr>
      <w:r>
        <w:rPr>
          <w:rFonts w:ascii="Arial" w:eastAsia="Arial" w:hAnsi="Arial" w:cs="Arial"/>
          <w:color w:val="000000"/>
          <w:sz w:val="20"/>
        </w:rPr>
        <w:t>Perona v. Time Warner Cable Inc., 2016 U.S. Dist. LEXIS 188651 (C.D. Cal., Aug. 12, 2016)</w:t>
      </w:r>
    </w:p>
    <w:p w:rsidR="00E456CD" w:rsidRDefault="00000000">
      <w:pPr>
        <w:pStyle w:val="Normal24"/>
        <w:widowControl w:val="0"/>
        <w:spacing w:before="240" w:line="260" w:lineRule="atLeast"/>
        <w:jc w:val="both"/>
      </w:pPr>
      <w:bookmarkStart w:id="4269" w:name="Disposition_6"/>
      <w:bookmarkEnd w:id="4269"/>
      <w:r>
        <w:rPr>
          <w:rFonts w:ascii="Arial" w:eastAsia="Arial" w:hAnsi="Arial" w:cs="Arial"/>
          <w:b/>
          <w:color w:val="000000"/>
          <w:sz w:val="20"/>
        </w:rPr>
        <w:t>Disposition:</w:t>
      </w:r>
      <w:r>
        <w:rPr>
          <w:rFonts w:ascii="Arial" w:eastAsia="Arial" w:hAnsi="Arial" w:cs="Arial"/>
          <w:color w:val="000000"/>
          <w:sz w:val="20"/>
        </w:rPr>
        <w:t> </w:t>
      </w:r>
      <w:bookmarkStart w:id="4270" w:name="Bookmark_clspara_1_0"/>
      <w:bookmarkEnd w:id="4270"/>
      <w:r>
        <w:rPr>
          <w:rFonts w:ascii="Arial" w:eastAsia="Arial" w:hAnsi="Arial" w:cs="Arial"/>
          <w:color w:val="000000"/>
          <w:sz w:val="20"/>
        </w:rPr>
        <w:t>AFFIRMED.</w:t>
      </w:r>
    </w:p>
    <w:p w:rsidR="00E456CD" w:rsidRDefault="00000000">
      <w:pPr>
        <w:pStyle w:val="Normal24"/>
        <w:widowControl w:val="0"/>
        <w:spacing w:before="240" w:line="260" w:lineRule="atLeast"/>
      </w:pPr>
      <w:bookmarkStart w:id="4271" w:name="Counsel_23"/>
      <w:bookmarkEnd w:id="4271"/>
      <w:r>
        <w:rPr>
          <w:rFonts w:ascii="Arial" w:eastAsia="Arial" w:hAnsi="Arial" w:cs="Arial"/>
          <w:b/>
          <w:color w:val="000000"/>
          <w:sz w:val="20"/>
        </w:rPr>
        <w:t>Counsel:</w:t>
      </w:r>
      <w:r>
        <w:rPr>
          <w:rFonts w:ascii="Arial" w:eastAsia="Arial" w:hAnsi="Arial" w:cs="Arial"/>
          <w:color w:val="000000"/>
          <w:sz w:val="20"/>
        </w:rPr>
        <w:t> For KATRINA PERONA, an individual, Plaintiff - Appellee: Frank Alfredo Magnanimo, Esquire, Attorney, Audrey Priolo, Attorney, Magnanimo &amp; Dean, LLP, Woodland Hills, CA.</w:t>
      </w:r>
    </w:p>
    <w:p w:rsidR="00E456CD" w:rsidRDefault="00000000">
      <w:pPr>
        <w:pStyle w:val="Normal24"/>
        <w:widowControl w:val="0"/>
        <w:spacing w:before="120" w:line="260" w:lineRule="atLeast"/>
      </w:pPr>
      <w:r>
        <w:rPr>
          <w:rFonts w:ascii="Arial" w:eastAsia="Arial" w:hAnsi="Arial" w:cs="Arial"/>
          <w:color w:val="000000"/>
          <w:sz w:val="20"/>
        </w:rPr>
        <w:t>For TIME WARNER CABLE, INC., a corporaiton, Defendant - Appellant: James Bowles, Casey L. Morris, Esquire, Attorney, Hill, Farrer &amp; Burrill, LLP, Los Angeles, CA.</w:t>
      </w:r>
    </w:p>
    <w:p w:rsidR="00E456CD" w:rsidRDefault="00000000">
      <w:pPr>
        <w:pStyle w:val="Normal24"/>
        <w:widowControl w:val="0"/>
        <w:spacing w:before="240" w:line="260" w:lineRule="atLeast"/>
      </w:pPr>
      <w:bookmarkStart w:id="4272" w:name="Judges_23"/>
      <w:bookmarkEnd w:id="4272"/>
      <w:r>
        <w:rPr>
          <w:rFonts w:ascii="Arial" w:eastAsia="Arial" w:hAnsi="Arial" w:cs="Arial"/>
          <w:b/>
          <w:color w:val="000000"/>
          <w:sz w:val="20"/>
        </w:rPr>
        <w:t>Judges:</w:t>
      </w:r>
      <w:r>
        <w:rPr>
          <w:rFonts w:ascii="Arial" w:eastAsia="Arial" w:hAnsi="Arial" w:cs="Arial"/>
          <w:color w:val="000000"/>
          <w:sz w:val="20"/>
        </w:rPr>
        <w:t> Before: SCHROEDER, CLIFTON, and M. SMITH, Circuit Judges.</w:t>
      </w:r>
    </w:p>
    <w:p w:rsidR="00E456CD" w:rsidRDefault="00000000">
      <w:pPr>
        <w:pStyle w:val="Normal24"/>
        <w:keepNext/>
        <w:widowControl w:val="0"/>
        <w:spacing w:before="240" w:line="340" w:lineRule="atLeast"/>
      </w:pPr>
      <w:bookmarkStart w:id="4273" w:name="Opinion_23"/>
      <w:bookmarkEnd w:id="4273"/>
      <w:r>
        <w:rPr>
          <w:rFonts w:ascii="Arial" w:eastAsia="Arial" w:hAnsi="Arial" w:cs="Arial"/>
          <w:b/>
          <w:color w:val="000000"/>
          <w:sz w:val="28"/>
        </w:rPr>
        <w:t>Opinion</w:t>
      </w:r>
    </w:p>
    <w:p w:rsidR="00E456CD" w:rsidRDefault="00E22289">
      <w:pPr>
        <w:pStyle w:val="Normal24"/>
        <w:spacing w:line="60" w:lineRule="exact"/>
      </w:pPr>
      <w:r>
        <w:rPr>
          <w:noProof/>
        </w:rPr>
        <mc:AlternateContent>
          <mc:Choice Requires="wps">
            <w:drawing>
              <wp:anchor distT="0" distB="0" distL="114300" distR="114300" simplePos="0" relativeHeight="25171148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098573863"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92600" id="Line 55"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4"/>
        <w:spacing w:line="120" w:lineRule="exact"/>
      </w:pPr>
    </w:p>
    <w:p w:rsidR="00E456CD" w:rsidRDefault="00000000">
      <w:pPr>
        <w:pStyle w:val="Normal24"/>
        <w:widowControl w:val="0"/>
        <w:spacing w:before="240" w:line="260" w:lineRule="atLeast"/>
      </w:pPr>
      <w:r>
        <w:br/>
      </w:r>
      <w:r>
        <w:rPr>
          <w:rFonts w:ascii="Arial" w:eastAsia="Arial" w:hAnsi="Arial" w:cs="Arial"/>
          <w:color w:val="000000"/>
          <w:sz w:val="20"/>
        </w:rPr>
        <w:t> [*596]  MEMORANDUM</w:t>
      </w:r>
      <w:r>
        <w:rPr>
          <w:rFonts w:ascii="Arial" w:eastAsia="Arial" w:hAnsi="Arial" w:cs="Arial"/>
          <w:vertAlign w:val="superscript"/>
        </w:rPr>
        <w:footnoteReference w:customMarkFollows="1" w:id="192"/>
        <w:t>*</w:t>
      </w:r>
    </w:p>
    <w:p w:rsidR="00E456CD" w:rsidRDefault="00000000">
      <w:pPr>
        <w:pStyle w:val="Normal24"/>
        <w:widowControl w:val="0"/>
        <w:spacing w:before="200" w:line="260" w:lineRule="atLeast"/>
        <w:jc w:val="both"/>
      </w:pPr>
      <w:bookmarkStart w:id="4275" w:name="Bookmark_para_3_23"/>
      <w:bookmarkEnd w:id="4275"/>
      <w:r>
        <w:rPr>
          <w:rFonts w:ascii="Arial" w:eastAsia="Arial" w:hAnsi="Arial" w:cs="Arial"/>
          <w:color w:val="000000"/>
          <w:sz w:val="20"/>
        </w:rPr>
        <w:t xml:space="preserve">Time Warner Cable, Inc. ("Time Warner") appeals the district court's judgment, imposed after a seven-day jury trial which resulted in a jury awarding Plaintiff-Appellee Katrina Perona $160,000. Time Warner also appeals the district court's subsequent order awarding Ms. Perona substantial fees and costs and denying Time Warner's motion for judgment as a matter of law or, alternatively, partial new trial. Our appellate jurisdiction rests on 28 U.S.C. § 1291, and we </w:t>
      </w:r>
      <w:r>
        <w:rPr>
          <w:rFonts w:ascii="Arial" w:eastAsia="Arial" w:hAnsi="Arial" w:cs="Arial"/>
          <w:b/>
          <w:color w:val="000000"/>
          <w:sz w:val="20"/>
        </w:rPr>
        <w:t>AFFIRM</w:t>
      </w:r>
      <w:r>
        <w:rPr>
          <w:rFonts w:ascii="Arial" w:eastAsia="Arial" w:hAnsi="Arial" w:cs="Arial"/>
          <w:color w:val="000000"/>
          <w:sz w:val="20"/>
        </w:rPr>
        <w:t>.</w:t>
      </w:r>
    </w:p>
    <w:p w:rsidR="00E456CD" w:rsidRDefault="00000000">
      <w:pPr>
        <w:pStyle w:val="Normal24"/>
        <w:widowControl w:val="0"/>
        <w:spacing w:before="200" w:line="260" w:lineRule="atLeast"/>
        <w:jc w:val="both"/>
      </w:pPr>
      <w:bookmarkStart w:id="4276" w:name="Bookmark_para_4_23"/>
      <w:bookmarkStart w:id="4277" w:name="Bookmark_I5SKDBFK2N1PVY0020000400"/>
      <w:bookmarkEnd w:id="4276"/>
      <w:bookmarkEnd w:id="4277"/>
      <w:r>
        <w:rPr>
          <w:rFonts w:ascii="Arial" w:eastAsia="Arial" w:hAnsi="Arial" w:cs="Arial"/>
          <w:color w:val="000000"/>
          <w:sz w:val="20"/>
        </w:rPr>
        <w:t xml:space="preserve">Time Warner first contends the jury's verdict was inconsistent and should be set aside because the jury found both that Time Warner did not fail to provide reasonable accommodation [**2]  and that it failed to engage in the interactive process. But there is no fatal inconsistency. California law is clear that "an employer's failure to properly engage in the process is separate from the failure to reasonably accommodate an employee's disability and gives rise to an independent cause of action." </w:t>
      </w:r>
      <w:bookmarkStart w:id="4278" w:name="Bookmark_I5SKDBFK2N1PVY0010000400"/>
      <w:bookmarkEnd w:id="4278"/>
      <w:r>
        <w:rPr>
          <w:rFonts w:ascii="Arial" w:eastAsia="Arial" w:hAnsi="Arial" w:cs="Arial"/>
          <w:i/>
          <w:color w:val="000000"/>
          <w:sz w:val="20"/>
        </w:rPr>
        <w:t>Swanson v. Morongo Unified Sch. Dist.</w:t>
      </w:r>
      <w:r>
        <w:rPr>
          <w:rFonts w:ascii="Arial" w:eastAsia="Arial" w:hAnsi="Arial" w:cs="Arial"/>
          <w:color w:val="000000"/>
          <w:sz w:val="20"/>
        </w:rPr>
        <w:t>, 232 Cal. App. 4th 954, 181 Cal. Rptr. 3d 553, 567 (Ct. App. 2014).</w:t>
      </w:r>
    </w:p>
    <w:p w:rsidR="00E456CD" w:rsidRDefault="00000000">
      <w:pPr>
        <w:pStyle w:val="Normal24"/>
        <w:widowControl w:val="0"/>
        <w:spacing w:before="200" w:line="260" w:lineRule="atLeast"/>
        <w:jc w:val="both"/>
      </w:pPr>
      <w:bookmarkStart w:id="4279" w:name="Bookmark_para_5_23"/>
      <w:bookmarkStart w:id="4280" w:name="Bookmark_I5SKDBFK2N1PVY0040000400"/>
      <w:bookmarkStart w:id="4281" w:name="Bookmark_I3SX0G1NMMB000025J400001"/>
      <w:bookmarkStart w:id="4282" w:name="Bookmark_I5SKDBFK2HM5TW0010000400"/>
      <w:bookmarkEnd w:id="4279"/>
      <w:bookmarkEnd w:id="4280"/>
      <w:bookmarkEnd w:id="4281"/>
      <w:bookmarkEnd w:id="4282"/>
      <w:r>
        <w:rPr>
          <w:rFonts w:ascii="Arial" w:eastAsia="Arial" w:hAnsi="Arial" w:cs="Arial"/>
          <w:color w:val="000000"/>
          <w:sz w:val="20"/>
        </w:rPr>
        <w:t xml:space="preserve">As the district court explained, the relevant time period extended over many months, and while Time Warner originally provided an accommodation, the jury could, and reasonably did, find it did not do so later. </w:t>
      </w:r>
      <w:r>
        <w:rPr>
          <w:rFonts w:ascii="Arial" w:eastAsia="Arial" w:hAnsi="Arial" w:cs="Arial"/>
          <w:i/>
          <w:color w:val="000000"/>
          <w:sz w:val="20"/>
        </w:rPr>
        <w:t xml:space="preserve">See </w:t>
      </w:r>
      <w:bookmarkStart w:id="4283" w:name="Bookmark_I5SKDBFK2N1PVY0030000400"/>
      <w:bookmarkEnd w:id="4283"/>
      <w:r>
        <w:rPr>
          <w:rFonts w:ascii="Arial" w:eastAsia="Arial" w:hAnsi="Arial" w:cs="Arial"/>
          <w:i/>
          <w:color w:val="000000"/>
          <w:sz w:val="20"/>
        </w:rPr>
        <w:t>id.</w:t>
      </w:r>
      <w:r>
        <w:rPr>
          <w:rFonts w:ascii="Arial" w:eastAsia="Arial" w:hAnsi="Arial" w:cs="Arial"/>
          <w:color w:val="000000"/>
          <w:sz w:val="20"/>
        </w:rPr>
        <w:t xml:space="preserve"> at 567-68. As we recognized in </w:t>
      </w:r>
      <w:bookmarkStart w:id="4284" w:name="Bookmark_I5SKDBFK2N1PVY0050000400"/>
      <w:bookmarkEnd w:id="4284"/>
      <w:r>
        <w:rPr>
          <w:rFonts w:ascii="Arial" w:eastAsia="Arial" w:hAnsi="Arial" w:cs="Arial"/>
          <w:i/>
          <w:color w:val="000000"/>
          <w:sz w:val="20"/>
        </w:rPr>
        <w:t>Snapp v. United Transportation Union</w:t>
      </w:r>
      <w:r>
        <w:rPr>
          <w:rFonts w:ascii="Arial" w:eastAsia="Arial" w:hAnsi="Arial" w:cs="Arial"/>
          <w:color w:val="000000"/>
          <w:sz w:val="20"/>
        </w:rPr>
        <w:t xml:space="preserve">, No. 15-35410, 889 F.3d 1088, 2018 U.S. App. LEXIS 12336, 2018 WL 2168653, at *4 (9th Cir. May 11, 2018), there can be no liability under the federal Americans with Disabilities Act for a failure to engage in the interactive process when no reasonable accommodation would have been possible. The jury here specifically identified two reasonable accommodations Time Warner could have provided had the interactive process continued. </w:t>
      </w:r>
      <w:bookmarkStart w:id="4285" w:name="Bookmark_I5SKDBFK2HM5TW0030000400"/>
      <w:bookmarkEnd w:id="4285"/>
      <w:r>
        <w:rPr>
          <w:rFonts w:ascii="Arial" w:eastAsia="Arial" w:hAnsi="Arial" w:cs="Arial"/>
          <w:color w:val="000000"/>
          <w:sz w:val="20"/>
        </w:rPr>
        <w:t xml:space="preserve">Time Warner's arguments that Ms. Perona suffered no damages as a matter of law and that the jury's interactive process finding was surplusage fail for the same reason. The district court followed its obligation to reconcile the jury's findings wherever possible. </w:t>
      </w:r>
      <w:r>
        <w:rPr>
          <w:rFonts w:ascii="Arial" w:eastAsia="Arial" w:hAnsi="Arial" w:cs="Arial"/>
          <w:i/>
          <w:color w:val="000000"/>
          <w:sz w:val="20"/>
        </w:rPr>
        <w:t xml:space="preserve">See </w:t>
      </w:r>
      <w:bookmarkStart w:id="4286" w:name="Bookmark_I5SKDBFK2HM5TW0020000400"/>
      <w:bookmarkEnd w:id="4286"/>
      <w:r>
        <w:rPr>
          <w:rFonts w:ascii="Arial" w:eastAsia="Arial" w:hAnsi="Arial" w:cs="Arial"/>
          <w:i/>
          <w:color w:val="000000"/>
          <w:sz w:val="20"/>
        </w:rPr>
        <w:t>Norris v. Sysco Corp.</w:t>
      </w:r>
      <w:r>
        <w:rPr>
          <w:rFonts w:ascii="Arial" w:eastAsia="Arial" w:hAnsi="Arial" w:cs="Arial"/>
          <w:color w:val="000000"/>
          <w:sz w:val="20"/>
        </w:rPr>
        <w:t>, 191 F.3d 1043, 1048 (9th Cir. 1999).</w:t>
      </w:r>
    </w:p>
    <w:p w:rsidR="00E456CD" w:rsidRDefault="00000000">
      <w:pPr>
        <w:pStyle w:val="Normal24"/>
        <w:widowControl w:val="0"/>
        <w:spacing w:before="200" w:line="260" w:lineRule="atLeast"/>
        <w:jc w:val="both"/>
      </w:pPr>
      <w:bookmarkStart w:id="4287" w:name="Bookmark_para_6_23"/>
      <w:bookmarkEnd w:id="4287"/>
      <w:r>
        <w:rPr>
          <w:rFonts w:ascii="Arial" w:eastAsia="Arial" w:hAnsi="Arial" w:cs="Arial"/>
          <w:color w:val="000000"/>
          <w:sz w:val="20"/>
        </w:rPr>
        <w:t>Time Warner also contends that the jury verdict is contrary [**3]  to the evidence because there was evidence there were no part-time morning shifts or open positions available as a result of its Shift Bid system, that Ms. Perona was not eligible for a part-time morning shift, and that Ms. Perona was responsible for the breakdown in the interactive process. The jury also heard evidence that Ms. Perona was amenable to at least attempting to work an afternoon shift, her medical expert would have considered authorizing such work, and that Human Resources Manager Anne Long did no research to see if there were any available accommodations the company could provide. The verdict is not contrary to the evidence.</w:t>
      </w:r>
    </w:p>
    <w:p w:rsidR="00E456CD" w:rsidRDefault="00000000">
      <w:pPr>
        <w:pStyle w:val="Normal24"/>
        <w:widowControl w:val="0"/>
        <w:spacing w:before="200" w:line="260" w:lineRule="atLeast"/>
        <w:jc w:val="both"/>
      </w:pPr>
      <w:bookmarkStart w:id="4288" w:name="Bookmark_para_7_22"/>
      <w:bookmarkStart w:id="4289" w:name="Bookmark_I3SX0G1NTYB000025J400002"/>
      <w:bookmarkStart w:id="4290" w:name="Bookmark_I5SKDBFK2HM5TW0050000400"/>
      <w:bookmarkEnd w:id="4288"/>
      <w:bookmarkEnd w:id="4289"/>
      <w:bookmarkEnd w:id="4290"/>
      <w:r>
        <w:rPr>
          <w:rFonts w:ascii="Arial" w:eastAsia="Arial" w:hAnsi="Arial" w:cs="Arial"/>
          <w:color w:val="000000"/>
          <w:sz w:val="20"/>
        </w:rPr>
        <w:t xml:space="preserve">The district court did not abuse its discretion when it imposed attorneys' fees in the amount of $964,938. </w:t>
      </w:r>
      <w:bookmarkStart w:id="4291" w:name="Bookmark_I5SKDBFM2N1PW00020000400"/>
      <w:bookmarkEnd w:id="4291"/>
      <w:r>
        <w:rPr>
          <w:rFonts w:ascii="Arial" w:eastAsia="Arial" w:hAnsi="Arial" w:cs="Arial"/>
          <w:color w:val="000000"/>
          <w:sz w:val="20"/>
        </w:rPr>
        <w:t xml:space="preserve">In awarding fees the district court properly considered and applied the factors set out in </w:t>
      </w:r>
      <w:bookmarkStart w:id="4292" w:name="Bookmark_I5SKDBFK2HM5TW0040000400"/>
      <w:bookmarkEnd w:id="4292"/>
      <w:r>
        <w:rPr>
          <w:rFonts w:ascii="Arial" w:eastAsia="Arial" w:hAnsi="Arial" w:cs="Arial"/>
          <w:i/>
          <w:color w:val="000000"/>
          <w:sz w:val="20"/>
        </w:rPr>
        <w:t>Hensley v. Eckerhart</w:t>
      </w:r>
      <w:r>
        <w:rPr>
          <w:rFonts w:ascii="Arial" w:eastAsia="Arial" w:hAnsi="Arial" w:cs="Arial"/>
          <w:color w:val="000000"/>
          <w:sz w:val="20"/>
        </w:rPr>
        <w:t xml:space="preserve">, 461 U.S. 424, 434-36, 103 S. Ct. 1933, 76 L. Ed. 2d 40 (1983). The district court took into consideration the fact that Ms. Perona prevailed on only one of the claims she presented to the jury, but reasonably concluded that Ms. Perona's unsuccesful  [*597]  claims, save for her inadequate rest periods claim, arose out of the same set of circumstances as Ms. Perona's claim for failure to engage in the interactive process. </w:t>
      </w:r>
      <w:bookmarkStart w:id="4293" w:name="Bookmark_I5SKDBFM2N1PW00020000400_2"/>
      <w:bookmarkEnd w:id="4293"/>
      <w:r>
        <w:rPr>
          <w:rFonts w:ascii="Arial" w:eastAsia="Arial" w:hAnsi="Arial" w:cs="Arial"/>
          <w:i/>
          <w:color w:val="000000"/>
          <w:sz w:val="20"/>
        </w:rPr>
        <w:t xml:space="preserve"> [**4] See </w:t>
      </w:r>
      <w:bookmarkStart w:id="4294" w:name="Bookmark_I5SKDBFM2N1PW00010000400"/>
      <w:bookmarkEnd w:id="4294"/>
      <w:r>
        <w:rPr>
          <w:rFonts w:ascii="Arial" w:eastAsia="Arial" w:hAnsi="Arial" w:cs="Arial"/>
          <w:i/>
          <w:color w:val="000000"/>
          <w:sz w:val="20"/>
        </w:rPr>
        <w:t>id.</w:t>
      </w:r>
      <w:r>
        <w:rPr>
          <w:rFonts w:ascii="Arial" w:eastAsia="Arial" w:hAnsi="Arial" w:cs="Arial"/>
          <w:color w:val="000000"/>
          <w:sz w:val="20"/>
        </w:rPr>
        <w:t xml:space="preserve"> at 435.</w:t>
      </w:r>
    </w:p>
    <w:p w:rsidR="00E456CD" w:rsidRDefault="00000000">
      <w:pPr>
        <w:pStyle w:val="Normal24"/>
        <w:widowControl w:val="0"/>
        <w:spacing w:before="200" w:line="260" w:lineRule="atLeast"/>
        <w:jc w:val="both"/>
      </w:pPr>
      <w:bookmarkStart w:id="4295" w:name="Bookmark_para_8_22"/>
      <w:bookmarkStart w:id="4296" w:name="Bookmark_I5SKDBFM2N1PW00040000400"/>
      <w:bookmarkStart w:id="4297" w:name="Bookmark_I5SKDBFM2SF7V40010000400"/>
      <w:bookmarkEnd w:id="4295"/>
      <w:bookmarkEnd w:id="4296"/>
      <w:bookmarkEnd w:id="4297"/>
      <w:r>
        <w:rPr>
          <w:rFonts w:ascii="Arial" w:eastAsia="Arial" w:hAnsi="Arial" w:cs="Arial"/>
          <w:color w:val="000000"/>
          <w:sz w:val="20"/>
        </w:rPr>
        <w:t>The district court was also not obligated to apply the United States Attorneys' Office Attorney's Fee Matrix, formerly known as the "</w:t>
      </w:r>
      <w:r>
        <w:rPr>
          <w:rFonts w:ascii="Arial" w:eastAsia="Arial" w:hAnsi="Arial" w:cs="Arial"/>
          <w:i/>
          <w:color w:val="000000"/>
          <w:sz w:val="20"/>
        </w:rPr>
        <w:t>Laffey</w:t>
      </w:r>
      <w:r>
        <w:rPr>
          <w:rFonts w:ascii="Arial" w:eastAsia="Arial" w:hAnsi="Arial" w:cs="Arial"/>
          <w:color w:val="000000"/>
          <w:sz w:val="20"/>
        </w:rPr>
        <w:t xml:space="preserve"> matrix." </w:t>
      </w:r>
      <w:r>
        <w:rPr>
          <w:rFonts w:ascii="Arial" w:eastAsia="Arial" w:hAnsi="Arial" w:cs="Arial"/>
          <w:i/>
          <w:color w:val="000000"/>
          <w:sz w:val="20"/>
        </w:rPr>
        <w:t xml:space="preserve">See </w:t>
      </w:r>
      <w:bookmarkStart w:id="4298" w:name="Bookmark_I5SKDBFM2N1PW00030000400"/>
      <w:bookmarkEnd w:id="4298"/>
      <w:r>
        <w:rPr>
          <w:rFonts w:ascii="Arial" w:eastAsia="Arial" w:hAnsi="Arial" w:cs="Arial"/>
          <w:i/>
          <w:color w:val="000000"/>
          <w:sz w:val="20"/>
        </w:rPr>
        <w:t>Prison Legal News v. Schwarzenegger</w:t>
      </w:r>
      <w:r>
        <w:rPr>
          <w:rFonts w:ascii="Arial" w:eastAsia="Arial" w:hAnsi="Arial" w:cs="Arial"/>
          <w:color w:val="000000"/>
          <w:sz w:val="20"/>
        </w:rPr>
        <w:t xml:space="preserve">, 608 F.3d 446, 454 (9th Cir. 2010) ("We thus cannot fault the district court for declining to use the </w:t>
      </w:r>
      <w:r>
        <w:rPr>
          <w:rFonts w:ascii="Arial" w:eastAsia="Arial" w:hAnsi="Arial" w:cs="Arial"/>
          <w:i/>
          <w:color w:val="000000"/>
          <w:sz w:val="20"/>
        </w:rPr>
        <w:t>Laffey</w:t>
      </w:r>
      <w:r>
        <w:rPr>
          <w:rFonts w:ascii="Arial" w:eastAsia="Arial" w:hAnsi="Arial" w:cs="Arial"/>
          <w:color w:val="000000"/>
          <w:sz w:val="20"/>
        </w:rPr>
        <w:t xml:space="preserve"> matrix."). The district court gave adequate reasons for its decision to apply a lodestar multiplier of 1.3 under the circumstances of this case. </w:t>
      </w:r>
      <w:r>
        <w:rPr>
          <w:rFonts w:ascii="Arial" w:eastAsia="Arial" w:hAnsi="Arial" w:cs="Arial"/>
          <w:i/>
          <w:color w:val="000000"/>
          <w:sz w:val="20"/>
        </w:rPr>
        <w:t xml:space="preserve">See </w:t>
      </w:r>
      <w:bookmarkStart w:id="4299" w:name="Bookmark_I5SKDBFM2N1PW00050000400"/>
      <w:bookmarkEnd w:id="4299"/>
      <w:r>
        <w:rPr>
          <w:rFonts w:ascii="Arial" w:eastAsia="Arial" w:hAnsi="Arial" w:cs="Arial"/>
          <w:i/>
          <w:color w:val="000000"/>
          <w:sz w:val="20"/>
        </w:rPr>
        <w:t>Ketchum v. Moses</w:t>
      </w:r>
      <w:r>
        <w:rPr>
          <w:rFonts w:ascii="Arial" w:eastAsia="Arial" w:hAnsi="Arial" w:cs="Arial"/>
          <w:color w:val="000000"/>
          <w:sz w:val="20"/>
        </w:rPr>
        <w:t>, 24 Cal. 4th 1122, 104 Cal. Rptr. 2d 377, 17 P.3d 735, 741, 744 (Cal. 2001).</w:t>
      </w:r>
    </w:p>
    <w:p w:rsidR="00E456CD" w:rsidRDefault="00000000">
      <w:pPr>
        <w:pStyle w:val="Normal24"/>
        <w:widowControl w:val="0"/>
        <w:spacing w:before="200" w:line="260" w:lineRule="atLeast"/>
        <w:jc w:val="both"/>
      </w:pPr>
      <w:bookmarkStart w:id="4300" w:name="Bookmark_para_9_22"/>
      <w:bookmarkEnd w:id="4300"/>
      <w:r>
        <w:rPr>
          <w:rFonts w:ascii="Arial" w:eastAsia="Arial" w:hAnsi="Arial" w:cs="Arial"/>
          <w:b/>
          <w:color w:val="000000"/>
          <w:sz w:val="20"/>
        </w:rPr>
        <w:t>AFFIRMED</w:t>
      </w:r>
      <w:r>
        <w:rPr>
          <w:rFonts w:ascii="Arial" w:eastAsia="Arial" w:hAnsi="Arial" w:cs="Arial"/>
          <w:color w:val="000000"/>
          <w:sz w:val="20"/>
        </w:rPr>
        <w:t>.</w:t>
      </w:r>
    </w:p>
    <w:p w:rsidR="00E456CD" w:rsidRDefault="00E456CD">
      <w:pPr>
        <w:pStyle w:val="Normal24"/>
      </w:pPr>
    </w:p>
    <w:p w:rsidR="00E456CD" w:rsidRDefault="00000000">
      <w:pPr>
        <w:pStyle w:val="Normal24"/>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1251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699243823"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23876" id="Line 56"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5"/>
        <w:sectPr w:rsidR="00E456CD">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gutter="0"/>
          <w:cols w:space="720"/>
          <w:titlePg/>
        </w:sectPr>
      </w:pPr>
    </w:p>
    <w:p w:rsidR="00E456CD" w:rsidRDefault="00E456CD">
      <w:pPr>
        <w:pStyle w:val="Normal25"/>
      </w:pPr>
    </w:p>
    <w:p w:rsidR="00E456CD" w:rsidRDefault="00000000">
      <w:pPr>
        <w:pStyle w:val="Heading124"/>
        <w:keepNext w:val="0"/>
        <w:widowControl w:val="0"/>
        <w:spacing w:after="200" w:line="340" w:lineRule="atLeast"/>
        <w:jc w:val="center"/>
      </w:pPr>
      <w:r>
        <w:rPr>
          <w:rFonts w:eastAsia="Arial"/>
          <w:color w:val="000000"/>
          <w:sz w:val="28"/>
        </w:rPr>
        <w:t>Wood v. Md. DOT</w:t>
      </w:r>
    </w:p>
    <w:p w:rsidR="00E456CD" w:rsidRDefault="00000000">
      <w:pPr>
        <w:pStyle w:val="Normal25"/>
        <w:widowControl w:val="0"/>
        <w:spacing w:before="120" w:line="260" w:lineRule="atLeast"/>
        <w:jc w:val="center"/>
      </w:pPr>
      <w:r>
        <w:rPr>
          <w:rFonts w:ascii="Arial" w:eastAsia="Arial" w:hAnsi="Arial" w:cs="Arial"/>
          <w:color w:val="000000"/>
          <w:sz w:val="20"/>
        </w:rPr>
        <w:t>United States Court of Appeals for the Fourth Circuit</w:t>
      </w:r>
    </w:p>
    <w:p w:rsidR="00E456CD" w:rsidRDefault="00000000">
      <w:pPr>
        <w:pStyle w:val="Normal25"/>
        <w:widowControl w:val="0"/>
        <w:spacing w:before="120" w:line="260" w:lineRule="atLeast"/>
        <w:jc w:val="center"/>
      </w:pPr>
      <w:r>
        <w:rPr>
          <w:rFonts w:ascii="Arial" w:eastAsia="Arial" w:hAnsi="Arial" w:cs="Arial"/>
          <w:color w:val="000000"/>
          <w:sz w:val="20"/>
        </w:rPr>
        <w:t>January 23, 2018, Argued; May 7, 2018, Decided</w:t>
      </w:r>
    </w:p>
    <w:p w:rsidR="00E456CD" w:rsidRDefault="00000000">
      <w:pPr>
        <w:pStyle w:val="Normal25"/>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17-1388</w:t>
      </w:r>
    </w:p>
    <w:p w:rsidR="00E456CD" w:rsidRDefault="00E456CD">
      <w:pPr>
        <w:pStyle w:val="Normal25"/>
        <w:widowControl w:val="0"/>
        <w:spacing w:line="240" w:lineRule="atLeast"/>
        <w:jc w:val="both"/>
      </w:pPr>
      <w:bookmarkStart w:id="4301" w:name="Bookmark_26"/>
      <w:bookmarkEnd w:id="4301"/>
    </w:p>
    <w:p w:rsidR="00E456CD" w:rsidRDefault="00000000">
      <w:pPr>
        <w:pStyle w:val="Normal25"/>
        <w:widowControl w:val="0"/>
        <w:spacing w:before="200" w:line="240" w:lineRule="atLeast"/>
      </w:pPr>
      <w:bookmarkStart w:id="4302" w:name="Reporter_24"/>
      <w:bookmarkEnd w:id="4302"/>
      <w:r>
        <w:rPr>
          <w:rFonts w:ascii="Arial" w:eastAsia="Arial" w:hAnsi="Arial" w:cs="Arial"/>
          <w:b/>
          <w:color w:val="000000"/>
          <w:sz w:val="18"/>
        </w:rPr>
        <w:t>Reporter</w:t>
      </w:r>
    </w:p>
    <w:p w:rsidR="00E456CD" w:rsidRDefault="00000000">
      <w:pPr>
        <w:pStyle w:val="Normal25"/>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732 Fed. Appx. 177 *; 2018 U.S. App. LEXIS 11879 **; 2018 WL 2095229</w:t>
      </w:r>
    </w:p>
    <w:p w:rsidR="00E456CD" w:rsidRDefault="00000000">
      <w:pPr>
        <w:pStyle w:val="Normal25"/>
        <w:widowControl w:val="0"/>
        <w:spacing w:before="120" w:line="260" w:lineRule="atLeast"/>
      </w:pPr>
      <w:r>
        <w:rPr>
          <w:rFonts w:ascii="Arial" w:eastAsia="Arial" w:hAnsi="Arial" w:cs="Arial"/>
          <w:color w:val="000000"/>
          <w:sz w:val="20"/>
        </w:rPr>
        <w:t>DAVID WOOD, Plaintiff - Appellant, v. MARYLAND DEPARTMENT OF TRANSPORTATION; MOTOR VEHICLE ADMINISTRATION, Defendants - Appellees.</w:t>
      </w:r>
    </w:p>
    <w:p w:rsidR="00E456CD" w:rsidRDefault="00000000">
      <w:pPr>
        <w:pStyle w:val="Normal25"/>
        <w:widowControl w:val="0"/>
        <w:spacing w:before="240" w:line="260" w:lineRule="atLeast"/>
        <w:jc w:val="both"/>
      </w:pPr>
      <w:bookmarkStart w:id="4303" w:name="Notice_10"/>
      <w:bookmarkEnd w:id="4303"/>
      <w:r>
        <w:rPr>
          <w:rFonts w:ascii="Arial" w:eastAsia="Arial" w:hAnsi="Arial" w:cs="Arial"/>
          <w:b/>
          <w:color w:val="000000"/>
          <w:sz w:val="20"/>
        </w:rPr>
        <w:t>Notice:</w:t>
      </w:r>
      <w:r>
        <w:rPr>
          <w:rFonts w:ascii="Arial" w:eastAsia="Arial" w:hAnsi="Arial" w:cs="Arial"/>
          <w:color w:val="000000"/>
          <w:sz w:val="20"/>
        </w:rPr>
        <w:t> </w:t>
      </w:r>
      <w:bookmarkStart w:id="4304" w:name="Bookmark_para_1_24"/>
      <w:bookmarkEnd w:id="4304"/>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25"/>
        <w:widowControl w:val="0"/>
        <w:spacing w:before="240" w:line="260" w:lineRule="atLeast"/>
      </w:pPr>
      <w:bookmarkStart w:id="4305" w:name="Subsequent_History_8"/>
      <w:bookmarkEnd w:id="4305"/>
      <w:r>
        <w:rPr>
          <w:rFonts w:ascii="Arial" w:eastAsia="Arial" w:hAnsi="Arial" w:cs="Arial"/>
          <w:b/>
          <w:color w:val="000000"/>
          <w:sz w:val="20"/>
        </w:rPr>
        <w:t>Subsequent History:</w:t>
      </w:r>
      <w:r>
        <w:rPr>
          <w:rFonts w:ascii="Arial" w:eastAsia="Arial" w:hAnsi="Arial" w:cs="Arial"/>
          <w:color w:val="000000"/>
          <w:sz w:val="20"/>
        </w:rPr>
        <w:t> Dismissed by Wood v. Md. DOT, 2019 U.S. Dist. LEXIS 103833 (D. Md., June 20, 2019)</w:t>
      </w:r>
    </w:p>
    <w:p w:rsidR="00E456CD" w:rsidRDefault="00000000">
      <w:pPr>
        <w:pStyle w:val="Normal25"/>
        <w:widowControl w:val="0"/>
        <w:spacing w:before="240" w:line="260" w:lineRule="atLeast"/>
        <w:jc w:val="both"/>
      </w:pPr>
      <w:bookmarkStart w:id="4306" w:name="Prior_History_24"/>
      <w:bookmarkEnd w:id="4306"/>
      <w:r>
        <w:rPr>
          <w:rFonts w:ascii="Arial" w:eastAsia="Arial" w:hAnsi="Arial" w:cs="Arial"/>
          <w:b/>
          <w:color w:val="000000"/>
          <w:sz w:val="20"/>
        </w:rPr>
        <w:t>Prior History:</w:t>
      </w:r>
      <w:r>
        <w:rPr>
          <w:rFonts w:ascii="Arial" w:eastAsia="Arial" w:hAnsi="Arial" w:cs="Arial"/>
          <w:color w:val="000000"/>
          <w:sz w:val="20"/>
        </w:rPr>
        <w:t> </w:t>
      </w:r>
      <w:bookmarkStart w:id="4307" w:name="Bookmark_para_2_24"/>
      <w:bookmarkEnd w:id="4307"/>
      <w:r>
        <w:rPr>
          <w:rFonts w:ascii="Arial" w:eastAsia="Arial" w:hAnsi="Arial" w:cs="Arial"/>
          <w:color w:val="000000"/>
          <w:sz w:val="20"/>
        </w:rPr>
        <w:t> [**1] Appeal from the United States District Court for the District of Maryland, at Baltimore. (1:16-cv-03727-JFM). J. Frederick Motz, Senior District Judge.</w:t>
      </w:r>
    </w:p>
    <w:p w:rsidR="00E456CD" w:rsidRDefault="00000000">
      <w:pPr>
        <w:pStyle w:val="Normal25"/>
        <w:widowControl w:val="0"/>
        <w:spacing w:before="240" w:line="260" w:lineRule="atLeast"/>
        <w:jc w:val="both"/>
      </w:pPr>
      <w:bookmarkStart w:id="4308" w:name="Disposition_7"/>
      <w:bookmarkEnd w:id="4308"/>
      <w:r>
        <w:rPr>
          <w:rFonts w:ascii="Arial" w:eastAsia="Arial" w:hAnsi="Arial" w:cs="Arial"/>
          <w:b/>
          <w:color w:val="000000"/>
          <w:sz w:val="20"/>
        </w:rPr>
        <w:t>Disposition:</w:t>
      </w:r>
      <w:r>
        <w:rPr>
          <w:rFonts w:ascii="Arial" w:eastAsia="Arial" w:hAnsi="Arial" w:cs="Arial"/>
          <w:color w:val="000000"/>
          <w:sz w:val="20"/>
        </w:rPr>
        <w:t> </w:t>
      </w:r>
      <w:bookmarkStart w:id="4309" w:name="Bookmark_clspara_4_5"/>
      <w:bookmarkEnd w:id="4309"/>
      <w:r>
        <w:rPr>
          <w:rFonts w:ascii="Arial" w:eastAsia="Arial" w:hAnsi="Arial" w:cs="Arial"/>
          <w:color w:val="000000"/>
          <w:sz w:val="20"/>
        </w:rPr>
        <w:t>AFFIRMED.</w:t>
      </w:r>
    </w:p>
    <w:p w:rsidR="00E456CD" w:rsidRDefault="00000000">
      <w:pPr>
        <w:pStyle w:val="Normal25"/>
        <w:widowControl w:val="0"/>
        <w:spacing w:before="240" w:line="260" w:lineRule="atLeast"/>
      </w:pPr>
      <w:bookmarkStart w:id="4310" w:name="Counsel_24"/>
      <w:bookmarkEnd w:id="4310"/>
      <w:r>
        <w:rPr>
          <w:rFonts w:ascii="Arial" w:eastAsia="Arial" w:hAnsi="Arial" w:cs="Arial"/>
          <w:b/>
          <w:color w:val="000000"/>
          <w:sz w:val="20"/>
        </w:rPr>
        <w:t>Counsel:</w:t>
      </w:r>
      <w:r>
        <w:rPr>
          <w:rFonts w:ascii="Arial" w:eastAsia="Arial" w:hAnsi="Arial" w:cs="Arial"/>
          <w:color w:val="000000"/>
          <w:sz w:val="20"/>
        </w:rPr>
        <w:t> ARGUED: Jack Lawrence Benoit Gohn, GOHN HANKEY STICHEL &amp; BERLAGE LLP, Baltimore, Maryland, for Appellant.</w:t>
      </w:r>
    </w:p>
    <w:p w:rsidR="00E456CD" w:rsidRDefault="00000000">
      <w:pPr>
        <w:pStyle w:val="Normal25"/>
        <w:widowControl w:val="0"/>
        <w:spacing w:before="120" w:line="260" w:lineRule="atLeast"/>
      </w:pPr>
      <w:r>
        <w:rPr>
          <w:rFonts w:ascii="Arial" w:eastAsia="Arial" w:hAnsi="Arial" w:cs="Arial"/>
          <w:color w:val="000000"/>
          <w:sz w:val="20"/>
        </w:rPr>
        <w:t>Leight Douglas Collins, OFFICE OF THE ATTORNEY GENERAL, Glen Burnie, Maryland, for Appellees.</w:t>
      </w:r>
    </w:p>
    <w:p w:rsidR="00E456CD" w:rsidRDefault="00000000">
      <w:pPr>
        <w:pStyle w:val="Normal25"/>
        <w:widowControl w:val="0"/>
        <w:spacing w:before="120" w:line="260" w:lineRule="atLeast"/>
      </w:pPr>
      <w:r>
        <w:rPr>
          <w:rFonts w:ascii="Arial" w:eastAsia="Arial" w:hAnsi="Arial" w:cs="Arial"/>
          <w:color w:val="000000"/>
          <w:sz w:val="20"/>
        </w:rPr>
        <w:t>ON BRIEF: H. Mark Stichel, GOHN HANKEY STICHEL &amp; BERLAGE LLP, Baltimore, Maryland, for Appellant.</w:t>
      </w:r>
    </w:p>
    <w:p w:rsidR="00E456CD" w:rsidRDefault="00000000">
      <w:pPr>
        <w:pStyle w:val="Normal25"/>
        <w:widowControl w:val="0"/>
        <w:spacing w:before="120" w:line="260" w:lineRule="atLeast"/>
      </w:pPr>
      <w:r>
        <w:rPr>
          <w:rFonts w:ascii="Arial" w:eastAsia="Arial" w:hAnsi="Arial" w:cs="Arial"/>
          <w:color w:val="000000"/>
          <w:sz w:val="20"/>
        </w:rPr>
        <w:t>Brian E. Frosh, Attorney General, OFFICE OF THE ATTORNEY GENERAL OF MARYLAND, Baltimore, Maryland, for Appellees.</w:t>
      </w:r>
    </w:p>
    <w:p w:rsidR="00E456CD" w:rsidRDefault="00000000">
      <w:pPr>
        <w:pStyle w:val="Normal25"/>
        <w:widowControl w:val="0"/>
        <w:spacing w:before="240" w:line="260" w:lineRule="atLeast"/>
      </w:pPr>
      <w:bookmarkStart w:id="4311" w:name="Judges_24"/>
      <w:bookmarkEnd w:id="4311"/>
      <w:r>
        <w:rPr>
          <w:rFonts w:ascii="Arial" w:eastAsia="Arial" w:hAnsi="Arial" w:cs="Arial"/>
          <w:b/>
          <w:color w:val="000000"/>
          <w:sz w:val="20"/>
        </w:rPr>
        <w:t>Judges:</w:t>
      </w:r>
      <w:r>
        <w:rPr>
          <w:rFonts w:ascii="Arial" w:eastAsia="Arial" w:hAnsi="Arial" w:cs="Arial"/>
          <w:color w:val="000000"/>
          <w:sz w:val="20"/>
        </w:rPr>
        <w:t> Before GREGORY, Chief Judge, DUNCAN, and FLOYD, Circuit Judges. Chief Judge Gregory wrote the opinion, in which Judge Duncan and Judge Floyd joined.</w:t>
      </w:r>
    </w:p>
    <w:p w:rsidR="00E456CD" w:rsidRDefault="00000000">
      <w:pPr>
        <w:pStyle w:val="Normal25"/>
        <w:widowControl w:val="0"/>
        <w:spacing w:before="240" w:line="260" w:lineRule="atLeast"/>
      </w:pPr>
      <w:bookmarkStart w:id="4312" w:name="Opinion_by_16"/>
      <w:bookmarkEnd w:id="4312"/>
      <w:r>
        <w:rPr>
          <w:rFonts w:ascii="Arial" w:eastAsia="Arial" w:hAnsi="Arial" w:cs="Arial"/>
          <w:b/>
          <w:color w:val="000000"/>
          <w:sz w:val="20"/>
        </w:rPr>
        <w:t>Opinion by:</w:t>
      </w:r>
      <w:r>
        <w:rPr>
          <w:rFonts w:ascii="Arial" w:eastAsia="Arial" w:hAnsi="Arial" w:cs="Arial"/>
          <w:color w:val="000000"/>
          <w:sz w:val="20"/>
        </w:rPr>
        <w:t> GREGORY</w:t>
      </w:r>
    </w:p>
    <w:p w:rsidR="00E456CD" w:rsidRDefault="00000000">
      <w:pPr>
        <w:pStyle w:val="Normal25"/>
        <w:keepNext/>
        <w:widowControl w:val="0"/>
        <w:spacing w:before="240" w:line="340" w:lineRule="atLeast"/>
      </w:pPr>
      <w:bookmarkStart w:id="4313" w:name="Opinion_24"/>
      <w:bookmarkEnd w:id="4313"/>
      <w:r>
        <w:rPr>
          <w:rFonts w:ascii="Arial" w:eastAsia="Arial" w:hAnsi="Arial" w:cs="Arial"/>
          <w:b/>
          <w:color w:val="000000"/>
          <w:sz w:val="28"/>
        </w:rPr>
        <w:t>Opinion</w:t>
      </w:r>
    </w:p>
    <w:p w:rsidR="00E456CD" w:rsidRDefault="00E22289">
      <w:pPr>
        <w:pStyle w:val="Normal25"/>
        <w:spacing w:line="60" w:lineRule="exact"/>
      </w:pPr>
      <w:r>
        <w:rPr>
          <w:noProof/>
        </w:rPr>
        <mc:AlternateContent>
          <mc:Choice Requires="wps">
            <w:drawing>
              <wp:anchor distT="0" distB="0" distL="114300" distR="114300" simplePos="0" relativeHeight="25171353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326093959"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02CAD" id="Line 57"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5"/>
      </w:pPr>
    </w:p>
    <w:p w:rsidR="00E456CD" w:rsidRDefault="00000000">
      <w:pPr>
        <w:pStyle w:val="Normal25"/>
        <w:widowControl w:val="0"/>
        <w:spacing w:before="200" w:line="260" w:lineRule="atLeast"/>
        <w:jc w:val="both"/>
      </w:pPr>
      <w:bookmarkStart w:id="4314" w:name="Bookmark_para_3_24"/>
      <w:bookmarkEnd w:id="4314"/>
      <w:r>
        <w:rPr>
          <w:rFonts w:ascii="Arial" w:eastAsia="Arial" w:hAnsi="Arial" w:cs="Arial"/>
          <w:color w:val="000000"/>
          <w:sz w:val="20"/>
        </w:rPr>
        <w:t> [*179]  GREGORY, Chief Judge:</w:t>
      </w:r>
    </w:p>
    <w:p w:rsidR="00E456CD" w:rsidRDefault="00000000">
      <w:pPr>
        <w:pStyle w:val="Normal25"/>
        <w:widowControl w:val="0"/>
        <w:spacing w:before="200" w:line="260" w:lineRule="atLeast"/>
        <w:jc w:val="both"/>
      </w:pPr>
      <w:bookmarkStart w:id="4315" w:name="Bookmark_para_4_24"/>
      <w:bookmarkEnd w:id="4315"/>
      <w:r>
        <w:rPr>
          <w:rFonts w:ascii="Arial" w:eastAsia="Arial" w:hAnsi="Arial" w:cs="Arial"/>
          <w:color w:val="000000"/>
          <w:sz w:val="20"/>
        </w:rPr>
        <w:t>The Appellant, David Wood, suffers from a degenerative eye disease that restricts his field of vision. As a result, the Maryland Motor Vehicle Administration (MVA), a unit within the Maryland Department of Transportation (MDOT), denied his application to renew his driver's license. Wood sued, alleging that the State of Maryland's field of vision requirements violate the Americans with Disabilities Act (ADA) and the Rehabilitation Act. The district court [**2]  dismissed the Complaint for failure to state a claim under Federal Rule of Civil Procedure 12(b)(6). We affirm.</w:t>
      </w:r>
    </w:p>
    <w:p w:rsidR="00E456CD" w:rsidRDefault="00000000">
      <w:pPr>
        <w:pStyle w:val="Normal25"/>
        <w:widowControl w:val="0"/>
        <w:spacing w:before="120" w:line="260" w:lineRule="atLeast"/>
      </w:pPr>
      <w:r>
        <w:rPr>
          <w:rFonts w:ascii="Arial" w:eastAsia="Arial" w:hAnsi="Arial" w:cs="Arial"/>
          <w:color w:val="000000"/>
          <w:sz w:val="20"/>
        </w:rPr>
        <w:t>I.</w:t>
      </w:r>
    </w:p>
    <w:p w:rsidR="00E456CD" w:rsidRDefault="00000000">
      <w:pPr>
        <w:pStyle w:val="Normal25"/>
        <w:widowControl w:val="0"/>
        <w:spacing w:before="200" w:line="260" w:lineRule="atLeast"/>
        <w:jc w:val="both"/>
      </w:pPr>
      <w:bookmarkStart w:id="4316" w:name="Bookmark_para_5_24"/>
      <w:bookmarkEnd w:id="4316"/>
      <w:r>
        <w:rPr>
          <w:rFonts w:ascii="Arial" w:eastAsia="Arial" w:hAnsi="Arial" w:cs="Arial"/>
          <w:color w:val="000000"/>
          <w:sz w:val="20"/>
        </w:rPr>
        <w:t>When this case began, David Wood was 75 years old and had been licensed to drive in Maryland. For over thirty years, Wood maintained an impeccable driving record—without any driving infractions or civil liability.</w:t>
      </w:r>
    </w:p>
    <w:p w:rsidR="00E456CD" w:rsidRDefault="00000000">
      <w:pPr>
        <w:pStyle w:val="Normal25"/>
        <w:widowControl w:val="0"/>
        <w:spacing w:before="200" w:line="260" w:lineRule="atLeast"/>
        <w:jc w:val="both"/>
      </w:pPr>
      <w:bookmarkStart w:id="4317" w:name="Bookmark_para_6_24"/>
      <w:bookmarkEnd w:id="4317"/>
      <w:r>
        <w:rPr>
          <w:rFonts w:ascii="Arial" w:eastAsia="Arial" w:hAnsi="Arial" w:cs="Arial"/>
          <w:color w:val="000000"/>
          <w:sz w:val="20"/>
        </w:rPr>
        <w:t>Maryland requires drivers to periodically renew their licenses and in September 2015, Wood began that renewal process. Maryland applicants seeking a driver's license renewal must meet certain field-of-vision requirements. Md. Code Ann., Transp. § 16-115(i)(1). For unrestricted licenses, applicants must have a continuous field of vision of at least 140 degrees. Md. Code Ann., Transp. § 16-110.1(a)(1)(ii). For restricted licenses, applicants must have a continuous field of vision of at least 110 degrees with at least 35 degrees of vision lateral to the midline of each side. Md. Code Ann., Transp. § 16-110.1(c)(1)(ii).</w:t>
      </w:r>
    </w:p>
    <w:p w:rsidR="00E456CD" w:rsidRDefault="00000000">
      <w:pPr>
        <w:pStyle w:val="Normal25"/>
        <w:widowControl w:val="0"/>
        <w:spacing w:before="200" w:line="260" w:lineRule="atLeast"/>
        <w:jc w:val="both"/>
      </w:pPr>
      <w:bookmarkStart w:id="4318" w:name="Bookmark_para_7_23"/>
      <w:bookmarkEnd w:id="4318"/>
      <w:r>
        <w:rPr>
          <w:rFonts w:ascii="Arial" w:eastAsia="Arial" w:hAnsi="Arial" w:cs="Arial"/>
          <w:color w:val="000000"/>
          <w:sz w:val="20"/>
        </w:rPr>
        <w:t>Adults typically have a field of vision extending roughly 180-200 degrees horizontally and about 100 degrees vertically. J.A. 27. But Wood suffers from retinitis pigmentosa, a degenerative eye disease that restricts his peripheral vision. As a result of his condition, Wood has a total field of vision of only 60 degrees and does not meet Maryland's field-of-vision requirement for even a restricted license. Accordingly, [**3]  the MVA denied Wood's application to renew his license.</w:t>
      </w:r>
    </w:p>
    <w:p w:rsidR="00E456CD" w:rsidRDefault="00000000">
      <w:pPr>
        <w:pStyle w:val="Normal25"/>
        <w:widowControl w:val="0"/>
        <w:spacing w:before="200" w:line="260" w:lineRule="atLeast"/>
        <w:jc w:val="both"/>
      </w:pPr>
      <w:bookmarkStart w:id="4319" w:name="Bookmark_para_8_23"/>
      <w:bookmarkEnd w:id="4319"/>
      <w:r>
        <w:rPr>
          <w:rFonts w:ascii="Arial" w:eastAsia="Arial" w:hAnsi="Arial" w:cs="Arial"/>
          <w:color w:val="000000"/>
          <w:sz w:val="20"/>
        </w:rPr>
        <w:t>Shortly after being denied, Wood petitioned the MVA Medical Advisory Board to have his license renewed. The Board consists of physicians with varying specialties who assess the impact of medical conditions on an applicant's ability to safely operate a motor vehicle. As a part of the Board's review, Wood's primary care physician and ophthalmologist completed a medical survey, which confirmed that Wood had a total field of vision of about 60 degrees. After the Board reviewed Wood's completed medical survey, the MVA informed Wood that his license renewal application  [*180]  was again denied. On November 29, 2015, Wood's driver's license expired.</w:t>
      </w:r>
      <w:r>
        <w:rPr>
          <w:rFonts w:ascii="Arial" w:eastAsia="Arial" w:hAnsi="Arial" w:cs="Arial"/>
          <w:vertAlign w:val="superscript"/>
        </w:rPr>
        <w:footnoteReference w:customMarkFollows="1" w:id="193"/>
        <w:t>1</w:t>
      </w:r>
    </w:p>
    <w:p w:rsidR="00E456CD" w:rsidRDefault="00000000">
      <w:pPr>
        <w:pStyle w:val="Normal25"/>
        <w:widowControl w:val="0"/>
        <w:spacing w:before="200" w:line="260" w:lineRule="atLeast"/>
        <w:jc w:val="both"/>
      </w:pPr>
      <w:bookmarkStart w:id="4321" w:name="Bookmark_para_9_23"/>
      <w:bookmarkEnd w:id="4321"/>
      <w:r>
        <w:rPr>
          <w:rFonts w:ascii="Arial" w:eastAsia="Arial" w:hAnsi="Arial" w:cs="Arial"/>
          <w:color w:val="000000"/>
          <w:sz w:val="20"/>
        </w:rPr>
        <w:t>Seemingly out of options with the MVA, Wood next wrote a series of letters to Maryland's Secretary of Transportation and Attorney General, seeking to have his license reinstated. On February 29, 2016, an Assistant Attorney General wrote Wood explaining that the MVA could not issue him a license because he does not meet the field of vision requirements.</w:t>
      </w:r>
    </w:p>
    <w:p w:rsidR="00E456CD" w:rsidRDefault="00000000">
      <w:pPr>
        <w:pStyle w:val="Normal25"/>
        <w:widowControl w:val="0"/>
        <w:spacing w:before="200" w:line="260" w:lineRule="atLeast"/>
        <w:jc w:val="both"/>
      </w:pPr>
      <w:bookmarkStart w:id="4322" w:name="Bookmark_para_10_22"/>
      <w:bookmarkEnd w:id="4322"/>
      <w:r>
        <w:rPr>
          <w:rFonts w:ascii="Arial" w:eastAsia="Arial" w:hAnsi="Arial" w:cs="Arial"/>
          <w:color w:val="000000"/>
          <w:sz w:val="20"/>
        </w:rPr>
        <w:t>On November 16, 2016, Wood filed a two-count complaint against the MDOT and the MVA (collectively, "the State"), seeking to have his license reinstated. [**4]  Count One asserts a violation of the Rehabilitation Act, 29 U.S.C. § 701; Count Two alleges a violation of the Americans with Disabilities Act, 42 U.S.C. § 12131. In support of both counts, Wood alleges that (1) his retinitis pigmentosa constitutes a disability; (2) despite his disability, he is "otherwise qualified" to receive a driver's license; and (3) the State did not provide an individualized inquiry into his fitness for a driver's license. There does not appear to be any available means of correcting or augmenting Wood's field of vision. Accordingly, Wood does not seek any accommodation from the State.</w:t>
      </w:r>
    </w:p>
    <w:p w:rsidR="00E456CD" w:rsidRDefault="00000000">
      <w:pPr>
        <w:pStyle w:val="Normal25"/>
        <w:widowControl w:val="0"/>
        <w:spacing w:before="200" w:line="260" w:lineRule="atLeast"/>
        <w:jc w:val="both"/>
      </w:pPr>
      <w:bookmarkStart w:id="4323" w:name="Bookmark_para_11_22"/>
      <w:bookmarkEnd w:id="4323"/>
      <w:r>
        <w:rPr>
          <w:rFonts w:ascii="Arial" w:eastAsia="Arial" w:hAnsi="Arial" w:cs="Arial"/>
          <w:color w:val="000000"/>
          <w:sz w:val="20"/>
        </w:rPr>
        <w:t>In lieu of answering the Complaint, the State filed a Motion to Dismiss for failure to state a claim. As an attachment to its Motion to Dismiss, the State included ten pages of testimony from the 1997 Maryland Senate Bill 303 (hereinafter "bill file excerpts"). Bill 303 aimed to "expand[] the criteria under which an individual is granted a drivers' license to include those with more severe vision problems than is currently allowed." J.A. 40. The bill successfully passed through the Maryland Legislature and became the current version of Maryland's vision requirements to operate a vehicle.</w:t>
      </w:r>
      <w:r>
        <w:rPr>
          <w:rFonts w:ascii="Arial" w:eastAsia="Arial" w:hAnsi="Arial" w:cs="Arial"/>
          <w:vertAlign w:val="superscript"/>
        </w:rPr>
        <w:footnoteReference w:customMarkFollows="1" w:id="194"/>
        <w:t>2</w:t>
      </w:r>
      <w:r>
        <w:rPr>
          <w:rFonts w:ascii="Arial" w:eastAsia="Arial" w:hAnsi="Arial" w:cs="Arial"/>
          <w:color w:val="000000"/>
          <w:sz w:val="20"/>
        </w:rPr>
        <w:t xml:space="preserve"> The bill file excerpts [**5]  describe a Vision Standards Work Group, composed of vision experts, driving specialists and license examiners, which recommended most of Maryland's current visual field standards.</w:t>
      </w:r>
    </w:p>
    <w:p w:rsidR="00E456CD" w:rsidRDefault="00000000">
      <w:pPr>
        <w:pStyle w:val="Normal25"/>
        <w:widowControl w:val="0"/>
        <w:spacing w:before="200" w:line="260" w:lineRule="atLeast"/>
        <w:jc w:val="both"/>
      </w:pPr>
      <w:bookmarkStart w:id="4325" w:name="Bookmark_para_12_21"/>
      <w:bookmarkEnd w:id="4325"/>
      <w:r>
        <w:rPr>
          <w:rFonts w:ascii="Arial" w:eastAsia="Arial" w:hAnsi="Arial" w:cs="Arial"/>
          <w:color w:val="000000"/>
          <w:sz w:val="20"/>
        </w:rPr>
        <w:t xml:space="preserve">After noting the State's reliance on the bill file excerpts, Wood requested leave to file a surreply to address, </w:t>
      </w:r>
      <w:r>
        <w:rPr>
          <w:rFonts w:ascii="Arial" w:eastAsia="Arial" w:hAnsi="Arial" w:cs="Arial"/>
          <w:i/>
          <w:color w:val="000000"/>
          <w:sz w:val="20"/>
        </w:rPr>
        <w:t>inter alia</w:t>
      </w:r>
      <w:r>
        <w:rPr>
          <w:rFonts w:ascii="Arial" w:eastAsia="Arial" w:hAnsi="Arial" w:cs="Arial"/>
          <w:color w:val="000000"/>
          <w:sz w:val="20"/>
        </w:rPr>
        <w:t>, whether the bill file excerpts were appropriate for the district court to consider at the motion-to-dismiss stage. But, the district court issued an opinion granting the State's Motion to Dismiss. In its opinion the district court discusses the Vision Standards Work Group, apparently referencing the bill file materials. Wood timely appealed.</w:t>
      </w:r>
    </w:p>
    <w:p w:rsidR="00E456CD" w:rsidRDefault="00000000">
      <w:pPr>
        <w:pStyle w:val="Normal25"/>
        <w:widowControl w:val="0"/>
        <w:spacing w:before="120" w:line="260" w:lineRule="atLeast"/>
      </w:pPr>
      <w:r>
        <w:rPr>
          <w:rFonts w:ascii="Arial" w:eastAsia="Arial" w:hAnsi="Arial" w:cs="Arial"/>
          <w:color w:val="000000"/>
          <w:sz w:val="20"/>
        </w:rPr>
        <w:t>II.</w:t>
      </w:r>
    </w:p>
    <w:p w:rsidR="00E456CD" w:rsidRDefault="00000000">
      <w:pPr>
        <w:pStyle w:val="Normal25"/>
        <w:widowControl w:val="0"/>
        <w:spacing w:before="200" w:line="260" w:lineRule="atLeast"/>
        <w:jc w:val="both"/>
      </w:pPr>
      <w:bookmarkStart w:id="4326" w:name="Bookmark_para_13_19"/>
      <w:bookmarkStart w:id="4327" w:name="Bookmark_I5SFSTMD28T4JR0020000400"/>
      <w:bookmarkStart w:id="4328" w:name="Bookmark_LNHNREFclscc1_20"/>
      <w:bookmarkEnd w:id="4326"/>
      <w:bookmarkEnd w:id="4327"/>
      <w:bookmarkEnd w:id="4328"/>
      <w:r>
        <w:rPr>
          <w:rFonts w:ascii="Arial" w:eastAsia="Arial" w:hAnsi="Arial" w:cs="Arial"/>
          <w:color w:val="000000"/>
          <w:sz w:val="20"/>
        </w:rPr>
        <w:t xml:space="preserve">"We review de novo the district court's grant of a motion to dismiss." </w:t>
      </w:r>
      <w:bookmarkStart w:id="4329" w:name="Bookmark_I5SFSTMD28T4JR0010000400"/>
      <w:bookmarkEnd w:id="4329"/>
      <w:r>
        <w:rPr>
          <w:rFonts w:ascii="Arial" w:eastAsia="Arial" w:hAnsi="Arial" w:cs="Arial"/>
          <w:i/>
          <w:color w:val="000000"/>
          <w:sz w:val="20"/>
        </w:rPr>
        <w:t>Cruz v. Maypa</w:t>
      </w:r>
      <w:r>
        <w:rPr>
          <w:rFonts w:ascii="Arial" w:eastAsia="Arial" w:hAnsi="Arial" w:cs="Arial"/>
          <w:color w:val="000000"/>
          <w:sz w:val="20"/>
        </w:rPr>
        <w:t>, 773 F.3d 138, 143 (4th Cir. 2014).</w:t>
      </w:r>
    </w:p>
    <w:p w:rsidR="00E456CD" w:rsidRDefault="00000000">
      <w:pPr>
        <w:pStyle w:val="Normal25"/>
        <w:widowControl w:val="0"/>
        <w:spacing w:before="200" w:line="260" w:lineRule="atLeast"/>
        <w:jc w:val="both"/>
      </w:pPr>
      <w:bookmarkStart w:id="4330" w:name="Bookmark_para_14_18"/>
      <w:bookmarkStart w:id="4331" w:name="Bookmark_LNHNREFclscc2_20"/>
      <w:bookmarkEnd w:id="4330"/>
      <w:bookmarkEnd w:id="4331"/>
      <w:r>
        <w:rPr>
          <w:rFonts w:ascii="Arial" w:eastAsia="Arial" w:hAnsi="Arial" w:cs="Arial"/>
          <w:color w:val="000000"/>
          <w:sz w:val="20"/>
        </w:rPr>
        <w:t xml:space="preserve">Both the ADA and the Rehabilitation Act prohibit discrimination based on disability. </w:t>
      </w:r>
      <w:r>
        <w:rPr>
          <w:rFonts w:ascii="Arial" w:eastAsia="Arial" w:hAnsi="Arial" w:cs="Arial"/>
          <w:i/>
          <w:color w:val="000000"/>
          <w:sz w:val="20"/>
        </w:rPr>
        <w:t>See</w:t>
      </w:r>
      <w:r>
        <w:rPr>
          <w:rFonts w:ascii="Arial" w:eastAsia="Arial" w:hAnsi="Arial" w:cs="Arial"/>
          <w:color w:val="000000"/>
          <w:sz w:val="20"/>
        </w:rPr>
        <w:t xml:space="preserve"> 42 U.S.C. § 12101 (ADA); 29 U.S.C. § 701 (Rehabilitation Act). </w:t>
      </w:r>
      <w:bookmarkStart w:id="4332" w:name="Bookmark_I5SFSTMD28T4JR0040000400"/>
      <w:bookmarkEnd w:id="4332"/>
      <w:r>
        <w:rPr>
          <w:rFonts w:ascii="Arial" w:eastAsia="Arial" w:hAnsi="Arial" w:cs="Arial"/>
          <w:color w:val="000000"/>
          <w:sz w:val="20"/>
        </w:rPr>
        <w:t xml:space="preserve">Title II of the ADA governs all programs, activities, and services provided by State or  [*181]  local governments. 42 U.S.C. § 12131. Section 504 of the Rehabilitation Act governs programs or activities receiving federal financial assistance. 29 U.S.C. § 794. The scope of liability under the ADA is generally the same as that under the Rehabilitation Act. </w:t>
      </w:r>
      <w:bookmarkStart w:id="4333" w:name="Bookmark_I5SFSTMD28T4JR0030000400"/>
      <w:bookmarkEnd w:id="4333"/>
      <w:r>
        <w:rPr>
          <w:rFonts w:ascii="Arial" w:eastAsia="Arial" w:hAnsi="Arial" w:cs="Arial"/>
          <w:i/>
          <w:color w:val="000000"/>
          <w:sz w:val="20"/>
        </w:rPr>
        <w:t>Myers v. Hose</w:t>
      </w:r>
      <w:r>
        <w:rPr>
          <w:rFonts w:ascii="Arial" w:eastAsia="Arial" w:hAnsi="Arial" w:cs="Arial"/>
          <w:color w:val="000000"/>
          <w:sz w:val="20"/>
        </w:rPr>
        <w:t>, 50 F.3d 278, 281 (4th Cir. 1995).</w:t>
      </w:r>
    </w:p>
    <w:p w:rsidR="00E456CD" w:rsidRDefault="00000000">
      <w:pPr>
        <w:pStyle w:val="Normal25"/>
        <w:widowControl w:val="0"/>
        <w:spacing w:before="200" w:line="260" w:lineRule="atLeast"/>
        <w:jc w:val="both"/>
      </w:pPr>
      <w:bookmarkStart w:id="4334" w:name="Bookmark_para_15_18"/>
      <w:bookmarkEnd w:id="4334"/>
      <w:r>
        <w:rPr>
          <w:rFonts w:ascii="Arial" w:eastAsia="Arial" w:hAnsi="Arial" w:cs="Arial"/>
          <w:color w:val="000000"/>
          <w:sz w:val="20"/>
        </w:rPr>
        <w:t>Wood argues that the district court (a) erred in [**6]  its substantive analysis, (b) imposed an incorrect pleading standard, and (c) disregarded Fourth Circuit precedent. But neither argument has merit.</w:t>
      </w:r>
    </w:p>
    <w:p w:rsidR="00E456CD" w:rsidRDefault="00000000">
      <w:pPr>
        <w:pStyle w:val="Normal25"/>
        <w:widowControl w:val="0"/>
        <w:spacing w:before="120" w:line="260" w:lineRule="atLeast"/>
      </w:pPr>
      <w:r>
        <w:rPr>
          <w:rFonts w:ascii="Arial" w:eastAsia="Arial" w:hAnsi="Arial" w:cs="Arial"/>
          <w:color w:val="000000"/>
          <w:sz w:val="20"/>
        </w:rPr>
        <w:t>A.</w:t>
      </w:r>
    </w:p>
    <w:p w:rsidR="00E456CD" w:rsidRDefault="00000000">
      <w:pPr>
        <w:pStyle w:val="Normal25"/>
        <w:widowControl w:val="0"/>
        <w:spacing w:before="200" w:line="260" w:lineRule="atLeast"/>
        <w:jc w:val="both"/>
      </w:pPr>
      <w:bookmarkStart w:id="4335" w:name="Bookmark_para_16_17"/>
      <w:bookmarkEnd w:id="4335"/>
      <w:r>
        <w:rPr>
          <w:rFonts w:ascii="Arial" w:eastAsia="Arial" w:hAnsi="Arial" w:cs="Arial"/>
          <w:color w:val="000000"/>
          <w:sz w:val="20"/>
        </w:rPr>
        <w:t>Wood argues that the district court erred in its direct-threat analysis. But his argument is misplaced.</w:t>
      </w:r>
    </w:p>
    <w:p w:rsidR="00E456CD" w:rsidRDefault="00000000">
      <w:pPr>
        <w:pStyle w:val="Normal25"/>
        <w:widowControl w:val="0"/>
        <w:spacing w:before="200" w:line="260" w:lineRule="atLeast"/>
        <w:jc w:val="both"/>
      </w:pPr>
      <w:bookmarkStart w:id="4336" w:name="Bookmark_para_17_16"/>
      <w:bookmarkStart w:id="4337" w:name="Bookmark_I5SFSTMD2SF7KP0010000400"/>
      <w:bookmarkStart w:id="4338" w:name="Bookmark_LNHNREFclscc3_18"/>
      <w:bookmarkEnd w:id="4336"/>
      <w:bookmarkEnd w:id="4337"/>
      <w:bookmarkEnd w:id="4338"/>
      <w:r>
        <w:rPr>
          <w:rFonts w:ascii="Arial" w:eastAsia="Arial" w:hAnsi="Arial" w:cs="Arial"/>
          <w:color w:val="000000"/>
          <w:sz w:val="20"/>
        </w:rPr>
        <w:t xml:space="preserve">Title II of the ADA and Section 504 of the Rehabilitation Act allow for certain affirmative defenses. For instance, "[f]ederal regulations excuse States from complying with the ADA with respect to disabled people who pose a 'direct threat' to others[.]" </w:t>
      </w:r>
      <w:bookmarkStart w:id="4339" w:name="Bookmark_I5SFSTMD28T4JR0050000400"/>
      <w:bookmarkEnd w:id="4339"/>
      <w:r>
        <w:rPr>
          <w:rFonts w:ascii="Arial" w:eastAsia="Arial" w:hAnsi="Arial" w:cs="Arial"/>
          <w:i/>
          <w:color w:val="000000"/>
          <w:sz w:val="20"/>
        </w:rPr>
        <w:t>Disability Rights N.J., Inc. v. Comm'r, N.J. Dep't of Human Servs.</w:t>
      </w:r>
      <w:r>
        <w:rPr>
          <w:rFonts w:ascii="Arial" w:eastAsia="Arial" w:hAnsi="Arial" w:cs="Arial"/>
          <w:color w:val="000000"/>
          <w:sz w:val="20"/>
        </w:rPr>
        <w:t xml:space="preserve">, 796 F.3d 293, 301 (3d Cir. 2015); </w:t>
      </w:r>
      <w:r>
        <w:rPr>
          <w:rFonts w:ascii="Arial" w:eastAsia="Arial" w:hAnsi="Arial" w:cs="Arial"/>
          <w:i/>
          <w:color w:val="000000"/>
          <w:sz w:val="20"/>
        </w:rPr>
        <w:t>see also</w:t>
      </w:r>
      <w:r>
        <w:rPr>
          <w:rFonts w:ascii="Arial" w:eastAsia="Arial" w:hAnsi="Arial" w:cs="Arial"/>
          <w:color w:val="000000"/>
          <w:sz w:val="20"/>
        </w:rPr>
        <w:t xml:space="preserve"> 29 U.S.C. § 705(20)(D) (excluding those who "constitute a direct threat to the health or safety of other individuals" from the Rehabilitation Act's definition of "individual with a disability"). "In determining whether an individual poses a direct threat to the health or safety of others, a public entity must make an </w:t>
      </w:r>
      <w:r>
        <w:rPr>
          <w:rFonts w:ascii="Arial" w:eastAsia="Arial" w:hAnsi="Arial" w:cs="Arial"/>
          <w:i/>
          <w:color w:val="000000"/>
          <w:sz w:val="20"/>
        </w:rPr>
        <w:t>individualized assessment</w:t>
      </w:r>
      <w:r>
        <w:rPr>
          <w:rFonts w:ascii="Arial" w:eastAsia="Arial" w:hAnsi="Arial" w:cs="Arial"/>
          <w:color w:val="000000"/>
          <w:sz w:val="20"/>
        </w:rPr>
        <w:t xml:space="preserve">, based on reasonable judgment that relies on </w:t>
      </w:r>
      <w:r>
        <w:rPr>
          <w:rFonts w:ascii="Arial" w:eastAsia="Arial" w:hAnsi="Arial" w:cs="Arial"/>
          <w:i/>
          <w:color w:val="000000"/>
          <w:sz w:val="20"/>
        </w:rPr>
        <w:t>current medical knowledge</w:t>
      </w:r>
      <w:r>
        <w:rPr>
          <w:rFonts w:ascii="Arial" w:eastAsia="Arial" w:hAnsi="Arial" w:cs="Arial"/>
          <w:color w:val="000000"/>
          <w:sz w:val="20"/>
        </w:rPr>
        <w:t xml:space="preserve"> or on the best available objective evidence, to ascertain: the nature, duration, and severity of the risk; the probability that the potential injury will actually occur; and whether reasonable modifications of policies, practices, or procedures or the provision of auxiliary aids or services will mitigate the risk." 28 C.F.R. § 35.139 (emphasis [**7]  added).</w:t>
      </w:r>
    </w:p>
    <w:p w:rsidR="00E456CD" w:rsidRDefault="00000000">
      <w:pPr>
        <w:pStyle w:val="Normal25"/>
        <w:widowControl w:val="0"/>
        <w:spacing w:before="200" w:line="260" w:lineRule="atLeast"/>
        <w:jc w:val="both"/>
      </w:pPr>
      <w:bookmarkStart w:id="4340" w:name="Bookmark_para_18_16"/>
      <w:bookmarkEnd w:id="4340"/>
      <w:r>
        <w:rPr>
          <w:rFonts w:ascii="Arial" w:eastAsia="Arial" w:hAnsi="Arial" w:cs="Arial"/>
          <w:color w:val="000000"/>
          <w:sz w:val="20"/>
        </w:rPr>
        <w:t>According to Wood, dismissal of his complaint was improper because, as a disabled applicant, he "must be determined to pose a direct threat on an individualized basis in light of current medical knowledge, unless it can be shown that individualized consideration will inevitably result in the exclusion of all persons with a disability." Opening Br. at 12. But his argument confuses the procedural posture of this case.</w:t>
      </w:r>
    </w:p>
    <w:p w:rsidR="00E456CD" w:rsidRDefault="00000000">
      <w:pPr>
        <w:pStyle w:val="Normal25"/>
        <w:widowControl w:val="0"/>
        <w:spacing w:before="200" w:line="260" w:lineRule="atLeast"/>
        <w:jc w:val="both"/>
      </w:pPr>
      <w:bookmarkStart w:id="4341" w:name="Bookmark_para_19_16"/>
      <w:bookmarkStart w:id="4342" w:name="Bookmark_I5SFSTMD2SF7KP0030000400"/>
      <w:bookmarkStart w:id="4343" w:name="Bookmark_LNHNREFclscc4_18"/>
      <w:bookmarkEnd w:id="4341"/>
      <w:bookmarkEnd w:id="4342"/>
      <w:bookmarkEnd w:id="4343"/>
      <w:r>
        <w:rPr>
          <w:rFonts w:ascii="Arial" w:eastAsia="Arial" w:hAnsi="Arial" w:cs="Arial"/>
          <w:color w:val="000000"/>
          <w:sz w:val="20"/>
        </w:rPr>
        <w:t xml:space="preserve">Determining that a disabled person poses a direct threat is a </w:t>
      </w:r>
      <w:r>
        <w:rPr>
          <w:rFonts w:ascii="Arial" w:eastAsia="Arial" w:hAnsi="Arial" w:cs="Arial"/>
          <w:i/>
          <w:color w:val="000000"/>
          <w:sz w:val="20"/>
        </w:rPr>
        <w:t>defense</w:t>
      </w:r>
      <w:r>
        <w:rPr>
          <w:rFonts w:ascii="Arial" w:eastAsia="Arial" w:hAnsi="Arial" w:cs="Arial"/>
          <w:color w:val="000000"/>
          <w:sz w:val="20"/>
        </w:rPr>
        <w:t xml:space="preserve"> to a discrimination charge and an exception to compliance with the ADA and the Rehabilitation Act. </w:t>
      </w:r>
      <w:r>
        <w:rPr>
          <w:rFonts w:ascii="Arial" w:eastAsia="Arial" w:hAnsi="Arial" w:cs="Arial"/>
          <w:i/>
          <w:color w:val="000000"/>
          <w:sz w:val="20"/>
        </w:rPr>
        <w:t xml:space="preserve">See </w:t>
      </w:r>
      <w:bookmarkStart w:id="4344" w:name="Bookmark_I5SFSTMD2SF7KP0020000400"/>
      <w:bookmarkEnd w:id="4344"/>
      <w:r>
        <w:rPr>
          <w:rFonts w:ascii="Arial" w:eastAsia="Arial" w:hAnsi="Arial" w:cs="Arial"/>
          <w:i/>
          <w:color w:val="000000"/>
          <w:sz w:val="20"/>
        </w:rPr>
        <w:t>Thomas v. The Salvation Army S. Territory</w:t>
      </w:r>
      <w:r>
        <w:rPr>
          <w:rFonts w:ascii="Arial" w:eastAsia="Arial" w:hAnsi="Arial" w:cs="Arial"/>
          <w:color w:val="000000"/>
          <w:sz w:val="20"/>
        </w:rPr>
        <w:t xml:space="preserve">, 841 F.3d 632, 640 (4th Cir. 2016) ("[I]t is a defense to claims under the Rehabilitation Act that [a plaintiff] may pose a 'direct threat' to the welfare of others." (quoting </w:t>
      </w:r>
      <w:bookmarkStart w:id="4345" w:name="Bookmark_I5SFSTMD2SF7KP0040000400"/>
      <w:bookmarkEnd w:id="4345"/>
      <w:r>
        <w:rPr>
          <w:rFonts w:ascii="Arial" w:eastAsia="Arial" w:hAnsi="Arial" w:cs="Arial"/>
          <w:i/>
          <w:color w:val="000000"/>
          <w:sz w:val="20"/>
        </w:rPr>
        <w:t>McGeshick v. Principi</w:t>
      </w:r>
      <w:r>
        <w:rPr>
          <w:rFonts w:ascii="Arial" w:eastAsia="Arial" w:hAnsi="Arial" w:cs="Arial"/>
          <w:color w:val="000000"/>
          <w:sz w:val="20"/>
        </w:rPr>
        <w:t xml:space="preserve">, 357 F.3d 1146, 1151 (10th Cir. 2004))); </w:t>
      </w:r>
      <w:r>
        <w:rPr>
          <w:rFonts w:ascii="Arial" w:eastAsia="Arial" w:hAnsi="Arial" w:cs="Arial"/>
          <w:i/>
          <w:color w:val="000000"/>
          <w:sz w:val="20"/>
        </w:rPr>
        <w:t xml:space="preserve">see also </w:t>
      </w:r>
      <w:bookmarkStart w:id="4346" w:name="Bookmark_I5SFSTMD2N1RX20010000400"/>
      <w:bookmarkEnd w:id="4346"/>
      <w:r>
        <w:rPr>
          <w:rFonts w:ascii="Arial" w:eastAsia="Arial" w:hAnsi="Arial" w:cs="Arial"/>
          <w:i/>
          <w:color w:val="000000"/>
          <w:sz w:val="20"/>
        </w:rPr>
        <w:t>Chevron U.S.A. Inc. v. Echazabal</w:t>
      </w:r>
      <w:r>
        <w:rPr>
          <w:rFonts w:ascii="Arial" w:eastAsia="Arial" w:hAnsi="Arial" w:cs="Arial"/>
          <w:color w:val="000000"/>
          <w:sz w:val="20"/>
        </w:rPr>
        <w:t>, 536 U.S. 73, 78, 122 S. Ct. 2045, 153 L. Ed. 2d 82 (2002) (characterizing the ADA's direct threat provision as an affirmative defense). Wood's argument is premature because the State has not asserted the direct-threat defense. Indeed, the phrase "direct threat" is absent from the State's entire brief. Because the State has neither asserted the direct-threat defense nor indicated that it seeks to be excused from the requirements of the ADA and Rehabilitation Act, the State's obligation to prove that defense—by [**8]  conducting an individualized inquiry based on current medical knowledge—is not triggered. In this case, rather than answering Wood's Complaint and asserting an affirmative defense, the State filed a motion to dismiss. Therefore, our attention in this case must focus on the sufficiency of pleading in the Complaint.</w:t>
      </w:r>
    </w:p>
    <w:p w:rsidR="00E456CD" w:rsidRDefault="00000000">
      <w:pPr>
        <w:pStyle w:val="Normal25"/>
        <w:widowControl w:val="0"/>
        <w:spacing w:before="120" w:line="260" w:lineRule="atLeast"/>
      </w:pPr>
      <w:r>
        <w:rPr>
          <w:rFonts w:ascii="Arial" w:eastAsia="Arial" w:hAnsi="Arial" w:cs="Arial"/>
          <w:color w:val="000000"/>
          <w:sz w:val="20"/>
        </w:rPr>
        <w:t>B.</w:t>
      </w:r>
    </w:p>
    <w:p w:rsidR="00E456CD" w:rsidRDefault="00000000">
      <w:pPr>
        <w:pStyle w:val="Normal25"/>
        <w:widowControl w:val="0"/>
        <w:spacing w:before="200" w:line="260" w:lineRule="atLeast"/>
        <w:jc w:val="both"/>
      </w:pPr>
      <w:bookmarkStart w:id="4347" w:name="Bookmark_para_20_16"/>
      <w:bookmarkEnd w:id="4347"/>
      <w:r>
        <w:rPr>
          <w:rFonts w:ascii="Arial" w:eastAsia="Arial" w:hAnsi="Arial" w:cs="Arial"/>
          <w:color w:val="000000"/>
          <w:sz w:val="20"/>
        </w:rPr>
        <w:t>Wood argues that the district court applied an incorrect pleading standard. But that argument also fails.</w:t>
      </w:r>
    </w:p>
    <w:p w:rsidR="00E456CD" w:rsidRDefault="00000000">
      <w:pPr>
        <w:pStyle w:val="Normal25"/>
        <w:widowControl w:val="0"/>
        <w:spacing w:before="200" w:line="260" w:lineRule="atLeast"/>
        <w:jc w:val="both"/>
      </w:pPr>
      <w:bookmarkStart w:id="4348" w:name="Bookmark_para_21_15"/>
      <w:bookmarkEnd w:id="4348"/>
      <w:r>
        <w:rPr>
          <w:rFonts w:ascii="Arial" w:eastAsia="Arial" w:hAnsi="Arial" w:cs="Arial"/>
          <w:color w:val="000000"/>
          <w:sz w:val="20"/>
        </w:rPr>
        <w:t xml:space="preserve"> [*182]  </w:t>
      </w:r>
      <w:bookmarkStart w:id="4349" w:name="Bookmark_I5SFSTMD2N1RX20040000400"/>
      <w:bookmarkStart w:id="4350" w:name="Bookmark_I5SFSTMD2SF7KR0010000400"/>
      <w:bookmarkStart w:id="4351" w:name="Bookmark_LNHNREFclscc5_17"/>
      <w:bookmarkEnd w:id="4349"/>
      <w:bookmarkEnd w:id="4350"/>
      <w:bookmarkEnd w:id="4351"/>
      <w:r>
        <w:rPr>
          <w:rFonts w:ascii="Arial" w:eastAsia="Arial" w:hAnsi="Arial" w:cs="Arial"/>
          <w:color w:val="000000"/>
          <w:sz w:val="20"/>
        </w:rPr>
        <w:t xml:space="preserve">"The ADA and Rehabilitation Act generally are construed to impose the same requirements due to the similarity of the language of the two acts." </w:t>
      </w:r>
      <w:bookmarkStart w:id="4352" w:name="Bookmark_I5SFSTMD2N1RX20030000400"/>
      <w:bookmarkEnd w:id="4352"/>
      <w:r>
        <w:rPr>
          <w:rFonts w:ascii="Arial" w:eastAsia="Arial" w:hAnsi="Arial" w:cs="Arial"/>
          <w:i/>
          <w:color w:val="000000"/>
          <w:sz w:val="20"/>
        </w:rPr>
        <w:t>Baird ex rel. Baird v. Rose</w:t>
      </w:r>
      <w:r>
        <w:rPr>
          <w:rFonts w:ascii="Arial" w:eastAsia="Arial" w:hAnsi="Arial" w:cs="Arial"/>
          <w:color w:val="000000"/>
          <w:sz w:val="20"/>
        </w:rPr>
        <w:t xml:space="preserve">, 192 F.3d 462, 468 (4th Cir. 1999). To state a cognizable claim under either the ADA or the Rehabilitation Act, a plaintiff must sufficiently allege "(1) that he has a disability; (2) that he is otherwise qualified for the employment or benefit in question; and (3) that he was excluded from the employment or benefit due to discrimination solely on the basis of the disability." </w:t>
      </w:r>
      <w:bookmarkStart w:id="4353" w:name="Bookmark_I5SFSTMD2N1RX20050000400"/>
      <w:bookmarkEnd w:id="4353"/>
      <w:r>
        <w:rPr>
          <w:rFonts w:ascii="Arial" w:eastAsia="Arial" w:hAnsi="Arial" w:cs="Arial"/>
          <w:i/>
          <w:color w:val="000000"/>
          <w:sz w:val="20"/>
        </w:rPr>
        <w:t>Doe v. Univ. of Maryland Med. Sys. Corp.</w:t>
      </w:r>
      <w:r>
        <w:rPr>
          <w:rFonts w:ascii="Arial" w:eastAsia="Arial" w:hAnsi="Arial" w:cs="Arial"/>
          <w:color w:val="000000"/>
          <w:sz w:val="20"/>
        </w:rPr>
        <w:t>, 50 F.3d 1261, 1264-65 (4th Cir. 1995). The parties do not dispute that Wood's retinitis pigmentosa constitutes a disability within the meaning of the ADA and the Rehabilitation Act or that he was excluded from the benefit of a driver's license due to his disability. Instead, the parties dispute whether Wood sufficiently pled [**9]  that he is otherwise qualified to receive a driver's license.</w:t>
      </w:r>
    </w:p>
    <w:p w:rsidR="00E456CD" w:rsidRDefault="00000000">
      <w:pPr>
        <w:pStyle w:val="Normal25"/>
        <w:widowControl w:val="0"/>
        <w:spacing w:before="200" w:line="260" w:lineRule="atLeast"/>
        <w:jc w:val="both"/>
      </w:pPr>
      <w:bookmarkStart w:id="4354" w:name="Bookmark_para_22_15"/>
      <w:bookmarkEnd w:id="4354"/>
      <w:r>
        <w:rPr>
          <w:rFonts w:ascii="Arial" w:eastAsia="Arial" w:hAnsi="Arial" w:cs="Arial"/>
          <w:color w:val="000000"/>
          <w:sz w:val="20"/>
        </w:rPr>
        <w:t>Relying on an unpublished, out-of-circuit case, Wood argues that "the burden rests on the state promulgating each blanket driver's license requirement to show that [each] requirement is essential for the safe operation of a motor vehicle." J.A. 61. But our precedent forecloses that interpretation.</w:t>
      </w:r>
    </w:p>
    <w:p w:rsidR="00E456CD" w:rsidRDefault="00000000">
      <w:pPr>
        <w:pStyle w:val="Normal25"/>
        <w:widowControl w:val="0"/>
        <w:spacing w:before="200" w:line="260" w:lineRule="atLeast"/>
        <w:jc w:val="both"/>
      </w:pPr>
      <w:bookmarkStart w:id="4355" w:name="Bookmark_para_23_15"/>
      <w:bookmarkStart w:id="4356" w:name="Bookmark_I5SFSTMD2SF7KR0030000400"/>
      <w:bookmarkStart w:id="4357" w:name="Bookmark_I5SFSTMD2SF7KR0050000400"/>
      <w:bookmarkStart w:id="4358" w:name="Bookmark_LNHNREFclscc6_16"/>
      <w:bookmarkEnd w:id="4355"/>
      <w:bookmarkEnd w:id="4356"/>
      <w:bookmarkEnd w:id="4357"/>
      <w:bookmarkEnd w:id="4358"/>
      <w:r>
        <w:rPr>
          <w:rFonts w:ascii="Arial" w:eastAsia="Arial" w:hAnsi="Arial" w:cs="Arial"/>
          <w:color w:val="000000"/>
          <w:sz w:val="20"/>
        </w:rPr>
        <w:t xml:space="preserve">"A </w:t>
      </w:r>
      <w:r>
        <w:rPr>
          <w:rFonts w:ascii="Arial" w:eastAsia="Arial" w:hAnsi="Arial" w:cs="Arial"/>
          <w:i/>
          <w:color w:val="000000"/>
          <w:sz w:val="20"/>
        </w:rPr>
        <w:t>plaintiff</w:t>
      </w:r>
      <w:r>
        <w:rPr>
          <w:rFonts w:ascii="Arial" w:eastAsia="Arial" w:hAnsi="Arial" w:cs="Arial"/>
          <w:color w:val="000000"/>
          <w:sz w:val="20"/>
        </w:rPr>
        <w:t xml:space="preserve"> asserting a violation of the ADA or Rehabilitation Act bears the burden to establish that he is qualified." </w:t>
      </w:r>
      <w:bookmarkStart w:id="4359" w:name="Bookmark_I5SFSTMD2SF7KR0020000400"/>
      <w:bookmarkEnd w:id="4359"/>
      <w:r>
        <w:rPr>
          <w:rFonts w:ascii="Arial" w:eastAsia="Arial" w:hAnsi="Arial" w:cs="Arial"/>
          <w:i/>
          <w:color w:val="000000"/>
          <w:sz w:val="20"/>
        </w:rPr>
        <w:t>Halpern v. Wake Forest Univ. Health Scis.</w:t>
      </w:r>
      <w:r>
        <w:rPr>
          <w:rFonts w:ascii="Arial" w:eastAsia="Arial" w:hAnsi="Arial" w:cs="Arial"/>
          <w:color w:val="000000"/>
          <w:sz w:val="20"/>
        </w:rPr>
        <w:t xml:space="preserve">, 669 F.3d 454, 462 (4th Cir. 2012) (emphasis added). Under Title II of the ADA, a disabled person is otherwise qualified if he is "an individual with a disability who, with or without reasonable modifications to rules, policies, or practices, . . . meets the </w:t>
      </w:r>
      <w:r>
        <w:rPr>
          <w:rFonts w:ascii="Arial" w:eastAsia="Arial" w:hAnsi="Arial" w:cs="Arial"/>
          <w:i/>
          <w:color w:val="000000"/>
          <w:sz w:val="20"/>
        </w:rPr>
        <w:t>essential eligibility requirements</w:t>
      </w:r>
      <w:r>
        <w:rPr>
          <w:rFonts w:ascii="Arial" w:eastAsia="Arial" w:hAnsi="Arial" w:cs="Arial"/>
          <w:color w:val="000000"/>
          <w:sz w:val="20"/>
        </w:rPr>
        <w:t xml:space="preserve"> for . . . participation in" that program. 42 U.S.C. § 12131(2) (emphasis added); </w:t>
      </w:r>
      <w:r>
        <w:rPr>
          <w:rFonts w:ascii="Arial" w:eastAsia="Arial" w:hAnsi="Arial" w:cs="Arial"/>
          <w:i/>
          <w:color w:val="000000"/>
          <w:sz w:val="20"/>
        </w:rPr>
        <w:t>see also</w:t>
      </w:r>
      <w:r>
        <w:rPr>
          <w:rFonts w:ascii="Arial" w:eastAsia="Arial" w:hAnsi="Arial" w:cs="Arial"/>
          <w:color w:val="000000"/>
          <w:sz w:val="20"/>
        </w:rPr>
        <w:t xml:space="preserve"> 45 C.F.R. § 83.3(l)(4) (stating a nearly identical standard for Rehabilitation Act claims). Essential eligibility requirements of a program are "those requirements that bear more than a marginal relationship to the program at issue[.]" </w:t>
      </w:r>
      <w:bookmarkStart w:id="4360" w:name="Bookmark_I5SFSTMD2SF7KR0040000400"/>
      <w:bookmarkEnd w:id="4360"/>
      <w:r>
        <w:rPr>
          <w:rFonts w:ascii="Arial" w:eastAsia="Arial" w:hAnsi="Arial" w:cs="Arial"/>
          <w:i/>
          <w:color w:val="000000"/>
          <w:sz w:val="20"/>
        </w:rPr>
        <w:t>Halpern</w:t>
      </w:r>
      <w:r>
        <w:rPr>
          <w:rFonts w:ascii="Arial" w:eastAsia="Arial" w:hAnsi="Arial" w:cs="Arial"/>
          <w:color w:val="000000"/>
          <w:sz w:val="20"/>
        </w:rPr>
        <w:t xml:space="preserve">, 669 F.3d at 462 (internal quotations and alterations omitted). Therefore, contrary to Wood's assertion, the burden rests on </w:t>
      </w:r>
      <w:r>
        <w:rPr>
          <w:rFonts w:ascii="Arial" w:eastAsia="Arial" w:hAnsi="Arial" w:cs="Arial"/>
          <w:i/>
          <w:color w:val="000000"/>
          <w:sz w:val="20"/>
        </w:rPr>
        <w:t>him</w:t>
      </w:r>
      <w:r>
        <w:rPr>
          <w:rFonts w:ascii="Arial" w:eastAsia="Arial" w:hAnsi="Arial" w:cs="Arial"/>
          <w:color w:val="000000"/>
          <w:sz w:val="20"/>
        </w:rPr>
        <w:t xml:space="preserve"> to plausibly allege that he meets the essential eligibility requirements [**10]  to obtain a license.</w:t>
      </w:r>
    </w:p>
    <w:p w:rsidR="00E456CD" w:rsidRDefault="00000000">
      <w:pPr>
        <w:pStyle w:val="Normal25"/>
        <w:widowControl w:val="0"/>
        <w:spacing w:before="200" w:line="260" w:lineRule="atLeast"/>
        <w:jc w:val="both"/>
      </w:pPr>
      <w:bookmarkStart w:id="4361" w:name="Bookmark_para_24_14"/>
      <w:bookmarkEnd w:id="4361"/>
      <w:r>
        <w:rPr>
          <w:rFonts w:ascii="Arial" w:eastAsia="Arial" w:hAnsi="Arial" w:cs="Arial"/>
          <w:color w:val="000000"/>
          <w:sz w:val="20"/>
        </w:rPr>
        <w:t>Under the correct pleading standard, we conclude that Wood has not met his burden. Relying only on his driving record, Wood argues that even with a 60-degree field of vision he is otherwise qualified to obtain a driver's license. But Wood's driving record, without more, does not plausibly establish that he meets the essential eligibility requirements to receive a driver's license.</w:t>
      </w:r>
    </w:p>
    <w:p w:rsidR="00E456CD" w:rsidRDefault="00000000">
      <w:pPr>
        <w:pStyle w:val="Normal25"/>
        <w:widowControl w:val="0"/>
        <w:spacing w:before="200" w:line="260" w:lineRule="atLeast"/>
        <w:jc w:val="both"/>
      </w:pPr>
      <w:bookmarkStart w:id="4362" w:name="Bookmark_para_25_14"/>
      <w:bookmarkStart w:id="4363" w:name="Bookmark_I5SFSTMD2HM6W20020000400"/>
      <w:bookmarkStart w:id="4364" w:name="Bookmark_LNHNREFclscc7_16"/>
      <w:bookmarkEnd w:id="4362"/>
      <w:bookmarkEnd w:id="4363"/>
      <w:bookmarkEnd w:id="4364"/>
      <w:r>
        <w:rPr>
          <w:rFonts w:ascii="Arial" w:eastAsia="Arial" w:hAnsi="Arial" w:cs="Arial"/>
          <w:color w:val="000000"/>
          <w:sz w:val="20"/>
        </w:rPr>
        <w:t xml:space="preserve">"To survive a motion to dismiss, a complaint must contain sufficient factual matter, accepted as true, to state a claim to relief that is plausible on its face." </w:t>
      </w:r>
      <w:bookmarkStart w:id="4365" w:name="Bookmark_I5SFSTMD2HM6W20010000400"/>
      <w:bookmarkEnd w:id="4365"/>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(internal citations and quotations omitted). "Determining whether a complaint states a plausible claim for relief will . . . be a </w:t>
      </w:r>
      <w:r>
        <w:rPr>
          <w:rFonts w:ascii="Arial" w:eastAsia="Arial" w:hAnsi="Arial" w:cs="Arial"/>
          <w:i/>
          <w:color w:val="000000"/>
          <w:sz w:val="20"/>
        </w:rPr>
        <w:t>context-specific</w:t>
      </w:r>
      <w:r>
        <w:rPr>
          <w:rFonts w:ascii="Arial" w:eastAsia="Arial" w:hAnsi="Arial" w:cs="Arial"/>
          <w:color w:val="000000"/>
          <w:sz w:val="20"/>
        </w:rPr>
        <w:t xml:space="preserve"> task that requires the reviewing court to draw on its judicial experience and </w:t>
      </w:r>
      <w:r>
        <w:rPr>
          <w:rFonts w:ascii="Arial" w:eastAsia="Arial" w:hAnsi="Arial" w:cs="Arial"/>
          <w:i/>
          <w:color w:val="000000"/>
          <w:sz w:val="20"/>
        </w:rPr>
        <w:t>common sense</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(emphasis added). "[W]here the well-pleaded facts do not permit the court to infer more than the mere possibility of misconduct, the complaint has alleged—but it has not shown—that the pleader is entitled to relief." </w:t>
      </w:r>
      <w:r>
        <w:rPr>
          <w:rFonts w:ascii="Arial" w:eastAsia="Arial" w:hAnsi="Arial" w:cs="Arial"/>
          <w:i/>
          <w:color w:val="000000"/>
          <w:sz w:val="20"/>
        </w:rPr>
        <w:t>Id.</w:t>
      </w:r>
      <w:r>
        <w:rPr>
          <w:rFonts w:ascii="Arial" w:eastAsia="Arial" w:hAnsi="Arial" w:cs="Arial"/>
          <w:color w:val="000000"/>
          <w:sz w:val="20"/>
        </w:rPr>
        <w:t xml:space="preserve"> (internal quotations, citations and alterations omitted).</w:t>
      </w:r>
    </w:p>
    <w:p w:rsidR="00E456CD" w:rsidRDefault="00000000">
      <w:pPr>
        <w:pStyle w:val="Normal25"/>
        <w:widowControl w:val="0"/>
        <w:spacing w:before="200" w:line="260" w:lineRule="atLeast"/>
        <w:jc w:val="both"/>
      </w:pPr>
      <w:bookmarkStart w:id="4366" w:name="Bookmark_para_26_14"/>
      <w:bookmarkEnd w:id="4366"/>
      <w:r>
        <w:rPr>
          <w:rFonts w:ascii="Arial" w:eastAsia="Arial" w:hAnsi="Arial" w:cs="Arial"/>
          <w:color w:val="000000"/>
          <w:sz w:val="20"/>
        </w:rPr>
        <w:t xml:space="preserve">According to Wood, his driving record demonstrates that he is "undeniably" qualified to drive. Opening Br. at 4. [**11]  But, in this context, accepting Wood's argument strains common sense. Wood's disqualifying vision is of recent origin. </w:t>
      </w:r>
      <w:r>
        <w:rPr>
          <w:rFonts w:ascii="Arial" w:eastAsia="Arial" w:hAnsi="Arial" w:cs="Arial"/>
          <w:i/>
          <w:color w:val="000000"/>
          <w:sz w:val="20"/>
        </w:rPr>
        <w:t>See supra</w:t>
      </w:r>
      <w:r>
        <w:rPr>
          <w:rFonts w:ascii="Arial" w:eastAsia="Arial" w:hAnsi="Arial" w:cs="Arial"/>
          <w:color w:val="000000"/>
          <w:sz w:val="20"/>
        </w:rPr>
        <w:t xml:space="preserve"> note 1. </w:t>
      </w:r>
      <w:bookmarkStart w:id="4367" w:name="Bookmark_I5SFSTMD2HM6W20040000400"/>
      <w:bookmarkEnd w:id="4367"/>
      <w:r>
        <w:rPr>
          <w:rFonts w:ascii="Arial" w:eastAsia="Arial" w:hAnsi="Arial" w:cs="Arial"/>
          <w:color w:val="000000"/>
          <w:sz w:val="20"/>
        </w:rPr>
        <w:t xml:space="preserve">Therefore, most of his decades-old  [*183]  driving history cannot speak to his qualification to drive with his current 60-degree field of vision. Even if we consider only the most recent years of Wood's driving history, it does not follow that his driving behavior </w:t>
      </w:r>
      <w:r>
        <w:rPr>
          <w:rFonts w:ascii="Arial" w:eastAsia="Arial" w:hAnsi="Arial" w:cs="Arial"/>
          <w:i/>
          <w:color w:val="000000"/>
          <w:sz w:val="20"/>
        </w:rPr>
        <w:t>in the past</w:t>
      </w:r>
      <w:r>
        <w:rPr>
          <w:rFonts w:ascii="Arial" w:eastAsia="Arial" w:hAnsi="Arial" w:cs="Arial"/>
          <w:color w:val="000000"/>
          <w:sz w:val="20"/>
        </w:rPr>
        <w:t xml:space="preserve"> establishes his physical qualification </w:t>
      </w:r>
      <w:r>
        <w:rPr>
          <w:rFonts w:ascii="Arial" w:eastAsia="Arial" w:hAnsi="Arial" w:cs="Arial"/>
          <w:i/>
          <w:color w:val="000000"/>
          <w:sz w:val="20"/>
        </w:rPr>
        <w:t>in the future</w:t>
      </w:r>
      <w:r>
        <w:rPr>
          <w:rFonts w:ascii="Arial" w:eastAsia="Arial" w:hAnsi="Arial" w:cs="Arial"/>
          <w:color w:val="000000"/>
          <w:sz w:val="20"/>
        </w:rPr>
        <w:t xml:space="preserve">—particularly given Wood's already-severe visual impairment and the degenerative nature of his eye condition. </w:t>
      </w:r>
      <w:bookmarkStart w:id="4368" w:name="Bookmark_I5SFSTMD2N1RX30010000400"/>
      <w:bookmarkEnd w:id="4368"/>
      <w:r>
        <w:rPr>
          <w:rFonts w:ascii="Arial" w:eastAsia="Arial" w:hAnsi="Arial" w:cs="Arial"/>
          <w:i/>
          <w:color w:val="000000"/>
          <w:sz w:val="20"/>
        </w:rPr>
        <w:t xml:space="preserve">See, e.g., </w:t>
      </w:r>
      <w:bookmarkStart w:id="4369" w:name="Bookmark_I5SFSTMD2HM6W20030000400"/>
      <w:bookmarkEnd w:id="4369"/>
      <w:r>
        <w:rPr>
          <w:rFonts w:ascii="Arial" w:eastAsia="Arial" w:hAnsi="Arial" w:cs="Arial"/>
          <w:i/>
          <w:color w:val="000000"/>
          <w:sz w:val="20"/>
        </w:rPr>
        <w:t>Motor Vehicle Admin. v. Mohler</w:t>
      </w:r>
      <w:r>
        <w:rPr>
          <w:rFonts w:ascii="Arial" w:eastAsia="Arial" w:hAnsi="Arial" w:cs="Arial"/>
          <w:color w:val="000000"/>
          <w:sz w:val="20"/>
        </w:rPr>
        <w:t xml:space="preserve">, 318 Md. 219, 227, 567 A.2d 929 (Md. 1990) (noting the difference between an "unsafe" driver and an "unfit" driver). </w:t>
      </w:r>
      <w:bookmarkStart w:id="4370" w:name="Bookmark_I5SFSTMD2N1RX30010000400_2"/>
      <w:bookmarkEnd w:id="4370"/>
      <w:r>
        <w:rPr>
          <w:rFonts w:ascii="Arial" w:eastAsia="Arial" w:hAnsi="Arial" w:cs="Arial"/>
          <w:color w:val="000000"/>
          <w:sz w:val="20"/>
        </w:rPr>
        <w:t xml:space="preserve">Put simply, an incident-free driving history is commendable, but it is no substitute for vision. And, although Wood believes that he "safely compensates for his deficits in peripheral vision," J.A. 8, his conclusory opinion is not a well-pleaded fact that this Court must accept as true. </w:t>
      </w:r>
      <w:r>
        <w:rPr>
          <w:rFonts w:ascii="Arial" w:eastAsia="Arial" w:hAnsi="Arial" w:cs="Arial"/>
          <w:i/>
          <w:color w:val="000000"/>
          <w:sz w:val="20"/>
        </w:rPr>
        <w:t xml:space="preserve">See </w:t>
      </w:r>
      <w:bookmarkStart w:id="4371" w:name="Bookmark_I5SFSTMD2HM6W20050000400"/>
      <w:bookmarkEnd w:id="4371"/>
      <w:r>
        <w:rPr>
          <w:rFonts w:ascii="Arial" w:eastAsia="Arial" w:hAnsi="Arial" w:cs="Arial"/>
          <w:i/>
          <w:color w:val="000000"/>
          <w:sz w:val="20"/>
        </w:rPr>
        <w:t>Twombly</w:t>
      </w:r>
      <w:r>
        <w:rPr>
          <w:rFonts w:ascii="Arial" w:eastAsia="Arial" w:hAnsi="Arial" w:cs="Arial"/>
          <w:color w:val="000000"/>
          <w:sz w:val="20"/>
        </w:rPr>
        <w:t>, 550 U.S. at 555 (</w:t>
      </w:r>
      <w:bookmarkStart w:id="4372" w:name="Bookmark_LNHNREFclscc8_14"/>
      <w:bookmarkEnd w:id="4372"/>
      <w:r>
        <w:rPr>
          <w:rFonts w:ascii="Arial" w:eastAsia="Arial" w:hAnsi="Arial" w:cs="Arial"/>
          <w:color w:val="000000"/>
          <w:sz w:val="20"/>
        </w:rPr>
        <w:t>"[A] plaintiff's obligation to provide the grounds of his entitlement to relief requires more than labels and conclusions[.]" (internal citations, quotations and alterations omitted)).</w:t>
      </w:r>
    </w:p>
    <w:p w:rsidR="00E456CD" w:rsidRDefault="00000000">
      <w:pPr>
        <w:pStyle w:val="Normal25"/>
        <w:widowControl w:val="0"/>
        <w:spacing w:before="200" w:line="260" w:lineRule="atLeast"/>
        <w:jc w:val="both"/>
      </w:pPr>
      <w:bookmarkStart w:id="4373" w:name="Bookmark_para_27_14"/>
      <w:bookmarkStart w:id="4374" w:name="Bookmark_I5SFSTMD2N1RX30030000400"/>
      <w:bookmarkEnd w:id="4373"/>
      <w:bookmarkEnd w:id="4374"/>
      <w:r>
        <w:rPr>
          <w:rFonts w:ascii="Arial" w:eastAsia="Arial" w:hAnsi="Arial" w:cs="Arial"/>
          <w:color w:val="000000"/>
          <w:sz w:val="20"/>
        </w:rPr>
        <w:t xml:space="preserve">The essence of Wood's Complaint is that the State unlawfully discriminated [**12]  against him by failing to make a sufficiently individualized inquiry in his case. J.A. 11, 14. But the law does not require individualized inquiry in every case. </w:t>
      </w:r>
      <w:r>
        <w:rPr>
          <w:rFonts w:ascii="Arial" w:eastAsia="Arial" w:hAnsi="Arial" w:cs="Arial"/>
          <w:i/>
          <w:color w:val="000000"/>
          <w:sz w:val="20"/>
        </w:rPr>
        <w:t xml:space="preserve">See </w:t>
      </w:r>
      <w:bookmarkStart w:id="4375" w:name="Bookmark_I5SFSTMD2N1RX30020000400"/>
      <w:bookmarkEnd w:id="4375"/>
      <w:r>
        <w:rPr>
          <w:rFonts w:ascii="Arial" w:eastAsia="Arial" w:hAnsi="Arial" w:cs="Arial"/>
          <w:i/>
          <w:color w:val="000000"/>
          <w:sz w:val="20"/>
        </w:rPr>
        <w:t>Sch. Bd. of Nassau Cty., Fla. v. Arline</w:t>
      </w:r>
      <w:r>
        <w:rPr>
          <w:rFonts w:ascii="Arial" w:eastAsia="Arial" w:hAnsi="Arial" w:cs="Arial"/>
          <w:color w:val="000000"/>
          <w:sz w:val="20"/>
        </w:rPr>
        <w:t>, 480 U.S. 273, 287, 107 S. Ct. 1123, 94 L. Ed. 2d 307 (1987). And, the level of individualized inquiry Wood desires is not required in this context.</w:t>
      </w:r>
    </w:p>
    <w:p w:rsidR="00E456CD" w:rsidRDefault="00000000">
      <w:pPr>
        <w:pStyle w:val="Normal25"/>
        <w:widowControl w:val="0"/>
        <w:spacing w:before="200" w:line="260" w:lineRule="atLeast"/>
        <w:jc w:val="both"/>
      </w:pPr>
      <w:bookmarkStart w:id="4376" w:name="Bookmark_para_28_14"/>
      <w:bookmarkStart w:id="4377" w:name="Bookmark_I5SFSTMD2N1RX30050000400"/>
      <w:bookmarkEnd w:id="4376"/>
      <w:bookmarkEnd w:id="4377"/>
      <w:r>
        <w:rPr>
          <w:rFonts w:ascii="Arial" w:eastAsia="Arial" w:hAnsi="Arial" w:cs="Arial"/>
          <w:color w:val="000000"/>
          <w:sz w:val="20"/>
        </w:rPr>
        <w:t xml:space="preserve">"To achieve the goals of the ADA, Congress charged the Department of Justice with developing regulations to implement Title II. The Department of Justice promulgated a Technical Assistance Manual to set out the requirements under the ADA." </w:t>
      </w:r>
      <w:bookmarkStart w:id="4378" w:name="Bookmark_I5SFSTMD2N1RX30040000400"/>
      <w:bookmarkEnd w:id="4378"/>
      <w:r>
        <w:rPr>
          <w:rFonts w:ascii="Arial" w:eastAsia="Arial" w:hAnsi="Arial" w:cs="Arial"/>
          <w:i/>
          <w:color w:val="000000"/>
          <w:sz w:val="20"/>
        </w:rPr>
        <w:t>Slager v. Duncan</w:t>
      </w:r>
      <w:r>
        <w:rPr>
          <w:rFonts w:ascii="Arial" w:eastAsia="Arial" w:hAnsi="Arial" w:cs="Arial"/>
          <w:color w:val="000000"/>
          <w:sz w:val="20"/>
        </w:rPr>
        <w:t xml:space="preserve">, 162 F.3d 1155 (4th Cir. 1998) (Table decision) (citing 42 U.S.C. § 12134(a)). Though the Technical Assistance Manual is not an exhaustive list of requirements for governments to meet under Title II, it is persuasive guidance on how to interpret the ADA. </w:t>
      </w:r>
      <w:r>
        <w:rPr>
          <w:rFonts w:ascii="Arial" w:eastAsia="Arial" w:hAnsi="Arial" w:cs="Arial"/>
          <w:i/>
          <w:color w:val="000000"/>
          <w:sz w:val="20"/>
        </w:rPr>
        <w:t>Id.</w:t>
      </w:r>
      <w:r>
        <w:rPr>
          <w:rFonts w:ascii="Arial" w:eastAsia="Arial" w:hAnsi="Arial" w:cs="Arial"/>
          <w:color w:val="000000"/>
          <w:sz w:val="20"/>
        </w:rPr>
        <w:t xml:space="preserve"> According to the Department of Justice ("DOJ"), </w:t>
      </w:r>
      <w:bookmarkStart w:id="4379" w:name="Bookmark_LNHNREFclscc9_12"/>
      <w:bookmarkEnd w:id="4379"/>
      <w:r>
        <w:rPr>
          <w:rFonts w:ascii="Arial" w:eastAsia="Arial" w:hAnsi="Arial" w:cs="Arial"/>
          <w:color w:val="000000"/>
          <w:sz w:val="20"/>
        </w:rPr>
        <w:t xml:space="preserve">"[a] public entity may establish requirements, such as vision requirements, that would exclude some individuals with disabilities, if those requirements are essential for the safe operation of a motor vehicle. . . . </w:t>
      </w:r>
      <w:bookmarkStart w:id="4380" w:name="Bookmark_I5SFSTMD2D6NS20020000400"/>
      <w:bookmarkEnd w:id="4380"/>
      <w:r>
        <w:rPr>
          <w:rFonts w:ascii="Arial" w:eastAsia="Arial" w:hAnsi="Arial" w:cs="Arial"/>
          <w:color w:val="000000"/>
          <w:sz w:val="20"/>
        </w:rPr>
        <w:t xml:space="preserve">A public entity does not have to lower or eliminate licensing standards that are essential to the licensed activity to accommodate an individual with a disability." The Americans with Disabilities Act: Title II Technical Assistance Manual [**13]  § II-3.7200 (Nov. 1993). </w:t>
      </w:r>
      <w:bookmarkStart w:id="4381" w:name="Bookmark_I5SFSTMD2D6NS20020000400_2"/>
      <w:bookmarkStart w:id="4382" w:name="Bookmark_I5SFSTMD2D6NS20040000400"/>
      <w:bookmarkEnd w:id="4381"/>
      <w:bookmarkEnd w:id="4382"/>
      <w:r>
        <w:rPr>
          <w:rFonts w:ascii="Arial" w:eastAsia="Arial" w:hAnsi="Arial" w:cs="Arial"/>
          <w:color w:val="000000"/>
          <w:sz w:val="20"/>
        </w:rPr>
        <w:t xml:space="preserve">And, with respect to the Rehabilitation Act, then-Chief Judge, now Justice Breyer, explicitly acknowledged a public entity's authority to promulgate reasonable vision standards for driver's licenses, without the need to undergo a more individualized inquiry. </w:t>
      </w:r>
      <w:r>
        <w:rPr>
          <w:rFonts w:ascii="Arial" w:eastAsia="Arial" w:hAnsi="Arial" w:cs="Arial"/>
          <w:i/>
          <w:color w:val="000000"/>
          <w:sz w:val="20"/>
        </w:rPr>
        <w:t xml:space="preserve">See </w:t>
      </w:r>
      <w:bookmarkStart w:id="4383" w:name="Bookmark_I5SFSTMD2D6NS20010000400"/>
      <w:bookmarkEnd w:id="4383"/>
      <w:r>
        <w:rPr>
          <w:rFonts w:ascii="Arial" w:eastAsia="Arial" w:hAnsi="Arial" w:cs="Arial"/>
          <w:i/>
          <w:color w:val="000000"/>
          <w:sz w:val="20"/>
        </w:rPr>
        <w:t>Ward v. Skinner</w:t>
      </w:r>
      <w:r>
        <w:rPr>
          <w:rFonts w:ascii="Arial" w:eastAsia="Arial" w:hAnsi="Arial" w:cs="Arial"/>
          <w:color w:val="000000"/>
          <w:sz w:val="20"/>
        </w:rPr>
        <w:t xml:space="preserve">, 943 F.2d 157, 162 (1st Cir. 1991) (Breyer, C.J.) </w:t>
      </w:r>
      <w:bookmarkStart w:id="4384" w:name="Bookmark_I5SFSTMD2D6NS20040000400_2"/>
      <w:bookmarkEnd w:id="4384"/>
      <w:r>
        <w:rPr>
          <w:rFonts w:ascii="Arial" w:eastAsia="Arial" w:hAnsi="Arial" w:cs="Arial"/>
          <w:color w:val="000000"/>
          <w:sz w:val="20"/>
        </w:rPr>
        <w:t xml:space="preserve">(reasoning that </w:t>
      </w:r>
      <w:bookmarkStart w:id="4385" w:name="Bookmark_LNHNREFclscc10_12"/>
      <w:bookmarkEnd w:id="4385"/>
      <w:r>
        <w:rPr>
          <w:rFonts w:ascii="Arial" w:eastAsia="Arial" w:hAnsi="Arial" w:cs="Arial"/>
          <w:color w:val="000000"/>
          <w:sz w:val="20"/>
        </w:rPr>
        <w:t xml:space="preserve">the Department of Transportation can "adopt reasonable rules concerning the relationship between certain handicaps, say poor vision, and certain activities like driving."); </w:t>
      </w:r>
      <w:r>
        <w:rPr>
          <w:rFonts w:ascii="Arial" w:eastAsia="Arial" w:hAnsi="Arial" w:cs="Arial"/>
          <w:i/>
          <w:color w:val="000000"/>
          <w:sz w:val="20"/>
        </w:rPr>
        <w:t xml:space="preserve">see also </w:t>
      </w:r>
      <w:bookmarkStart w:id="4386" w:name="Bookmark_I5SFSTMD2D6NS20030000400"/>
      <w:bookmarkEnd w:id="4386"/>
      <w:r>
        <w:rPr>
          <w:rFonts w:ascii="Arial" w:eastAsia="Arial" w:hAnsi="Arial" w:cs="Arial"/>
          <w:i/>
          <w:color w:val="000000"/>
          <w:sz w:val="20"/>
        </w:rPr>
        <w:t>Buck v. United States DOT</w:t>
      </w:r>
      <w:r>
        <w:rPr>
          <w:rFonts w:ascii="Arial" w:eastAsia="Arial" w:hAnsi="Arial" w:cs="Arial"/>
          <w:color w:val="000000"/>
          <w:sz w:val="20"/>
        </w:rPr>
        <w:t>, 56 F.3d 1406, 1408, 312 U.S. App. D.C. 336 (D.C. Cir. 1995) ("Where the [Department of Transportation] has established a certain safety standard, however, and there is no way in which an individual with a certain handicap can meet that standard, the law does not require the pointless exercise of allowing him to try. . . . Once an individual has admitted that he does not meet such a necessary—as opposed to a merely convenient—standard, the Rehabilitation Act does not forbid the application to him of a general rule.").</w:t>
      </w:r>
    </w:p>
    <w:p w:rsidR="00E456CD" w:rsidRDefault="00000000">
      <w:pPr>
        <w:pStyle w:val="Normal25"/>
        <w:widowControl w:val="0"/>
        <w:spacing w:before="200" w:line="260" w:lineRule="atLeast"/>
        <w:jc w:val="both"/>
      </w:pPr>
      <w:bookmarkStart w:id="4387" w:name="Bookmark_para_29_14"/>
      <w:bookmarkEnd w:id="4387"/>
      <w:r>
        <w:rPr>
          <w:rFonts w:ascii="Arial" w:eastAsia="Arial" w:hAnsi="Arial" w:cs="Arial"/>
          <w:color w:val="000000"/>
          <w:sz w:val="20"/>
        </w:rPr>
        <w:t>At bottom, both the DOJ and our sister circuits support the State in this circumstance. Because Wood's Complaint admits  [*184]  that he does not meet Maryland's field of vision requirement, but proffers no plausible argument for why the requirement [**14]  is unreasonable, the State was not obligated to provide further inquiry into Wood's non-medical driving record.</w:t>
      </w:r>
    </w:p>
    <w:p w:rsidR="00E456CD" w:rsidRDefault="00000000">
      <w:pPr>
        <w:pStyle w:val="Normal25"/>
        <w:widowControl w:val="0"/>
        <w:spacing w:before="120" w:line="260" w:lineRule="atLeast"/>
      </w:pPr>
      <w:r>
        <w:rPr>
          <w:rFonts w:ascii="Arial" w:eastAsia="Arial" w:hAnsi="Arial" w:cs="Arial"/>
          <w:color w:val="000000"/>
          <w:sz w:val="20"/>
        </w:rPr>
        <w:t>C.</w:t>
      </w:r>
    </w:p>
    <w:p w:rsidR="00E456CD" w:rsidRDefault="00000000">
      <w:pPr>
        <w:pStyle w:val="Normal25"/>
        <w:widowControl w:val="0"/>
        <w:spacing w:before="200" w:line="260" w:lineRule="atLeast"/>
        <w:jc w:val="both"/>
      </w:pPr>
      <w:bookmarkStart w:id="4388" w:name="Bookmark_para_30_14"/>
      <w:bookmarkStart w:id="4389" w:name="Bookmark_I5SFSTMD28T4JS0010000400"/>
      <w:bookmarkEnd w:id="4388"/>
      <w:bookmarkEnd w:id="4389"/>
      <w:r>
        <w:rPr>
          <w:rFonts w:ascii="Arial" w:eastAsia="Arial" w:hAnsi="Arial" w:cs="Arial"/>
          <w:color w:val="000000"/>
          <w:sz w:val="20"/>
        </w:rPr>
        <w:t xml:space="preserve">Lastly, Wood argues that dismissal of his claims was improper because the district court's decision was inconsistent with our decision in </w:t>
      </w:r>
      <w:bookmarkStart w:id="4390" w:name="Bookmark_I5SFSTMD2D6NS20050000400"/>
      <w:bookmarkEnd w:id="4390"/>
      <w:r>
        <w:rPr>
          <w:rFonts w:ascii="Arial" w:eastAsia="Arial" w:hAnsi="Arial" w:cs="Arial"/>
          <w:i/>
          <w:color w:val="000000"/>
          <w:sz w:val="20"/>
        </w:rPr>
        <w:t>Pandazides v. Va. Bd. Of Educ.</w:t>
      </w:r>
      <w:r>
        <w:rPr>
          <w:rFonts w:ascii="Arial" w:eastAsia="Arial" w:hAnsi="Arial" w:cs="Arial"/>
          <w:color w:val="000000"/>
          <w:sz w:val="20"/>
        </w:rPr>
        <w:t>, 946 F.2d 345, 349 (4th Cir. 1991). We disagree.</w:t>
      </w:r>
    </w:p>
    <w:p w:rsidR="00E456CD" w:rsidRDefault="00000000">
      <w:pPr>
        <w:pStyle w:val="Normal25"/>
        <w:widowControl w:val="0"/>
        <w:spacing w:before="200" w:line="260" w:lineRule="atLeast"/>
        <w:jc w:val="both"/>
      </w:pPr>
      <w:bookmarkStart w:id="4391" w:name="Bookmark_para_31_14"/>
      <w:bookmarkStart w:id="4392" w:name="Bookmark_I5SFSTMD28T4JS0030000400"/>
      <w:bookmarkStart w:id="4393" w:name="Bookmark_I5SFSTMD28T4JS0050000400"/>
      <w:bookmarkEnd w:id="4391"/>
      <w:bookmarkEnd w:id="4392"/>
      <w:bookmarkEnd w:id="4393"/>
      <w:r>
        <w:rPr>
          <w:rFonts w:ascii="Arial" w:eastAsia="Arial" w:hAnsi="Arial" w:cs="Arial"/>
          <w:i/>
          <w:color w:val="000000"/>
          <w:sz w:val="20"/>
        </w:rPr>
        <w:t>Pandazides</w:t>
      </w:r>
      <w:r>
        <w:rPr>
          <w:rFonts w:ascii="Arial" w:eastAsia="Arial" w:hAnsi="Arial" w:cs="Arial"/>
          <w:color w:val="000000"/>
          <w:sz w:val="20"/>
        </w:rPr>
        <w:t xml:space="preserve"> involved a claim of handicap discrimination brought under the Rehabilitation Act. </w:t>
      </w:r>
      <w:bookmarkStart w:id="4394" w:name="Bookmark_I5SFSTMD28T4JS0020000400"/>
      <w:bookmarkEnd w:id="4394"/>
      <w:r>
        <w:rPr>
          <w:rFonts w:ascii="Arial" w:eastAsia="Arial" w:hAnsi="Arial" w:cs="Arial"/>
          <w:color w:val="000000"/>
          <w:sz w:val="20"/>
        </w:rPr>
        <w:t xml:space="preserve">946 F.2d at 346. The plaintiff, a teacher with several learning disabilities, brought suit against the Virginia Board of Education alleging that the Board unlawfully discriminated against her when it decided she was not "otherwise qualified" to be a school teacher. </w:t>
      </w:r>
      <w:bookmarkStart w:id="4395" w:name="Bookmark_I5SFSTMD2HM6W30020000400"/>
      <w:bookmarkStart w:id="4396" w:name="Bookmark_I5SFSTMD28T4JS0040000400"/>
      <w:bookmarkEnd w:id="4395"/>
      <w:bookmarkEnd w:id="4396"/>
      <w:r>
        <w:rPr>
          <w:rFonts w:ascii="Arial" w:eastAsia="Arial" w:hAnsi="Arial" w:cs="Arial"/>
          <w:i/>
          <w:color w:val="000000"/>
          <w:sz w:val="20"/>
        </w:rPr>
        <w:t>Id.</w:t>
      </w:r>
      <w:r>
        <w:rPr>
          <w:rFonts w:ascii="Arial" w:eastAsia="Arial" w:hAnsi="Arial" w:cs="Arial"/>
          <w:color w:val="000000"/>
          <w:sz w:val="20"/>
        </w:rPr>
        <w:t xml:space="preserve"> at 346-47. </w:t>
      </w:r>
      <w:bookmarkStart w:id="4397" w:name="Bookmark_I5SFSTMD2HM6W30020000400_2"/>
      <w:bookmarkEnd w:id="4397"/>
      <w:r>
        <w:rPr>
          <w:rFonts w:ascii="Arial" w:eastAsia="Arial" w:hAnsi="Arial" w:cs="Arial"/>
          <w:color w:val="000000"/>
          <w:sz w:val="20"/>
        </w:rPr>
        <w:t xml:space="preserve">Because the teacher did not meet Virginia licensure requirements, the district court granted summary judgment to the Board. </w:t>
      </w:r>
      <w:bookmarkStart w:id="4398" w:name="Bookmark_I5SFSTMD2HM6W30010000400"/>
      <w:bookmarkEnd w:id="4398"/>
      <w:r>
        <w:rPr>
          <w:rFonts w:ascii="Arial" w:eastAsia="Arial" w:hAnsi="Arial" w:cs="Arial"/>
          <w:i/>
          <w:color w:val="000000"/>
          <w:sz w:val="20"/>
        </w:rPr>
        <w:t>Id.</w:t>
      </w:r>
      <w:r>
        <w:rPr>
          <w:rFonts w:ascii="Arial" w:eastAsia="Arial" w:hAnsi="Arial" w:cs="Arial"/>
          <w:color w:val="000000"/>
          <w:sz w:val="20"/>
        </w:rPr>
        <w:t xml:space="preserve"> at 348. </w:t>
      </w:r>
      <w:bookmarkStart w:id="4399" w:name="Bookmark_I5SFSTMD2HM6W30040000400"/>
      <w:bookmarkEnd w:id="4399"/>
      <w:r>
        <w:rPr>
          <w:rFonts w:ascii="Arial" w:eastAsia="Arial" w:hAnsi="Arial" w:cs="Arial"/>
          <w:color w:val="000000"/>
          <w:sz w:val="20"/>
        </w:rPr>
        <w:t xml:space="preserve">This Court reversed and remanded the case after reasoning that "defendants cannot merely mechanically invoke any set of requirements and pronounce the handicapped applicant or prospective employee not otherwise qualified. The district court must look behind the qualifications. To do otherwise reduces the term 'otherwise qualified' and any arbitrary set of requirements to a tautology." </w:t>
      </w:r>
      <w:bookmarkStart w:id="4400" w:name="Bookmark_I5SFSTMD2HM6W30030000400"/>
      <w:bookmarkEnd w:id="4400"/>
      <w:r>
        <w:rPr>
          <w:rFonts w:ascii="Arial" w:eastAsia="Arial" w:hAnsi="Arial" w:cs="Arial"/>
          <w:i/>
          <w:color w:val="000000"/>
          <w:sz w:val="20"/>
        </w:rPr>
        <w:t>Id.</w:t>
      </w:r>
      <w:r>
        <w:rPr>
          <w:rFonts w:ascii="Arial" w:eastAsia="Arial" w:hAnsi="Arial" w:cs="Arial"/>
          <w:color w:val="000000"/>
          <w:sz w:val="20"/>
        </w:rPr>
        <w:t xml:space="preserve"> at 349.</w:t>
      </w:r>
    </w:p>
    <w:p w:rsidR="00E456CD" w:rsidRDefault="00000000">
      <w:pPr>
        <w:pStyle w:val="Normal25"/>
        <w:widowControl w:val="0"/>
        <w:spacing w:before="200" w:line="260" w:lineRule="atLeast"/>
        <w:jc w:val="both"/>
      </w:pPr>
      <w:bookmarkStart w:id="4401" w:name="Bookmark_para_32_14"/>
      <w:bookmarkEnd w:id="4401"/>
      <w:r>
        <w:rPr>
          <w:rFonts w:ascii="Arial" w:eastAsia="Arial" w:hAnsi="Arial" w:cs="Arial"/>
          <w:color w:val="000000"/>
          <w:sz w:val="20"/>
        </w:rPr>
        <w:t xml:space="preserve">Wood argues that the district court "failed to do precisely what this Court prescribed in </w:t>
      </w:r>
      <w:r>
        <w:rPr>
          <w:rFonts w:ascii="Arial" w:eastAsia="Arial" w:hAnsi="Arial" w:cs="Arial"/>
          <w:i/>
          <w:color w:val="000000"/>
          <w:sz w:val="20"/>
        </w:rPr>
        <w:t>Pandazides [**15] </w:t>
      </w:r>
      <w:r>
        <w:rPr>
          <w:rFonts w:ascii="Arial" w:eastAsia="Arial" w:hAnsi="Arial" w:cs="Arial"/>
          <w:color w:val="000000"/>
          <w:sz w:val="20"/>
        </w:rPr>
        <w:t xml:space="preserve"> should be done: it refused to 'look behind the qualifications.'" Opening Br. at 16. But this argument is belied by the facts. Despite the limited information before it, the record demonstrates that the district court did look behind Maryland's field of vision qualifications. In its opinion, the district court notes that Maryland established its field of vision requirement in 1971 and that in 1997 Maryland modified the requirement upon the recommendation of the Vision Standards Work Group, which was composed of medical and driving experts. </w:t>
      </w:r>
      <w:r>
        <w:rPr>
          <w:rFonts w:ascii="Arial" w:eastAsia="Arial" w:hAnsi="Arial" w:cs="Arial"/>
          <w:i/>
          <w:color w:val="000000"/>
          <w:sz w:val="20"/>
        </w:rPr>
        <w:t>Id.</w:t>
      </w:r>
      <w:r>
        <w:rPr>
          <w:rFonts w:ascii="Arial" w:eastAsia="Arial" w:hAnsi="Arial" w:cs="Arial"/>
          <w:color w:val="000000"/>
          <w:sz w:val="20"/>
        </w:rPr>
        <w:t xml:space="preserve"> The district court then compared Maryland's vision standards to the instructions set forth in the DOJ Technical Assistance Manual. The district court's discussion is brief but demonstrates that the court considered </w:t>
      </w:r>
      <w:r>
        <w:rPr>
          <w:rFonts w:ascii="Arial" w:eastAsia="Arial" w:hAnsi="Arial" w:cs="Arial"/>
          <w:i/>
          <w:color w:val="000000"/>
          <w:sz w:val="20"/>
        </w:rPr>
        <w:t>when</w:t>
      </w:r>
      <w:r>
        <w:rPr>
          <w:rFonts w:ascii="Arial" w:eastAsia="Arial" w:hAnsi="Arial" w:cs="Arial"/>
          <w:color w:val="000000"/>
          <w:sz w:val="20"/>
        </w:rPr>
        <w:t xml:space="preserve"> Maryland's vision requirements came into effect, why the requirements changed over time and </w:t>
      </w:r>
      <w:r>
        <w:rPr>
          <w:rFonts w:ascii="Arial" w:eastAsia="Arial" w:hAnsi="Arial" w:cs="Arial"/>
          <w:i/>
          <w:color w:val="000000"/>
          <w:sz w:val="20"/>
        </w:rPr>
        <w:t>how</w:t>
      </w:r>
      <w:r>
        <w:rPr>
          <w:rFonts w:ascii="Arial" w:eastAsia="Arial" w:hAnsi="Arial" w:cs="Arial"/>
          <w:color w:val="000000"/>
          <w:sz w:val="20"/>
        </w:rPr>
        <w:t xml:space="preserve"> the requirements compared to the DOJ's interpretation of the ADA. Therefore, we find no reversible error.</w:t>
      </w:r>
      <w:r>
        <w:rPr>
          <w:rFonts w:ascii="Arial" w:eastAsia="Arial" w:hAnsi="Arial" w:cs="Arial"/>
          <w:vertAlign w:val="superscript"/>
        </w:rPr>
        <w:footnoteReference w:customMarkFollows="1" w:id="195"/>
        <w:t>3</w:t>
      </w:r>
    </w:p>
    <w:p w:rsidR="00E456CD" w:rsidRDefault="00000000">
      <w:pPr>
        <w:pStyle w:val="Normal25"/>
        <w:widowControl w:val="0"/>
        <w:spacing w:before="120" w:line="260" w:lineRule="atLeast"/>
      </w:pPr>
      <w:r>
        <w:rPr>
          <w:rFonts w:ascii="Arial" w:eastAsia="Arial" w:hAnsi="Arial" w:cs="Arial"/>
          <w:color w:val="000000"/>
          <w:sz w:val="20"/>
        </w:rPr>
        <w:t>III.</w:t>
      </w:r>
    </w:p>
    <w:p w:rsidR="00E456CD" w:rsidRDefault="00000000">
      <w:pPr>
        <w:pStyle w:val="Normal25"/>
        <w:widowControl w:val="0"/>
        <w:spacing w:before="200" w:line="260" w:lineRule="atLeast"/>
        <w:jc w:val="both"/>
      </w:pPr>
      <w:bookmarkStart w:id="4409" w:name="Bookmark_para_33_13"/>
      <w:bookmarkEnd w:id="4409"/>
      <w:r>
        <w:rPr>
          <w:rFonts w:ascii="Arial" w:eastAsia="Arial" w:hAnsi="Arial" w:cs="Arial"/>
          <w:color w:val="000000"/>
          <w:sz w:val="20"/>
        </w:rPr>
        <w:t>Without question, Wood does not and cannot meet Maryland's field of vision requirement for a driver's license. Wood concedes that his field of vision is 60 degrees—roughly half of what Maryland requires for even a restricted license. [**16]  He fails to allege, nor can he propose, any accommodation that would allow him to  [*185]  meet Maryland's field of vision requirement. J.A. 63.</w:t>
      </w:r>
    </w:p>
    <w:p w:rsidR="00E456CD" w:rsidRDefault="00000000">
      <w:pPr>
        <w:pStyle w:val="Normal25"/>
        <w:widowControl w:val="0"/>
        <w:spacing w:before="200" w:line="260" w:lineRule="atLeast"/>
        <w:jc w:val="both"/>
      </w:pPr>
      <w:bookmarkStart w:id="4410" w:name="Bookmark_para_34_12"/>
      <w:bookmarkEnd w:id="4410"/>
      <w:r>
        <w:rPr>
          <w:rFonts w:ascii="Arial" w:eastAsia="Arial" w:hAnsi="Arial" w:cs="Arial"/>
          <w:color w:val="000000"/>
          <w:sz w:val="20"/>
        </w:rPr>
        <w:t>Faced with the unfortunate fact that he does not meet Maryland's requirements for driver's license, Wood challenges the requirements themselves. But Congress did not preclude States from establishing reasonable vision standards to determine who is qualified for a driver's license. Because Wood's Complaint fails to plausibly demonstrate that he is qualified for a driver's license or that Maryland's field-of-vision requirement is somehow inconsistent with Congress's intent, his claims must be dismissed.</w:t>
      </w:r>
    </w:p>
    <w:p w:rsidR="00E456CD" w:rsidRDefault="00000000">
      <w:pPr>
        <w:pStyle w:val="Normal25"/>
        <w:widowControl w:val="0"/>
        <w:spacing w:before="200" w:line="260" w:lineRule="atLeast"/>
        <w:jc w:val="both"/>
      </w:pPr>
      <w:bookmarkStart w:id="4411" w:name="Bookmark_para_35_11"/>
      <w:bookmarkEnd w:id="4411"/>
      <w:r>
        <w:rPr>
          <w:rFonts w:ascii="Arial" w:eastAsia="Arial" w:hAnsi="Arial" w:cs="Arial"/>
          <w:i/>
          <w:color w:val="000000"/>
          <w:sz w:val="20"/>
        </w:rPr>
        <w:t>AFFIRMED</w:t>
      </w:r>
    </w:p>
    <w:p w:rsidR="00E456CD" w:rsidRDefault="00E456CD">
      <w:pPr>
        <w:pStyle w:val="Normal25"/>
      </w:pPr>
    </w:p>
    <w:p w:rsidR="00E456CD" w:rsidRDefault="00000000">
      <w:pPr>
        <w:pStyle w:val="Normal25"/>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1456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805354734"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18781" id="Line 5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6"/>
        <w:sectPr w:rsidR="00E456CD">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gutter="0"/>
          <w:cols w:space="720"/>
          <w:titlePg/>
        </w:sectPr>
      </w:pPr>
    </w:p>
    <w:p w:rsidR="00E456CD" w:rsidRDefault="00E456CD">
      <w:pPr>
        <w:pStyle w:val="Normal26"/>
      </w:pPr>
    </w:p>
    <w:p w:rsidR="00E456CD" w:rsidRDefault="00000000">
      <w:pPr>
        <w:pStyle w:val="Heading125"/>
        <w:keepNext w:val="0"/>
        <w:widowControl w:val="0"/>
        <w:spacing w:after="200" w:line="340" w:lineRule="atLeast"/>
        <w:jc w:val="center"/>
      </w:pPr>
      <w:r>
        <w:rPr>
          <w:rFonts w:eastAsia="Arial"/>
          <w:color w:val="000000"/>
          <w:sz w:val="28"/>
        </w:rPr>
        <w:t>Straw v. Vill. of Streamwood</w:t>
      </w:r>
    </w:p>
    <w:p w:rsidR="00E456CD" w:rsidRDefault="00000000">
      <w:pPr>
        <w:pStyle w:val="Normal26"/>
        <w:widowControl w:val="0"/>
        <w:spacing w:before="120" w:line="260" w:lineRule="atLeast"/>
        <w:jc w:val="center"/>
      </w:pPr>
      <w:r>
        <w:rPr>
          <w:rFonts w:ascii="Arial" w:eastAsia="Arial" w:hAnsi="Arial" w:cs="Arial"/>
          <w:color w:val="000000"/>
          <w:sz w:val="20"/>
        </w:rPr>
        <w:t>United States Court of Appeals for the Seventh Circuit</w:t>
      </w:r>
    </w:p>
    <w:p w:rsidR="00E456CD" w:rsidRDefault="00000000">
      <w:pPr>
        <w:pStyle w:val="Normal26"/>
        <w:widowControl w:val="0"/>
        <w:spacing w:before="120" w:line="260" w:lineRule="atLeast"/>
        <w:jc w:val="center"/>
      </w:pPr>
      <w:r>
        <w:rPr>
          <w:rFonts w:ascii="Arial" w:eastAsia="Arial" w:hAnsi="Arial" w:cs="Arial"/>
          <w:color w:val="000000"/>
          <w:sz w:val="20"/>
        </w:rPr>
        <w:t>November 15, 2017, Argued; May 3, 2018, Decided</w:t>
      </w:r>
    </w:p>
    <w:p w:rsidR="00E456CD" w:rsidRDefault="00000000">
      <w:pPr>
        <w:pStyle w:val="Normal26"/>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17-1867</w:t>
      </w:r>
    </w:p>
    <w:p w:rsidR="00E456CD" w:rsidRDefault="00E456CD">
      <w:pPr>
        <w:pStyle w:val="Normal26"/>
        <w:widowControl w:val="0"/>
        <w:spacing w:line="240" w:lineRule="atLeast"/>
        <w:jc w:val="both"/>
      </w:pPr>
      <w:bookmarkStart w:id="4412" w:name="Bookmark_27"/>
      <w:bookmarkEnd w:id="4412"/>
    </w:p>
    <w:p w:rsidR="00E456CD" w:rsidRDefault="00000000">
      <w:pPr>
        <w:pStyle w:val="Normal26"/>
        <w:widowControl w:val="0"/>
        <w:spacing w:before="200" w:line="240" w:lineRule="atLeast"/>
      </w:pPr>
      <w:bookmarkStart w:id="4413" w:name="Reporter_25"/>
      <w:bookmarkEnd w:id="4413"/>
      <w:r>
        <w:rPr>
          <w:rFonts w:ascii="Arial" w:eastAsia="Arial" w:hAnsi="Arial" w:cs="Arial"/>
          <w:b/>
          <w:color w:val="000000"/>
          <w:sz w:val="18"/>
        </w:rPr>
        <w:t>Reporter</w:t>
      </w:r>
    </w:p>
    <w:p w:rsidR="00E456CD" w:rsidRDefault="00000000">
      <w:pPr>
        <w:pStyle w:val="Normal26"/>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734 Fed. Appx. 344 *; 2018 U.S. App. LEXIS 11542 **; 2018 WL 2068695</w:t>
      </w:r>
    </w:p>
    <w:p w:rsidR="00E456CD" w:rsidRDefault="00000000">
      <w:pPr>
        <w:pStyle w:val="Normal26"/>
        <w:widowControl w:val="0"/>
        <w:spacing w:before="120" w:line="260" w:lineRule="atLeast"/>
      </w:pPr>
      <w:r>
        <w:rPr>
          <w:rFonts w:ascii="Arial" w:eastAsia="Arial" w:hAnsi="Arial" w:cs="Arial"/>
          <w:color w:val="000000"/>
          <w:sz w:val="20"/>
        </w:rPr>
        <w:t>ANDREW U.D. STRAW, Plaintiff-Appellant, v. VILLAGE OF STREAMWOOD, ILLINOIS, et al., Defendants-Appellees.</w:t>
      </w:r>
    </w:p>
    <w:p w:rsidR="00E456CD" w:rsidRDefault="00000000">
      <w:pPr>
        <w:pStyle w:val="Normal26"/>
        <w:widowControl w:val="0"/>
        <w:spacing w:before="240" w:line="260" w:lineRule="atLeast"/>
        <w:jc w:val="both"/>
      </w:pPr>
      <w:bookmarkStart w:id="4414" w:name="Notice_11"/>
      <w:bookmarkEnd w:id="4414"/>
      <w:r>
        <w:rPr>
          <w:rFonts w:ascii="Arial" w:eastAsia="Arial" w:hAnsi="Arial" w:cs="Arial"/>
          <w:b/>
          <w:color w:val="000000"/>
          <w:sz w:val="20"/>
        </w:rPr>
        <w:t>Notice:</w:t>
      </w:r>
      <w:r>
        <w:rPr>
          <w:rFonts w:ascii="Arial" w:eastAsia="Arial" w:hAnsi="Arial" w:cs="Arial"/>
          <w:color w:val="000000"/>
          <w:sz w:val="20"/>
        </w:rPr>
        <w:t> </w:t>
      </w:r>
      <w:bookmarkStart w:id="4415" w:name="Bookmark_para_1_25"/>
      <w:bookmarkEnd w:id="4415"/>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26"/>
        <w:widowControl w:val="0"/>
        <w:spacing w:before="240" w:line="260" w:lineRule="atLeast"/>
      </w:pPr>
      <w:bookmarkStart w:id="4416" w:name="Subsequent_History_9"/>
      <w:bookmarkEnd w:id="4416"/>
      <w:r>
        <w:rPr>
          <w:rFonts w:ascii="Arial" w:eastAsia="Arial" w:hAnsi="Arial" w:cs="Arial"/>
          <w:b/>
          <w:color w:val="000000"/>
          <w:sz w:val="20"/>
        </w:rPr>
        <w:t>Subsequent History:</w:t>
      </w:r>
      <w:r>
        <w:rPr>
          <w:rFonts w:ascii="Arial" w:eastAsia="Arial" w:hAnsi="Arial" w:cs="Arial"/>
          <w:color w:val="000000"/>
          <w:sz w:val="20"/>
        </w:rPr>
        <w:t> Rehearing denied by Straw v. Vill. of Streamwood, 2018 U.S. App. LEXIS 15286 (7th Cir. Ill., June 5, 2018)</w:t>
      </w:r>
    </w:p>
    <w:p w:rsidR="00E456CD" w:rsidRDefault="00000000">
      <w:pPr>
        <w:pStyle w:val="Normal26"/>
        <w:widowControl w:val="0"/>
        <w:spacing w:before="240" w:line="260" w:lineRule="atLeast"/>
        <w:jc w:val="both"/>
      </w:pPr>
      <w:bookmarkStart w:id="4417" w:name="Prior_History_25"/>
      <w:bookmarkEnd w:id="4417"/>
      <w:r>
        <w:rPr>
          <w:rFonts w:ascii="Arial" w:eastAsia="Arial" w:hAnsi="Arial" w:cs="Arial"/>
          <w:b/>
          <w:color w:val="000000"/>
          <w:sz w:val="20"/>
        </w:rPr>
        <w:t>Prior History:</w:t>
      </w:r>
      <w:r>
        <w:rPr>
          <w:rFonts w:ascii="Arial" w:eastAsia="Arial" w:hAnsi="Arial" w:cs="Arial"/>
          <w:color w:val="000000"/>
          <w:sz w:val="20"/>
        </w:rPr>
        <w:t> </w:t>
      </w:r>
      <w:bookmarkStart w:id="4418" w:name="Bookmark_para_2_25"/>
      <w:bookmarkEnd w:id="4418"/>
      <w:r>
        <w:rPr>
          <w:rFonts w:ascii="Arial" w:eastAsia="Arial" w:hAnsi="Arial" w:cs="Arial"/>
          <w:color w:val="000000"/>
          <w:sz w:val="20"/>
        </w:rPr>
        <w:t> [**1] Appeal from the United States District Court for the Northern District of Illinois, Eastern Division. No. 16 C 50387. Virginia M. Kendall, Judge.</w:t>
      </w:r>
    </w:p>
    <w:p w:rsidR="00E456CD" w:rsidRDefault="00000000">
      <w:pPr>
        <w:pStyle w:val="Normal26"/>
        <w:widowControl w:val="0"/>
        <w:spacing w:before="120" w:line="260" w:lineRule="atLeast"/>
      </w:pPr>
      <w:r>
        <w:rPr>
          <w:rFonts w:ascii="Arial" w:eastAsia="Arial" w:hAnsi="Arial" w:cs="Arial"/>
          <w:color w:val="000000"/>
          <w:sz w:val="20"/>
        </w:rPr>
        <w:t>Straw v. Village of Streamwood, 2017 U.S. Dist. LEXIS 62578 (N.D. Ill., Apr. 25, 2017)</w:t>
      </w:r>
    </w:p>
    <w:p w:rsidR="00E456CD" w:rsidRDefault="00000000">
      <w:pPr>
        <w:pStyle w:val="Normal26"/>
        <w:widowControl w:val="0"/>
        <w:spacing w:before="240" w:line="260" w:lineRule="atLeast"/>
      </w:pPr>
      <w:bookmarkStart w:id="4419" w:name="Counsel_25"/>
      <w:bookmarkEnd w:id="4419"/>
      <w:r>
        <w:rPr>
          <w:rFonts w:ascii="Arial" w:eastAsia="Arial" w:hAnsi="Arial" w:cs="Arial"/>
          <w:b/>
          <w:color w:val="000000"/>
          <w:sz w:val="20"/>
        </w:rPr>
        <w:t>Counsel:</w:t>
      </w:r>
      <w:r>
        <w:rPr>
          <w:rFonts w:ascii="Arial" w:eastAsia="Arial" w:hAnsi="Arial" w:cs="Arial"/>
          <w:color w:val="000000"/>
          <w:sz w:val="20"/>
        </w:rPr>
        <w:t> ANDREW U. D. STRAW, Plaintiff - Appellant, Pro se, Schaumburg, IL.</w:t>
      </w:r>
    </w:p>
    <w:p w:rsidR="00E456CD" w:rsidRDefault="00000000">
      <w:pPr>
        <w:pStyle w:val="Normal26"/>
        <w:widowControl w:val="0"/>
        <w:spacing w:before="120" w:line="260" w:lineRule="atLeast"/>
      </w:pPr>
      <w:r>
        <w:rPr>
          <w:rFonts w:ascii="Arial" w:eastAsia="Arial" w:hAnsi="Arial" w:cs="Arial"/>
          <w:color w:val="000000"/>
          <w:sz w:val="20"/>
        </w:rPr>
        <w:t>For VILLAGE OF STREAMWOOD, Defendant - Appellee: Ellen Kornichuk Emery, Attorney, Jeffrey M. Brown, Attorney, ANCEL, GLINK, DIAMOND, BUSH, DICIANNI &amp; KRAFTHEFER, P.C., Chicago, IL.</w:t>
      </w:r>
    </w:p>
    <w:p w:rsidR="00E456CD" w:rsidRDefault="00000000">
      <w:pPr>
        <w:pStyle w:val="Normal26"/>
        <w:widowControl w:val="0"/>
        <w:spacing w:before="120" w:line="260" w:lineRule="atLeast"/>
      </w:pPr>
      <w:r>
        <w:rPr>
          <w:rFonts w:ascii="Arial" w:eastAsia="Arial" w:hAnsi="Arial" w:cs="Arial"/>
          <w:color w:val="000000"/>
          <w:sz w:val="20"/>
        </w:rPr>
        <w:t>For VILLAGE OF BLOOMINGDALE, Defendant - Appellee: Brandon K. Lemley, Attorney, Paul A. Rettberg, Attorney, QUERREY &amp; HARROW, Chicago, IL.</w:t>
      </w:r>
    </w:p>
    <w:p w:rsidR="00E456CD" w:rsidRDefault="00000000">
      <w:pPr>
        <w:pStyle w:val="Normal26"/>
        <w:widowControl w:val="0"/>
        <w:spacing w:before="120" w:line="260" w:lineRule="atLeast"/>
      </w:pPr>
      <w:r>
        <w:rPr>
          <w:rFonts w:ascii="Arial" w:eastAsia="Arial" w:hAnsi="Arial" w:cs="Arial"/>
          <w:color w:val="000000"/>
          <w:sz w:val="20"/>
        </w:rPr>
        <w:t>For VILLAGE OF GLENDALE HEIGHTS, Defendant - Appellee: William W. Kurnik, Attorney, Michael J. Atkus, Attorney, KNIGHT, HOPPE, KURNIK &amp; KNIGHT, LTD., Rosemont, IL.</w:t>
      </w:r>
    </w:p>
    <w:p w:rsidR="00E456CD" w:rsidRDefault="00000000">
      <w:pPr>
        <w:pStyle w:val="Normal26"/>
        <w:widowControl w:val="0"/>
        <w:spacing w:before="120" w:line="260" w:lineRule="atLeast"/>
      </w:pPr>
      <w:r>
        <w:rPr>
          <w:rFonts w:ascii="Arial" w:eastAsia="Arial" w:hAnsi="Arial" w:cs="Arial"/>
          <w:color w:val="000000"/>
          <w:sz w:val="20"/>
        </w:rPr>
        <w:t>For CITY OF ELGIN, ILLINOIS, Defendant - Appellee: James L. DeAno, Attorney, DEANO &amp; SCARRY, LLC, Chicago, IL.</w:t>
      </w:r>
    </w:p>
    <w:p w:rsidR="00E456CD" w:rsidRDefault="00000000">
      <w:pPr>
        <w:pStyle w:val="Normal26"/>
        <w:widowControl w:val="0"/>
        <w:spacing w:before="240" w:line="260" w:lineRule="atLeast"/>
      </w:pPr>
      <w:bookmarkStart w:id="4420" w:name="Judges_25"/>
      <w:bookmarkEnd w:id="4420"/>
      <w:r>
        <w:rPr>
          <w:rFonts w:ascii="Arial" w:eastAsia="Arial" w:hAnsi="Arial" w:cs="Arial"/>
          <w:b/>
          <w:color w:val="000000"/>
          <w:sz w:val="20"/>
        </w:rPr>
        <w:t>Judges:</w:t>
      </w:r>
      <w:r>
        <w:rPr>
          <w:rFonts w:ascii="Arial" w:eastAsia="Arial" w:hAnsi="Arial" w:cs="Arial"/>
          <w:color w:val="000000"/>
          <w:sz w:val="20"/>
        </w:rPr>
        <w:t> Before DIANE P. WOOD, Chief Judge, FRANK H. EASTERBROOK, Circuit Judge, DANIEL A. MANION, Circuit Judge.</w:t>
      </w:r>
    </w:p>
    <w:p w:rsidR="00E456CD" w:rsidRDefault="00000000">
      <w:pPr>
        <w:pStyle w:val="Normal26"/>
        <w:keepNext/>
        <w:widowControl w:val="0"/>
        <w:spacing w:before="240" w:line="340" w:lineRule="atLeast"/>
      </w:pPr>
      <w:bookmarkStart w:id="4421" w:name="Opinion_25"/>
      <w:bookmarkEnd w:id="4421"/>
      <w:r>
        <w:rPr>
          <w:rFonts w:ascii="Arial" w:eastAsia="Arial" w:hAnsi="Arial" w:cs="Arial"/>
          <w:b/>
          <w:color w:val="000000"/>
          <w:sz w:val="28"/>
        </w:rPr>
        <w:t>Opinion</w:t>
      </w:r>
    </w:p>
    <w:p w:rsidR="00E456CD" w:rsidRDefault="00E22289">
      <w:pPr>
        <w:pStyle w:val="Normal26"/>
        <w:spacing w:line="60" w:lineRule="exact"/>
      </w:pPr>
      <w:r>
        <w:rPr>
          <w:noProof/>
        </w:rPr>
        <mc:AlternateContent>
          <mc:Choice Requires="wps">
            <w:drawing>
              <wp:anchor distT="0" distB="0" distL="114300" distR="114300" simplePos="0" relativeHeight="25171558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630189507"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64488" id="Line 59"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6"/>
        <w:spacing w:line="120" w:lineRule="exact"/>
      </w:pPr>
    </w:p>
    <w:p w:rsidR="00E456CD" w:rsidRDefault="00000000">
      <w:pPr>
        <w:pStyle w:val="Normal26"/>
        <w:widowControl w:val="0"/>
        <w:spacing w:before="240" w:line="260" w:lineRule="atLeast"/>
      </w:pPr>
      <w:r>
        <w:br/>
      </w:r>
      <w:r>
        <w:rPr>
          <w:rFonts w:ascii="Arial" w:eastAsia="Arial" w:hAnsi="Arial" w:cs="Arial"/>
          <w:color w:val="000000"/>
          <w:sz w:val="20"/>
        </w:rPr>
        <w:t xml:space="preserve"> [*346]  </w:t>
      </w:r>
      <w:r>
        <w:rPr>
          <w:rFonts w:ascii="Arial" w:eastAsia="Arial" w:hAnsi="Arial" w:cs="Arial"/>
          <w:b/>
          <w:color w:val="000000"/>
          <w:sz w:val="20"/>
        </w:rPr>
        <w:t>ORDER</w:t>
      </w:r>
    </w:p>
    <w:p w:rsidR="00E456CD" w:rsidRDefault="00000000">
      <w:pPr>
        <w:pStyle w:val="Normal26"/>
        <w:widowControl w:val="0"/>
        <w:spacing w:before="200" w:line="260" w:lineRule="atLeast"/>
        <w:jc w:val="both"/>
      </w:pPr>
      <w:bookmarkStart w:id="4422" w:name="Bookmark_para_3_25"/>
      <w:bookmarkEnd w:id="4422"/>
      <w:r>
        <w:rPr>
          <w:rFonts w:ascii="Arial" w:eastAsia="Arial" w:hAnsi="Arial" w:cs="Arial"/>
          <w:color w:val="000000"/>
          <w:sz w:val="20"/>
        </w:rPr>
        <w:t>This appeal is the latest in a barrage of cases that appellant Andrew U.D. Straw has brought in the Seventh Circuit. Straw is disabled, and in the present action, he has sued five suburbs of Chicago for failing to clear snow and ice from their sidewalks in a timely manner—that is, quickly [**2]  enough to ensure that Straw's access to a public facility was not impeded in violation of Title II of the Americans with Disabilities Act, 42 U.S.C. § 12132 (ADA), and the Rehabilitation Act of 1973, 29 U.S.C. § 794(a). (Because these two statutes cover roughly the same territory for purposes of this case, we mention only the ADA in this order. Our reasoning, however, applies to both.) The district court dismissed his complaint for lack of Article III standing and dismissed the case as a whole without prejudice. This was in substance a jurisdictional dismissal. We see no chance that Straw could have amended his complaint to cure the deficiencies the district court spotted. We therefore have appellate jurisdiction, and we agree that Straw failed to allege the type of immediate injury that is necessary for standing. We therefore affirm the judgment of the district court.</w:t>
      </w:r>
    </w:p>
    <w:p w:rsidR="00E456CD" w:rsidRDefault="00000000">
      <w:pPr>
        <w:pStyle w:val="Normal26"/>
        <w:widowControl w:val="0"/>
        <w:spacing w:before="240" w:line="260" w:lineRule="atLeast"/>
      </w:pPr>
      <w:r>
        <w:br/>
      </w:r>
      <w:r>
        <w:rPr>
          <w:rFonts w:ascii="Arial" w:eastAsia="Arial" w:hAnsi="Arial" w:cs="Arial"/>
          <w:b/>
          <w:color w:val="000000"/>
          <w:sz w:val="20"/>
        </w:rPr>
        <w:t>I</w:t>
      </w:r>
    </w:p>
    <w:p w:rsidR="00E456CD" w:rsidRDefault="00000000">
      <w:pPr>
        <w:pStyle w:val="Normal26"/>
        <w:widowControl w:val="0"/>
        <w:spacing w:before="200" w:line="260" w:lineRule="atLeast"/>
        <w:jc w:val="both"/>
      </w:pPr>
      <w:bookmarkStart w:id="4423" w:name="Bookmark_para_4_25"/>
      <w:bookmarkEnd w:id="4423"/>
      <w:r>
        <w:rPr>
          <w:rFonts w:ascii="Arial" w:eastAsia="Arial" w:hAnsi="Arial" w:cs="Arial"/>
          <w:color w:val="000000"/>
          <w:sz w:val="20"/>
        </w:rPr>
        <w:t xml:space="preserve">We rely on Straw's complaint in presenting the background facts, but as usual that does not mean that we are taking a position one way or the other on his allegations. </w:t>
      </w:r>
      <w:bookmarkStart w:id="4424" w:name="Bookmark_I5SDY8832SF7W20020000400"/>
      <w:bookmarkEnd w:id="4424"/>
      <w:r>
        <w:rPr>
          <w:rFonts w:ascii="Arial" w:eastAsia="Arial" w:hAnsi="Arial" w:cs="Arial"/>
          <w:color w:val="000000"/>
          <w:sz w:val="20"/>
        </w:rPr>
        <w:t xml:space="preserve">Straw is an attorney with physical disabilities and unspecified mental disabilities. In 2017 the Supreme Court of Indiana suspended his law license for 180 days without automatic reinstatement, [**3]  based on its conclusion that he had filed four frivolous lawsuits. </w:t>
      </w:r>
      <w:bookmarkStart w:id="4425" w:name="Bookmark_I5SDY8832SF7W20010000400"/>
      <w:bookmarkEnd w:id="4425"/>
      <w:r>
        <w:rPr>
          <w:rFonts w:ascii="Arial" w:eastAsia="Arial" w:hAnsi="Arial" w:cs="Arial"/>
          <w:i/>
          <w:color w:val="000000"/>
          <w:sz w:val="20"/>
        </w:rPr>
        <w:t>In re Straw</w:t>
      </w:r>
      <w:r>
        <w:rPr>
          <w:rFonts w:ascii="Arial" w:eastAsia="Arial" w:hAnsi="Arial" w:cs="Arial"/>
          <w:color w:val="000000"/>
          <w:sz w:val="20"/>
        </w:rPr>
        <w:t>, 68 N.E.3d 1070 (Ind. 2017). Straw tells us that the Northern District of Illinois and two other federal courts issued a reciprocal suspension, but that the Commonwealth of Virginia declined to do so. The status of Straw's law license, however, is largely irrelevant to the issues before us, and so we do not need to inquire further into the reasons why these jurisdictions came to the decisions they did.</w:t>
      </w:r>
    </w:p>
    <w:p w:rsidR="00E456CD" w:rsidRDefault="00000000">
      <w:pPr>
        <w:pStyle w:val="Normal26"/>
        <w:widowControl w:val="0"/>
        <w:spacing w:before="200" w:line="260" w:lineRule="atLeast"/>
        <w:jc w:val="both"/>
      </w:pPr>
      <w:bookmarkStart w:id="4426" w:name="Bookmark_para_5_25"/>
      <w:bookmarkEnd w:id="4426"/>
      <w:r>
        <w:rPr>
          <w:rFonts w:ascii="Arial" w:eastAsia="Arial" w:hAnsi="Arial" w:cs="Arial"/>
          <w:color w:val="000000"/>
          <w:sz w:val="20"/>
        </w:rPr>
        <w:t>Straw's physical disabilities, however, do matter. He has had ambulatory problems since his leg and pelvis were broken as a result of a car crash in 2009. The accident left him with screws in his leg, a metal framework in his pelvis for stability, and a hip replacement. Even with all this, he continues to experience "numbness and shooting pain" in his right hip, right femur, left leg, and left ankle. A fall could seriously injure him because of the metal in his pelvis, and he has balance problems resulting from scoliosis.</w:t>
      </w:r>
    </w:p>
    <w:p w:rsidR="00E456CD" w:rsidRDefault="00000000">
      <w:pPr>
        <w:pStyle w:val="Normal26"/>
        <w:widowControl w:val="0"/>
        <w:spacing w:before="200" w:line="260" w:lineRule="atLeast"/>
        <w:jc w:val="both"/>
      </w:pPr>
      <w:bookmarkStart w:id="4427" w:name="Bookmark_para_6_25"/>
      <w:bookmarkEnd w:id="4427"/>
      <w:r>
        <w:rPr>
          <w:rFonts w:ascii="Arial" w:eastAsia="Arial" w:hAnsi="Arial" w:cs="Arial"/>
          <w:color w:val="000000"/>
          <w:sz w:val="20"/>
        </w:rPr>
        <w:t>In late December 2016, Straw (a resident of Elgin, Illinois, which straddles Cook and Kane Counties), sued the City of Elgin, Kane County, and the Villages of Streamwood, Bloomingdale, and Glendale Heights for violations of the [**4]  ADA and the Rehabilitation Act. He settled and voluntarily dismissed his claim against Kane County, but the case continued against the rest of the defendants. Straw alleges that they all left snow or ice on their sidewalks during the winters of 2015 and 2016. For example, he says, Streamwood and Bloomingdale left "long piles" of snow and ice on their sidewalks on March 8, 2015; Glendale Heights did the same a year later on March 8, 2016; and Elgin was similarly inattentive on December 22, 2016. Because of the snow on Elgin's sidewalk, Straw alleges, he had a "slow 1-block walk to [a] service station." A few weeks later, on January 9, 2017 (after the complaint was  [*347]  filed), Straw photographed snow on a sidewalk in Streamwood that "blocked" his short walk to a Walgreens store. He also alleged that Streamwood provided an employee parking lot that lacked accessible parking and a proper ramp into an employee entrance. Straw attached to the complaint photographs of the snow about which he was complaining. He added in a later filing that he kept "running into the discriminatory actions demonstrated in my exhibits."</w:t>
      </w:r>
    </w:p>
    <w:p w:rsidR="00E456CD" w:rsidRDefault="00000000">
      <w:pPr>
        <w:pStyle w:val="Normal26"/>
        <w:widowControl w:val="0"/>
        <w:spacing w:before="200" w:line="260" w:lineRule="atLeast"/>
        <w:jc w:val="both"/>
      </w:pPr>
      <w:bookmarkStart w:id="4428" w:name="Bookmark_para_7_24"/>
      <w:bookmarkEnd w:id="4428"/>
      <w:r>
        <w:rPr>
          <w:rFonts w:ascii="Arial" w:eastAsia="Arial" w:hAnsi="Arial" w:cs="Arial"/>
          <w:color w:val="000000"/>
          <w:sz w:val="20"/>
        </w:rPr>
        <w:t>The failure to remove the snow and ice, Straw asserts, amounts to discrimination [**5]  and a disregard of the defendants' duty under the ADA to "maintain accessible features" in a "useable condition" throughout the year. He sought compensatory damages and an injunction ordering the defendants to "cease disability discrimination in all public services and facilities, including sidewalks."</w:t>
      </w:r>
    </w:p>
    <w:p w:rsidR="00E456CD" w:rsidRDefault="00000000">
      <w:pPr>
        <w:pStyle w:val="Normal26"/>
        <w:widowControl w:val="0"/>
        <w:spacing w:before="200" w:line="260" w:lineRule="atLeast"/>
        <w:jc w:val="both"/>
      </w:pPr>
      <w:bookmarkStart w:id="4429" w:name="Bookmark_para_8_24"/>
      <w:bookmarkEnd w:id="4429"/>
      <w:r>
        <w:rPr>
          <w:rFonts w:ascii="Arial" w:eastAsia="Arial" w:hAnsi="Arial" w:cs="Arial"/>
          <w:color w:val="000000"/>
          <w:sz w:val="20"/>
        </w:rPr>
        <w:t>The four remaining defendants individually moved to dismiss all of Straw's claims. Collectively they argued that he lacked standing to seek either damages or injunctive relief because he had not asserted any injury-in-fact from their (assumed) failures to clear their sidewalks. Straw responded to the motions with more details. He said, for instance, that the sidewalk he used and photographed in Elgin in December 2016 provides the path from his house to a corner convenience store where he buys his food. He took the photographs while he was on such a trip, when four-day-old ice and snow made his progress difficult. With respect to Streamwood, Straw asserted that his fiancée lived in that town and he frequently used its sidewalks to obtain food, medicine, and postal services. The photograph showing the snow around the Walgreens on January 9, 2017, was taken from a spot between his fiancée's [**6]  house and the store. In response to Glendale Heights's motion, Straw said that he saw the snow and ice while in his fiancée's car running an errand. The wintery mess made it impossible for him safely to exercise a right to demonstrate on the sidewalk. (Straw did not say that he was planning to do anything; he just said that he might want to demonstrate at some other time, because he is a representative of a disability-rights group.) As for Bloomingdale, Straw alleged that he sometimes used these sidewalks to run errands and shop with his fiancée. As in Glendale Heights, he was in a car when he noticed the alleged violations. He did not get out of the car because he did not want to endanger himself.</w:t>
      </w:r>
    </w:p>
    <w:p w:rsidR="00E456CD" w:rsidRDefault="00000000">
      <w:pPr>
        <w:pStyle w:val="Normal26"/>
        <w:widowControl w:val="0"/>
        <w:spacing w:before="200" w:line="260" w:lineRule="atLeast"/>
        <w:jc w:val="both"/>
      </w:pPr>
      <w:bookmarkStart w:id="4430" w:name="Bookmark_para_9_24"/>
      <w:bookmarkEnd w:id="4430"/>
      <w:r>
        <w:rPr>
          <w:rFonts w:ascii="Arial" w:eastAsia="Arial" w:hAnsi="Arial" w:cs="Arial"/>
          <w:color w:val="000000"/>
          <w:sz w:val="20"/>
        </w:rPr>
        <w:t>The district court granted the motions to dismiss on behalf of all four defendants. It concluded that Straw had failed adequately to allege that he personally had suffered (or even risked suffering) a concrete injury from the supposed ADA violations. At most, he had described a generalized grievance by stating that he is disabled and that he was present (in or out of a car) where the conditions arguably violated the statutes. The court dismissed the action without prejudice and entered a [**7]  judgment pursuant to Federal Rule of Civil Procedure 58 the same day.</w:t>
      </w:r>
    </w:p>
    <w:p w:rsidR="00E456CD" w:rsidRDefault="00000000">
      <w:pPr>
        <w:pStyle w:val="Normal26"/>
        <w:widowControl w:val="0"/>
        <w:spacing w:before="240" w:line="260" w:lineRule="atLeast"/>
      </w:pPr>
      <w:r>
        <w:br/>
      </w:r>
      <w:r>
        <w:rPr>
          <w:rFonts w:ascii="Arial" w:eastAsia="Arial" w:hAnsi="Arial" w:cs="Arial"/>
          <w:b/>
          <w:color w:val="000000"/>
          <w:sz w:val="20"/>
        </w:rPr>
        <w:t>II</w:t>
      </w:r>
    </w:p>
    <w:p w:rsidR="00E456CD" w:rsidRDefault="00000000">
      <w:pPr>
        <w:pStyle w:val="Normal26"/>
        <w:widowControl w:val="0"/>
        <w:spacing w:before="200" w:line="260" w:lineRule="atLeast"/>
        <w:jc w:val="both"/>
      </w:pPr>
      <w:bookmarkStart w:id="4431" w:name="Bookmark_para_10_23"/>
      <w:bookmarkStart w:id="4432" w:name="Bookmark_LNHNREFclscc1_21"/>
      <w:bookmarkEnd w:id="4431"/>
      <w:bookmarkEnd w:id="4432"/>
      <w:r>
        <w:rPr>
          <w:rFonts w:ascii="Arial" w:eastAsia="Arial" w:hAnsi="Arial" w:cs="Arial"/>
          <w:color w:val="000000"/>
          <w:sz w:val="20"/>
        </w:rPr>
        <w:t xml:space="preserve">Title II of the ADA prohibits discrimination in access to public facilities. A sidewalk is a "facility," see 28 C.F.R. § 35.104, and sidewalks built or altered after January 26, 1992, must be "readily accessible to and useable" by people with disabilities, </w:t>
      </w:r>
      <w:r>
        <w:rPr>
          <w:rFonts w:ascii="Arial" w:eastAsia="Arial" w:hAnsi="Arial" w:cs="Arial"/>
          <w:i/>
          <w:color w:val="000000"/>
          <w:sz w:val="20"/>
        </w:rPr>
        <w:t>id</w:t>
      </w:r>
      <w:r>
        <w:rPr>
          <w:rFonts w:ascii="Arial" w:eastAsia="Arial" w:hAnsi="Arial" w:cs="Arial"/>
          <w:color w:val="000000"/>
          <w:sz w:val="20"/>
        </w:rPr>
        <w:t xml:space="preserve">. § 35.151. For sidewalks built on or before that date, public entities need not make structural changes, but they must offer programs or services that are accessible to, and useable by, disabled persons. </w:t>
      </w:r>
      <w:bookmarkStart w:id="4433" w:name="Bookmark_I5SDY8832SF7W20040000400"/>
      <w:bookmarkEnd w:id="4433"/>
      <w:r>
        <w:rPr>
          <w:rFonts w:ascii="Arial" w:eastAsia="Arial" w:hAnsi="Arial" w:cs="Arial"/>
          <w:i/>
          <w:color w:val="000000"/>
          <w:sz w:val="20"/>
        </w:rPr>
        <w:t>Id.</w:t>
      </w:r>
      <w:r>
        <w:rPr>
          <w:rFonts w:ascii="Arial" w:eastAsia="Arial" w:hAnsi="Arial" w:cs="Arial"/>
          <w:color w:val="000000"/>
          <w:sz w:val="20"/>
        </w:rPr>
        <w:t xml:space="preserve"> at § 35.150. "[I]solated or temporary interruptions" in access on account of maintenance are excepted from the public entity's  [*348]  duty to maintain accessible facilities. </w:t>
      </w:r>
      <w:r>
        <w:rPr>
          <w:rFonts w:ascii="Arial" w:eastAsia="Arial" w:hAnsi="Arial" w:cs="Arial"/>
          <w:i/>
          <w:color w:val="000000"/>
          <w:sz w:val="20"/>
        </w:rPr>
        <w:t>Id.</w:t>
      </w:r>
      <w:r>
        <w:rPr>
          <w:rFonts w:ascii="Arial" w:eastAsia="Arial" w:hAnsi="Arial" w:cs="Arial"/>
          <w:color w:val="000000"/>
          <w:sz w:val="20"/>
        </w:rPr>
        <w:t xml:space="preserve"> § 35.133; see </w:t>
      </w:r>
      <w:bookmarkStart w:id="4434" w:name="Bookmark_I5SDY8832SF7W20030000400"/>
      <w:bookmarkEnd w:id="4434"/>
      <w:r>
        <w:rPr>
          <w:rFonts w:ascii="Arial" w:eastAsia="Arial" w:hAnsi="Arial" w:cs="Arial"/>
          <w:i/>
          <w:color w:val="000000"/>
          <w:sz w:val="20"/>
        </w:rPr>
        <w:t>Foley v. City of Lafayette, Ind.</w:t>
      </w:r>
      <w:r>
        <w:rPr>
          <w:rFonts w:ascii="Arial" w:eastAsia="Arial" w:hAnsi="Arial" w:cs="Arial"/>
          <w:color w:val="000000"/>
          <w:sz w:val="20"/>
        </w:rPr>
        <w:t>, 359 F.3d 925, 929-30 (7th Cir. 2004).</w:t>
      </w:r>
    </w:p>
    <w:p w:rsidR="00E456CD" w:rsidRDefault="00000000">
      <w:pPr>
        <w:pStyle w:val="Normal26"/>
        <w:widowControl w:val="0"/>
        <w:spacing w:before="200" w:line="260" w:lineRule="atLeast"/>
        <w:jc w:val="both"/>
      </w:pPr>
      <w:bookmarkStart w:id="4435" w:name="Bookmark_para_11_23"/>
      <w:bookmarkStart w:id="4436" w:name="Bookmark_I5SDY8832N1PWR0010000400"/>
      <w:bookmarkEnd w:id="4435"/>
      <w:bookmarkEnd w:id="4436"/>
      <w:r>
        <w:rPr>
          <w:rFonts w:ascii="Arial" w:eastAsia="Arial" w:hAnsi="Arial" w:cs="Arial"/>
          <w:color w:val="000000"/>
          <w:sz w:val="20"/>
        </w:rPr>
        <w:t xml:space="preserve">We begin by clearing away some of the legal underbrush. </w:t>
      </w:r>
      <w:bookmarkStart w:id="4437" w:name="Bookmark_LNHNREFclscc2_21"/>
      <w:bookmarkEnd w:id="4437"/>
      <w:r>
        <w:rPr>
          <w:rFonts w:ascii="Arial" w:eastAsia="Arial" w:hAnsi="Arial" w:cs="Arial"/>
          <w:color w:val="000000"/>
          <w:sz w:val="20"/>
        </w:rPr>
        <w:t xml:space="preserve">A plaintiff must demonstrate standing separately for each type of relief he seeks, see </w:t>
      </w:r>
      <w:bookmarkStart w:id="4438" w:name="Bookmark_I5SDY8832SF7W20050000400"/>
      <w:bookmarkEnd w:id="4438"/>
      <w:r>
        <w:rPr>
          <w:rFonts w:ascii="Arial" w:eastAsia="Arial" w:hAnsi="Arial" w:cs="Arial"/>
          <w:i/>
          <w:color w:val="000000"/>
          <w:sz w:val="20"/>
        </w:rPr>
        <w:t>Laurens v. Volvo Cars of N. Am., LLC</w:t>
      </w:r>
      <w:r>
        <w:rPr>
          <w:rFonts w:ascii="Arial" w:eastAsia="Arial" w:hAnsi="Arial" w:cs="Arial"/>
          <w:color w:val="000000"/>
          <w:sz w:val="20"/>
        </w:rPr>
        <w:t>, 868 F.3d 622, 625 (7th Cir. 2017). Straw's opening brief focuses on his standing to seek damages for past violations, without developing an argument about injunctive relief. We thus consider only whether Straw has offered enough to support standing to pursue damages.</w:t>
      </w:r>
    </w:p>
    <w:p w:rsidR="00E456CD" w:rsidRDefault="00000000">
      <w:pPr>
        <w:pStyle w:val="Normal26"/>
        <w:widowControl w:val="0"/>
        <w:spacing w:before="200" w:line="260" w:lineRule="atLeast"/>
        <w:jc w:val="both"/>
      </w:pPr>
      <w:bookmarkStart w:id="4439" w:name="Bookmark_para_12_22"/>
      <w:bookmarkStart w:id="4440" w:name="Bookmark_I5SDY8832N1PWR0030000400"/>
      <w:bookmarkEnd w:id="4439"/>
      <w:bookmarkEnd w:id="4440"/>
      <w:r>
        <w:rPr>
          <w:rFonts w:ascii="Arial" w:eastAsia="Arial" w:hAnsi="Arial" w:cs="Arial"/>
          <w:color w:val="000000"/>
          <w:sz w:val="20"/>
        </w:rPr>
        <w:t xml:space="preserve">Next, we can eliminate Straw's claims insofar as he relies on his anger and frustration from the defendants' failure to clear the snow and ice to demonstrate injury-in-fact. [**8]  Those feelings may, and likely would, be shared by all people who see the uncleared sidewalks and are inconvenienced or impeded by the slippery conditions. See </w:t>
      </w:r>
      <w:bookmarkStart w:id="4441" w:name="Bookmark_I5SDY8832N1PWR0020000400"/>
      <w:bookmarkEnd w:id="4441"/>
      <w:r>
        <w:rPr>
          <w:rFonts w:ascii="Arial" w:eastAsia="Arial" w:hAnsi="Arial" w:cs="Arial"/>
          <w:i/>
          <w:color w:val="000000"/>
          <w:sz w:val="20"/>
        </w:rPr>
        <w:t>Clay v. Fort Wayne Cmty. Sch.</w:t>
      </w:r>
      <w:r>
        <w:rPr>
          <w:rFonts w:ascii="Arial" w:eastAsia="Arial" w:hAnsi="Arial" w:cs="Arial"/>
          <w:color w:val="000000"/>
          <w:sz w:val="20"/>
        </w:rPr>
        <w:t xml:space="preserve">, 76 F.3d 873, 879 (7th Cir. 1996); </w:t>
      </w:r>
      <w:bookmarkStart w:id="4442" w:name="Bookmark_I5SDY8832N1PWR0040000400"/>
      <w:bookmarkEnd w:id="4442"/>
      <w:r>
        <w:rPr>
          <w:rFonts w:ascii="Arial" w:eastAsia="Arial" w:hAnsi="Arial" w:cs="Arial"/>
          <w:i/>
          <w:color w:val="000000"/>
          <w:sz w:val="20"/>
        </w:rPr>
        <w:t>Am. Civil Liberties Union of Ill. v. City of St. Charles</w:t>
      </w:r>
      <w:r>
        <w:rPr>
          <w:rFonts w:ascii="Arial" w:eastAsia="Arial" w:hAnsi="Arial" w:cs="Arial"/>
          <w:color w:val="000000"/>
          <w:sz w:val="20"/>
        </w:rPr>
        <w:t xml:space="preserve">, 794 F.2d 265, 268 (7th Cir. 1986). </w:t>
      </w:r>
      <w:bookmarkStart w:id="4443" w:name="Bookmark_I5SDY88328T4V90020000400"/>
      <w:bookmarkEnd w:id="4443"/>
      <w:r>
        <w:rPr>
          <w:rFonts w:ascii="Arial" w:eastAsia="Arial" w:hAnsi="Arial" w:cs="Arial"/>
          <w:color w:val="000000"/>
          <w:sz w:val="20"/>
        </w:rPr>
        <w:t xml:space="preserve">Straw also says that he felt excluded by the sight of the snow piled onto the sidewalks. This is simply too vague to support standing. </w:t>
      </w:r>
      <w:bookmarkStart w:id="4444" w:name="Bookmark_I5SDY88328T4V90040000400"/>
      <w:bookmarkStart w:id="4445" w:name="Bookmark_LNHNREFclscc3_19"/>
      <w:bookmarkEnd w:id="4444"/>
      <w:bookmarkEnd w:id="4445"/>
      <w:r>
        <w:rPr>
          <w:rFonts w:ascii="Arial" w:eastAsia="Arial" w:hAnsi="Arial" w:cs="Arial"/>
          <w:color w:val="000000"/>
          <w:sz w:val="20"/>
        </w:rPr>
        <w:t xml:space="preserve">A public entity's unjustified exclusion of people with disabilities can amount to discrimination under the ADA, see </w:t>
      </w:r>
      <w:bookmarkStart w:id="4446" w:name="Bookmark_I5SDY88328T4V90010000400"/>
      <w:bookmarkEnd w:id="4446"/>
      <w:r>
        <w:rPr>
          <w:rFonts w:ascii="Arial" w:eastAsia="Arial" w:hAnsi="Arial" w:cs="Arial"/>
          <w:i/>
          <w:color w:val="000000"/>
          <w:sz w:val="20"/>
        </w:rPr>
        <w:t>Olmstead v. L.C. ex rel. Zimring</w:t>
      </w:r>
      <w:r>
        <w:rPr>
          <w:rFonts w:ascii="Arial" w:eastAsia="Arial" w:hAnsi="Arial" w:cs="Arial"/>
          <w:color w:val="000000"/>
          <w:sz w:val="20"/>
        </w:rPr>
        <w:t xml:space="preserve">, 527 U.S. 581, 600-01, 119 S. Ct. 2176, 144 L. Ed. 2d 540 (1999), but Straw says only that he </w:t>
      </w:r>
      <w:r>
        <w:rPr>
          <w:rFonts w:ascii="Arial" w:eastAsia="Arial" w:hAnsi="Arial" w:cs="Arial"/>
          <w:i/>
          <w:color w:val="000000"/>
          <w:sz w:val="20"/>
        </w:rPr>
        <w:t>felt</w:t>
      </w:r>
      <w:r>
        <w:rPr>
          <w:rFonts w:ascii="Arial" w:eastAsia="Arial" w:hAnsi="Arial" w:cs="Arial"/>
          <w:color w:val="000000"/>
          <w:sz w:val="20"/>
        </w:rPr>
        <w:t xml:space="preserve"> excluded. </w:t>
      </w:r>
      <w:bookmarkStart w:id="4447" w:name="Bookmark_I5SDY88328T4V90040000400_2"/>
      <w:bookmarkEnd w:id="4447"/>
      <w:r>
        <w:rPr>
          <w:rFonts w:ascii="Arial" w:eastAsia="Arial" w:hAnsi="Arial" w:cs="Arial"/>
          <w:color w:val="000000"/>
          <w:sz w:val="20"/>
        </w:rPr>
        <w:t xml:space="preserve">That feeling injures only Straw's interests as a concerned bystander. See </w:t>
      </w:r>
      <w:bookmarkStart w:id="4448" w:name="Bookmark_I5SDY88328T4V90030000400"/>
      <w:bookmarkEnd w:id="4448"/>
      <w:r>
        <w:rPr>
          <w:rFonts w:ascii="Arial" w:eastAsia="Arial" w:hAnsi="Arial" w:cs="Arial"/>
          <w:i/>
          <w:color w:val="000000"/>
          <w:sz w:val="20"/>
        </w:rPr>
        <w:t>Freedom from Religion Found., Inc. v. Obama</w:t>
      </w:r>
      <w:r>
        <w:rPr>
          <w:rFonts w:ascii="Arial" w:eastAsia="Arial" w:hAnsi="Arial" w:cs="Arial"/>
          <w:color w:val="000000"/>
          <w:sz w:val="20"/>
        </w:rPr>
        <w:t>, 641 F.3d 803, 806-07 (7th Cir. 2011). This is enough to dispose of Straw's claims for damages against Glendale Heights and Bloomington.</w:t>
      </w:r>
    </w:p>
    <w:p w:rsidR="00E456CD" w:rsidRDefault="00000000">
      <w:pPr>
        <w:pStyle w:val="Normal26"/>
        <w:widowControl w:val="0"/>
        <w:spacing w:before="200" w:line="260" w:lineRule="atLeast"/>
        <w:jc w:val="both"/>
      </w:pPr>
      <w:bookmarkStart w:id="4449" w:name="Bookmark_para_13_20"/>
      <w:bookmarkEnd w:id="4449"/>
      <w:r>
        <w:rPr>
          <w:rFonts w:ascii="Arial" w:eastAsia="Arial" w:hAnsi="Arial" w:cs="Arial"/>
          <w:color w:val="000000"/>
          <w:sz w:val="20"/>
        </w:rPr>
        <w:t xml:space="preserve">That leaves Straw's claims for damages against Elgin and Streamwood. In both of those instances, he at least has alleged that he uses the sidewalks that were not cleared in a timely manner. </w:t>
      </w:r>
      <w:bookmarkStart w:id="4450" w:name="Bookmark_I5SDY8832SF7W30010000400"/>
      <w:bookmarkEnd w:id="4450"/>
      <w:r>
        <w:rPr>
          <w:rFonts w:ascii="Arial" w:eastAsia="Arial" w:hAnsi="Arial" w:cs="Arial"/>
          <w:color w:val="000000"/>
          <w:sz w:val="20"/>
        </w:rPr>
        <w:t xml:space="preserve">Here, too, some paring is possible. Straw has attempted to raise a claim against Streamwood for a lack of accessible parking and building entrances in the employee parking lot. But these violations (if they were indeed violations) did not injure Straw, because he has not alleged that he is or was an employee of the Village. </w:t>
      </w:r>
      <w:bookmarkStart w:id="4451" w:name="Bookmark_I5SDY8832SF7W30030000400"/>
      <w:bookmarkEnd w:id="4451"/>
      <w:r>
        <w:rPr>
          <w:rFonts w:ascii="Arial" w:eastAsia="Arial" w:hAnsi="Arial" w:cs="Arial"/>
          <w:color w:val="000000"/>
          <w:sz w:val="20"/>
        </w:rPr>
        <w:t xml:space="preserve">It is therefore hard to see how that alleged [**9]  violation inflicted any concrete harm on </w:t>
      </w:r>
      <w:r>
        <w:rPr>
          <w:rFonts w:ascii="Arial" w:eastAsia="Arial" w:hAnsi="Arial" w:cs="Arial"/>
          <w:i/>
          <w:color w:val="000000"/>
          <w:sz w:val="20"/>
        </w:rPr>
        <w:t>him</w:t>
      </w:r>
      <w:r>
        <w:rPr>
          <w:rFonts w:ascii="Arial" w:eastAsia="Arial" w:hAnsi="Arial" w:cs="Arial"/>
          <w:color w:val="000000"/>
          <w:sz w:val="20"/>
        </w:rPr>
        <w:t xml:space="preserve">. See </w:t>
      </w:r>
      <w:bookmarkStart w:id="4452" w:name="Bookmark_I5SDY88328T4V90050000400"/>
      <w:bookmarkEnd w:id="4452"/>
      <w:r>
        <w:rPr>
          <w:rFonts w:ascii="Arial" w:eastAsia="Arial" w:hAnsi="Arial" w:cs="Arial"/>
          <w:i/>
          <w:color w:val="000000"/>
          <w:sz w:val="20"/>
        </w:rPr>
        <w:t>Spokeo v. Robins</w:t>
      </w:r>
      <w:r>
        <w:rPr>
          <w:rFonts w:ascii="Arial" w:eastAsia="Arial" w:hAnsi="Arial" w:cs="Arial"/>
          <w:color w:val="000000"/>
          <w:sz w:val="20"/>
        </w:rPr>
        <w:t xml:space="preserve">, 136 S. Ct. 1540, 1550, 194 L. Ed. 2d 635 (2016). </w:t>
      </w:r>
      <w:bookmarkStart w:id="4453" w:name="Bookmark_I5SDY8832SF7W30030000400_2"/>
      <w:bookmarkEnd w:id="4453"/>
      <w:r>
        <w:rPr>
          <w:rFonts w:ascii="Arial" w:eastAsia="Arial" w:hAnsi="Arial" w:cs="Arial"/>
          <w:color w:val="000000"/>
          <w:sz w:val="20"/>
        </w:rPr>
        <w:t xml:space="preserve">Because Straw is concerned only about the employee lot and entrances, his case is not the same as those involving more general access to public facilities. See, e.g., </w:t>
      </w:r>
      <w:bookmarkStart w:id="4454" w:name="Bookmark_I5SDY8832SF7W30020000400"/>
      <w:bookmarkEnd w:id="4454"/>
      <w:r>
        <w:rPr>
          <w:rFonts w:ascii="Arial" w:eastAsia="Arial" w:hAnsi="Arial" w:cs="Arial"/>
          <w:i/>
          <w:color w:val="000000"/>
          <w:sz w:val="20"/>
        </w:rPr>
        <w:t>Hummel v. St. Joseph Cty. Bd. of Comm'rs</w:t>
      </w:r>
      <w:r>
        <w:rPr>
          <w:rFonts w:ascii="Arial" w:eastAsia="Arial" w:hAnsi="Arial" w:cs="Arial"/>
          <w:color w:val="000000"/>
          <w:sz w:val="20"/>
        </w:rPr>
        <w:t xml:space="preserve">, 817 F.3d 1010 (7th Cir. 2016); </w:t>
      </w:r>
      <w:bookmarkStart w:id="4455" w:name="Bookmark_I5SDY8832SF7W30040000400"/>
      <w:bookmarkEnd w:id="4455"/>
      <w:r>
        <w:rPr>
          <w:rFonts w:ascii="Arial" w:eastAsia="Arial" w:hAnsi="Arial" w:cs="Arial"/>
          <w:i/>
          <w:color w:val="000000"/>
          <w:sz w:val="20"/>
        </w:rPr>
        <w:t>Foley</w:t>
      </w:r>
      <w:r>
        <w:rPr>
          <w:rFonts w:ascii="Arial" w:eastAsia="Arial" w:hAnsi="Arial" w:cs="Arial"/>
          <w:color w:val="000000"/>
          <w:sz w:val="20"/>
        </w:rPr>
        <w:t>, 359 F.3d at 929-30.</w:t>
      </w:r>
    </w:p>
    <w:p w:rsidR="00E456CD" w:rsidRDefault="00000000">
      <w:pPr>
        <w:pStyle w:val="Normal26"/>
        <w:widowControl w:val="0"/>
        <w:spacing w:before="200" w:line="260" w:lineRule="atLeast"/>
        <w:jc w:val="both"/>
      </w:pPr>
      <w:bookmarkStart w:id="4456" w:name="Bookmark_para_14_19"/>
      <w:bookmarkEnd w:id="4456"/>
      <w:r>
        <w:rPr>
          <w:rFonts w:ascii="Arial" w:eastAsia="Arial" w:hAnsi="Arial" w:cs="Arial"/>
          <w:color w:val="000000"/>
          <w:sz w:val="20"/>
        </w:rPr>
        <w:t>We turn finally to Straw's argument that he was injured by the alleged failure of Elgin and Streamwood to clear the sidewalks that he has used for shopping and other daily necessities. The defendants argue that he has not shown how, specifically, he was personally affected by the sidewalk conditions. They are right that much of Straw's brief is devoted to the meritless argument that the mere existence of an ADA violation constitutes an Article III injury-in-fact. It is also hard to decipher what kind of discrimination he is talking about: discrimination against disabled people generally, or something more like a class-of-one discrimination claim related exclusively to himself? And Straw never says that he actually fell down or was hurt because of the defendants' violations; instead, he essentially is saying that he was excluded from the use of the sidewalks because they were too dangerous for him to use.</w:t>
      </w:r>
    </w:p>
    <w:p w:rsidR="00E456CD" w:rsidRDefault="00000000">
      <w:pPr>
        <w:pStyle w:val="Normal26"/>
        <w:widowControl w:val="0"/>
        <w:spacing w:before="200" w:line="260" w:lineRule="atLeast"/>
        <w:jc w:val="both"/>
      </w:pPr>
      <w:bookmarkStart w:id="4457" w:name="Bookmark_para_15_19"/>
      <w:bookmarkEnd w:id="4457"/>
      <w:r>
        <w:rPr>
          <w:rFonts w:ascii="Arial" w:eastAsia="Arial" w:hAnsi="Arial" w:cs="Arial"/>
          <w:color w:val="000000"/>
          <w:sz w:val="20"/>
        </w:rPr>
        <w:t xml:space="preserve">But try as we might, we cannot see how these allegations sufficiently [**10]  distinguish  [*349]  Straw from the remainder of the population in those towns. Slippery sidewalks can be a menace to anyone, disabled or not. Perfectly healthy people fall down while they are shoveling their sidewalks or driveways, and they, like Straw, are undoubtedly irritated when their municipality does not clear the snow within a few hours of its cessation. </w:t>
      </w:r>
      <w:bookmarkStart w:id="4458" w:name="Bookmark_I5SDY8832HM6RB0020000400"/>
      <w:bookmarkEnd w:id="4458"/>
      <w:r>
        <w:rPr>
          <w:rFonts w:ascii="Arial" w:eastAsia="Arial" w:hAnsi="Arial" w:cs="Arial"/>
          <w:color w:val="000000"/>
          <w:sz w:val="20"/>
        </w:rPr>
        <w:t xml:space="preserve">Straw says that his injuries would be worse from a possible fall because of the metal in his pelvis, but he does not say that others might not also suffer from a serious injury, such as a broken wrist or arm. And as for Streamwood, Straw's claims are also wanting because he has not alleged that snowy conditions impaired his possible use of the sidewalk on any day before he filed his complaint. The snow he spotted on January 9, 2017, which allegedly blocked his route from his fiancée's house to Walgreens, cannot help his standing argument, because we must assess standing as of the time the action commences. </w:t>
      </w:r>
      <w:bookmarkStart w:id="4459" w:name="Bookmark_I5SDY8832HM6RB0010000400"/>
      <w:bookmarkEnd w:id="4459"/>
      <w:r>
        <w:rPr>
          <w:rFonts w:ascii="Arial" w:eastAsia="Arial" w:hAnsi="Arial" w:cs="Arial"/>
          <w:i/>
          <w:color w:val="000000"/>
          <w:sz w:val="20"/>
        </w:rPr>
        <w:t>Friends of the Earth, Inc. v. Laidlaw Envtl. Servs.</w:t>
      </w:r>
      <w:r>
        <w:rPr>
          <w:rFonts w:ascii="Arial" w:eastAsia="Arial" w:hAnsi="Arial" w:cs="Arial"/>
          <w:color w:val="000000"/>
          <w:sz w:val="20"/>
        </w:rPr>
        <w:t>, 528 U.S. 167, 191, 120 S. Ct. 693, 145 L. Ed. 2d 610 (2000).</w:t>
      </w:r>
    </w:p>
    <w:p w:rsidR="00E456CD" w:rsidRDefault="00000000">
      <w:pPr>
        <w:pStyle w:val="Normal26"/>
        <w:widowControl w:val="0"/>
        <w:spacing w:before="200" w:line="260" w:lineRule="atLeast"/>
        <w:jc w:val="both"/>
      </w:pPr>
      <w:bookmarkStart w:id="4460" w:name="Bookmark_para_16_18"/>
      <w:bookmarkEnd w:id="4460"/>
      <w:r>
        <w:rPr>
          <w:rFonts w:ascii="Arial" w:eastAsia="Arial" w:hAnsi="Arial" w:cs="Arial"/>
          <w:color w:val="000000"/>
          <w:sz w:val="20"/>
        </w:rPr>
        <w:t xml:space="preserve">Straw has not provided enough detail to show how the snowy and icy conditions in Elgin and Streamwood impeded his access to the public sidewalks. </w:t>
      </w:r>
      <w:bookmarkStart w:id="4461" w:name="Bookmark_I5SDY8832HM6RB0040000400"/>
      <w:bookmarkEnd w:id="4461"/>
      <w:r>
        <w:rPr>
          <w:rFonts w:ascii="Arial" w:eastAsia="Arial" w:hAnsi="Arial" w:cs="Arial"/>
          <w:color w:val="000000"/>
          <w:sz w:val="20"/>
        </w:rPr>
        <w:t xml:space="preserve">His photographs, without additional explanation, leave too much to speculation. In [**11]  addition, he does not tell us how long the unsatisfactory conditions persisted—an important fact, because the defendants are not liable for temporary interruptions in access. See </w:t>
      </w:r>
      <w:bookmarkStart w:id="4462" w:name="Bookmark_I5SDY8832HM6RB0030000400"/>
      <w:bookmarkEnd w:id="4462"/>
      <w:r>
        <w:rPr>
          <w:rFonts w:ascii="Arial" w:eastAsia="Arial" w:hAnsi="Arial" w:cs="Arial"/>
          <w:i/>
          <w:color w:val="000000"/>
          <w:sz w:val="20"/>
        </w:rPr>
        <w:t>Foley</w:t>
      </w:r>
      <w:r>
        <w:rPr>
          <w:rFonts w:ascii="Arial" w:eastAsia="Arial" w:hAnsi="Arial" w:cs="Arial"/>
          <w:color w:val="000000"/>
          <w:sz w:val="20"/>
        </w:rPr>
        <w:t>, 359 F.3d at 929-30.</w:t>
      </w:r>
    </w:p>
    <w:p w:rsidR="00E456CD" w:rsidRDefault="00000000">
      <w:pPr>
        <w:pStyle w:val="Normal26"/>
        <w:widowControl w:val="0"/>
        <w:spacing w:before="200" w:line="260" w:lineRule="atLeast"/>
        <w:jc w:val="both"/>
      </w:pPr>
      <w:bookmarkStart w:id="4463" w:name="Bookmark_para_17_17"/>
      <w:bookmarkEnd w:id="4463"/>
      <w:r>
        <w:rPr>
          <w:rFonts w:ascii="Arial" w:eastAsia="Arial" w:hAnsi="Arial" w:cs="Arial"/>
          <w:color w:val="000000"/>
          <w:sz w:val="20"/>
        </w:rPr>
        <w:t xml:space="preserve">We close by addressing several motions that Straw has filed. First, he wants to supplement the record on appeal with a letter from the Department of Justice responding to his Freedom of Information Act request for information about nationwide ADA complaints. </w:t>
      </w:r>
      <w:bookmarkStart w:id="4464" w:name="Bookmark_I5SDY8832N1PWS0010000400"/>
      <w:bookmarkEnd w:id="4464"/>
      <w:r>
        <w:rPr>
          <w:rFonts w:ascii="Arial" w:eastAsia="Arial" w:hAnsi="Arial" w:cs="Arial"/>
          <w:color w:val="000000"/>
          <w:sz w:val="20"/>
        </w:rPr>
        <w:t xml:space="preserve">That letter, however, was not before the district court, and so it may not be added to the record now. For that reason, we deny this motion. Second, Straw has filed two motions to recuse the judges of this court from hearing his appeal. He argues that recusal is warranted because we have taken actions that were adverse to him in the past: once when the court of appeals appointed as a bankruptcy judge a person who, prior to his judicial appointment, had served as a hearing officer for the Indiana bar and recommended that Straw's law license be suspended; and on another occasion, when a panel of this court misstated (in Straw's view) parts of the record in an unrelated appeal that he lost. Even if, however, the court, acting through the judges serving on [**12]  panels, has ruled adversely to Straw, or factual errors have appeared in opinions, this does not amount to evidence of bias. See </w:t>
      </w:r>
      <w:bookmarkStart w:id="4465" w:name="Bookmark_I5SDY8832HM6RB0050000400"/>
      <w:bookmarkEnd w:id="4465"/>
      <w:r>
        <w:rPr>
          <w:rFonts w:ascii="Arial" w:eastAsia="Arial" w:hAnsi="Arial" w:cs="Arial"/>
          <w:i/>
          <w:color w:val="000000"/>
          <w:sz w:val="20"/>
        </w:rPr>
        <w:t>Liteky v. United States</w:t>
      </w:r>
      <w:r>
        <w:rPr>
          <w:rFonts w:ascii="Arial" w:eastAsia="Arial" w:hAnsi="Arial" w:cs="Arial"/>
          <w:color w:val="000000"/>
          <w:sz w:val="20"/>
        </w:rPr>
        <w:t xml:space="preserve">, 510 U.S. 540, 556, 114 S. Ct. 1147, 127 L. Ed. 2d 474 (1994); </w:t>
      </w:r>
      <w:bookmarkStart w:id="4466" w:name="Bookmark_I5SDY8832N1PWS0020000400"/>
      <w:bookmarkEnd w:id="4466"/>
      <w:r>
        <w:rPr>
          <w:rFonts w:ascii="Arial" w:eastAsia="Arial" w:hAnsi="Arial" w:cs="Arial"/>
          <w:i/>
          <w:color w:val="000000"/>
          <w:sz w:val="20"/>
        </w:rPr>
        <w:t>Khor Chin Lim v. Courtcall Inc.</w:t>
      </w:r>
      <w:r>
        <w:rPr>
          <w:rFonts w:ascii="Arial" w:eastAsia="Arial" w:hAnsi="Arial" w:cs="Arial"/>
          <w:color w:val="000000"/>
          <w:sz w:val="20"/>
        </w:rPr>
        <w:t>, 683 F.3d 378, 380 (7th Cir. 2012).</w:t>
      </w:r>
    </w:p>
    <w:p w:rsidR="00E456CD" w:rsidRDefault="00000000">
      <w:pPr>
        <w:pStyle w:val="Normal26"/>
        <w:widowControl w:val="0"/>
        <w:spacing w:before="200" w:line="260" w:lineRule="atLeast"/>
        <w:jc w:val="both"/>
      </w:pPr>
      <w:bookmarkStart w:id="4467" w:name="Bookmark_para_18_17"/>
      <w:bookmarkEnd w:id="4467"/>
      <w:r>
        <w:rPr>
          <w:rFonts w:ascii="Arial" w:eastAsia="Arial" w:hAnsi="Arial" w:cs="Arial"/>
          <w:color w:val="000000"/>
          <w:sz w:val="20"/>
        </w:rPr>
        <w:t>The recusal motion is actually strong evidence that Straw has either lost all perspective on the litigation process or that he is deliberately misusing the courts. By our count, he has filed 16 cases (including this one) in this court since August of 2014.</w:t>
      </w:r>
      <w:r>
        <w:rPr>
          <w:rFonts w:ascii="Arial" w:eastAsia="Arial" w:hAnsi="Arial" w:cs="Arial"/>
          <w:vertAlign w:val="superscript"/>
        </w:rPr>
        <w:footnoteReference w:customMarkFollows="1" w:id="196"/>
        <w:t>1</w:t>
      </w:r>
      <w:r>
        <w:rPr>
          <w:rFonts w:ascii="Arial" w:eastAsia="Arial" w:hAnsi="Arial" w:cs="Arial"/>
          <w:color w:val="000000"/>
          <w:sz w:val="20"/>
        </w:rPr>
        <w:t xml:space="preserve"> This is unacceptable. </w:t>
      </w:r>
      <w:bookmarkStart w:id="4469" w:name="Bookmark_I5SDY8832N1PWS0050000400"/>
      <w:bookmarkEnd w:id="4469"/>
      <w:r>
        <w:rPr>
          <w:rFonts w:ascii="Arial" w:eastAsia="Arial" w:hAnsi="Arial" w:cs="Arial"/>
          <w:color w:val="000000"/>
          <w:sz w:val="20"/>
        </w:rPr>
        <w:t xml:space="preserve">As the names  [*350]  of the cases reveal, he has brought many of these cases against the courts of this circuit and the Indiana courts and did not have a prayer of success. At least one is against a district-court judge, who is immune from suit for judicial actions. See </w:t>
      </w:r>
      <w:bookmarkStart w:id="4470" w:name="Bookmark_I5SDY8832N1PWS0040000400"/>
      <w:bookmarkEnd w:id="4470"/>
      <w:r>
        <w:rPr>
          <w:rFonts w:ascii="Arial" w:eastAsia="Arial" w:hAnsi="Arial" w:cs="Arial"/>
          <w:i/>
          <w:color w:val="000000"/>
          <w:sz w:val="20"/>
        </w:rPr>
        <w:t>Stump v. Sparkman</w:t>
      </w:r>
      <w:r>
        <w:rPr>
          <w:rFonts w:ascii="Arial" w:eastAsia="Arial" w:hAnsi="Arial" w:cs="Arial"/>
          <w:color w:val="000000"/>
          <w:sz w:val="20"/>
        </w:rPr>
        <w:t>, 435 U.S. 349, 98 S. Ct. 1099, 55 L. Ed. 2d 331 (1978). We warn Straw that this pattern must stop immediately, or he will be sanctioned and barred (apart from defending himself in criminal cases or pursuing writs of habeas corpus) from litigating in the courts of this circuit.</w:t>
      </w:r>
    </w:p>
    <w:p w:rsidR="00E456CD" w:rsidRDefault="00000000">
      <w:pPr>
        <w:pStyle w:val="Normal26"/>
        <w:widowControl w:val="0"/>
        <w:spacing w:before="200" w:line="260" w:lineRule="atLeast"/>
        <w:jc w:val="both"/>
      </w:pPr>
      <w:bookmarkStart w:id="4471" w:name="Bookmark_para_19_17"/>
      <w:bookmarkEnd w:id="4471"/>
      <w:r>
        <w:rPr>
          <w:rFonts w:ascii="Arial" w:eastAsia="Arial" w:hAnsi="Arial" w:cs="Arial"/>
          <w:color w:val="000000"/>
          <w:sz w:val="20"/>
        </w:rPr>
        <w:t>As for the present case, we AFFIRM the judgment of the district court.</w:t>
      </w:r>
    </w:p>
    <w:p w:rsidR="00E456CD" w:rsidRDefault="00E456CD">
      <w:pPr>
        <w:pStyle w:val="Normal26"/>
      </w:pPr>
    </w:p>
    <w:p w:rsidR="00E456CD" w:rsidRDefault="00000000">
      <w:pPr>
        <w:pStyle w:val="Normal26"/>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1660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016903776"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8C1AC" id="Line 60"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7"/>
        <w:sectPr w:rsidR="00E456CD">
          <w:headerReference w:type="even" r:id="rId169"/>
          <w:headerReference w:type="default" r:id="rId170"/>
          <w:footerReference w:type="even" r:id="rId171"/>
          <w:footerReference w:type="default" r:id="rId172"/>
          <w:headerReference w:type="first" r:id="rId173"/>
          <w:footerReference w:type="first" r:id="rId174"/>
          <w:pgSz w:w="12240" w:h="15840"/>
          <w:pgMar w:top="840" w:right="1000" w:bottom="840" w:left="1000" w:header="400" w:footer="400" w:gutter="0"/>
          <w:cols w:space="720"/>
          <w:titlePg/>
        </w:sectPr>
      </w:pPr>
    </w:p>
    <w:p w:rsidR="00E456CD" w:rsidRDefault="00E456CD">
      <w:pPr>
        <w:pStyle w:val="Normal27"/>
      </w:pPr>
    </w:p>
    <w:p w:rsidR="00E456CD" w:rsidRDefault="00000000">
      <w:pPr>
        <w:pStyle w:val="Heading126"/>
        <w:keepNext w:val="0"/>
        <w:widowControl w:val="0"/>
        <w:spacing w:after="200" w:line="340" w:lineRule="atLeast"/>
        <w:jc w:val="center"/>
      </w:pPr>
      <w:r>
        <w:rPr>
          <w:rFonts w:eastAsia="Arial"/>
          <w:color w:val="000000"/>
          <w:sz w:val="28"/>
        </w:rPr>
        <w:t>Kennedy v. Beachside Commer. Props., LLC</w:t>
      </w:r>
    </w:p>
    <w:p w:rsidR="00E456CD" w:rsidRDefault="00000000">
      <w:pPr>
        <w:pStyle w:val="Normal27"/>
        <w:widowControl w:val="0"/>
        <w:spacing w:before="120" w:line="260" w:lineRule="atLeast"/>
        <w:jc w:val="center"/>
      </w:pPr>
      <w:r>
        <w:rPr>
          <w:rFonts w:ascii="Arial" w:eastAsia="Arial" w:hAnsi="Arial" w:cs="Arial"/>
          <w:color w:val="000000"/>
          <w:sz w:val="20"/>
        </w:rPr>
        <w:t>United States Court of Appeals for the Eleventh Circuit</w:t>
      </w:r>
    </w:p>
    <w:p w:rsidR="00E456CD" w:rsidRDefault="00000000">
      <w:pPr>
        <w:pStyle w:val="Normal27"/>
        <w:widowControl w:val="0"/>
        <w:spacing w:before="120" w:line="260" w:lineRule="atLeast"/>
        <w:jc w:val="center"/>
      </w:pPr>
      <w:r>
        <w:rPr>
          <w:rFonts w:ascii="Arial" w:eastAsia="Arial" w:hAnsi="Arial" w:cs="Arial"/>
          <w:color w:val="000000"/>
          <w:sz w:val="20"/>
        </w:rPr>
        <w:t>May 1, 2018, Decided</w:t>
      </w:r>
    </w:p>
    <w:p w:rsidR="00E456CD" w:rsidRDefault="00000000">
      <w:pPr>
        <w:pStyle w:val="Normal27"/>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17-14356 Non-Argument Calendar</w:t>
      </w:r>
    </w:p>
    <w:p w:rsidR="00E456CD" w:rsidRDefault="00E456CD">
      <w:pPr>
        <w:pStyle w:val="Normal27"/>
        <w:widowControl w:val="0"/>
        <w:spacing w:line="240" w:lineRule="atLeast"/>
        <w:jc w:val="both"/>
      </w:pPr>
      <w:bookmarkStart w:id="4472" w:name="Bookmark_28"/>
      <w:bookmarkEnd w:id="4472"/>
    </w:p>
    <w:p w:rsidR="00E456CD" w:rsidRDefault="00000000">
      <w:pPr>
        <w:pStyle w:val="Normal27"/>
        <w:widowControl w:val="0"/>
        <w:spacing w:before="200" w:line="240" w:lineRule="atLeast"/>
      </w:pPr>
      <w:bookmarkStart w:id="4473" w:name="Reporter_26"/>
      <w:bookmarkEnd w:id="4473"/>
      <w:r>
        <w:rPr>
          <w:rFonts w:ascii="Arial" w:eastAsia="Arial" w:hAnsi="Arial" w:cs="Arial"/>
          <w:b/>
          <w:color w:val="000000"/>
          <w:sz w:val="18"/>
        </w:rPr>
        <w:t>Reporter</w:t>
      </w:r>
    </w:p>
    <w:p w:rsidR="00E456CD" w:rsidRDefault="00000000">
      <w:pPr>
        <w:pStyle w:val="Normal27"/>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731 Fed. Appx. 817 *; 2018 U.S. App. LEXIS 11548 **; 2018 WL 2024672</w:t>
      </w:r>
    </w:p>
    <w:p w:rsidR="00E456CD" w:rsidRDefault="00000000">
      <w:pPr>
        <w:pStyle w:val="Normal27"/>
        <w:widowControl w:val="0"/>
        <w:spacing w:before="120" w:line="260" w:lineRule="atLeast"/>
      </w:pPr>
      <w:r>
        <w:rPr>
          <w:rFonts w:ascii="Arial" w:eastAsia="Arial" w:hAnsi="Arial" w:cs="Arial"/>
          <w:color w:val="000000"/>
          <w:sz w:val="20"/>
        </w:rPr>
        <w:t>PATRICIA KENNEDY, Individually, Plaintiff - Appellant, versus BEACHSIDE COMMERCIAL PROPERTIES, LLC, a Florida Limited Liability Company, COCOA BEACH SURF COMPANY, a Florida Corporation, Defendants - Appellees.</w:t>
      </w:r>
    </w:p>
    <w:p w:rsidR="00E456CD" w:rsidRDefault="00000000">
      <w:pPr>
        <w:pStyle w:val="Normal27"/>
        <w:widowControl w:val="0"/>
        <w:spacing w:before="240" w:line="260" w:lineRule="atLeast"/>
        <w:jc w:val="both"/>
      </w:pPr>
      <w:bookmarkStart w:id="4474" w:name="Notice_12"/>
      <w:bookmarkEnd w:id="4474"/>
      <w:r>
        <w:rPr>
          <w:rFonts w:ascii="Arial" w:eastAsia="Arial" w:hAnsi="Arial" w:cs="Arial"/>
          <w:b/>
          <w:color w:val="000000"/>
          <w:sz w:val="20"/>
        </w:rPr>
        <w:t>Notice:</w:t>
      </w:r>
      <w:r>
        <w:rPr>
          <w:rFonts w:ascii="Arial" w:eastAsia="Arial" w:hAnsi="Arial" w:cs="Arial"/>
          <w:color w:val="000000"/>
          <w:sz w:val="20"/>
        </w:rPr>
        <w:t> </w:t>
      </w:r>
      <w:bookmarkStart w:id="4475" w:name="Bookmark_para_1_26"/>
      <w:bookmarkEnd w:id="4475"/>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27"/>
        <w:widowControl w:val="0"/>
        <w:spacing w:before="240" w:line="260" w:lineRule="atLeast"/>
        <w:jc w:val="both"/>
      </w:pPr>
      <w:bookmarkStart w:id="4476" w:name="Prior_History_26"/>
      <w:bookmarkEnd w:id="4476"/>
      <w:r>
        <w:rPr>
          <w:rFonts w:ascii="Arial" w:eastAsia="Arial" w:hAnsi="Arial" w:cs="Arial"/>
          <w:b/>
          <w:color w:val="000000"/>
          <w:sz w:val="20"/>
        </w:rPr>
        <w:t>Prior History:</w:t>
      </w:r>
      <w:r>
        <w:rPr>
          <w:rFonts w:ascii="Arial" w:eastAsia="Arial" w:hAnsi="Arial" w:cs="Arial"/>
          <w:color w:val="000000"/>
          <w:sz w:val="20"/>
        </w:rPr>
        <w:t> </w:t>
      </w:r>
      <w:bookmarkStart w:id="4477" w:name="Bookmark_para_2_26"/>
      <w:bookmarkEnd w:id="4477"/>
      <w:r>
        <w:rPr>
          <w:rFonts w:ascii="Arial" w:eastAsia="Arial" w:hAnsi="Arial" w:cs="Arial"/>
          <w:color w:val="000000"/>
          <w:sz w:val="20"/>
        </w:rPr>
        <w:t> [**1] Appeal from the United States District Court for the Middle District of Florida. D.C. Docket No. 6:17-cv-01047-RBD-GJK.</w:t>
      </w:r>
    </w:p>
    <w:p w:rsidR="00E456CD" w:rsidRDefault="00000000">
      <w:pPr>
        <w:pStyle w:val="Normal27"/>
        <w:widowControl w:val="0"/>
        <w:spacing w:before="120" w:line="260" w:lineRule="atLeast"/>
      </w:pPr>
      <w:r>
        <w:rPr>
          <w:rFonts w:ascii="Arial" w:eastAsia="Arial" w:hAnsi="Arial" w:cs="Arial"/>
          <w:color w:val="000000"/>
          <w:sz w:val="20"/>
        </w:rPr>
        <w:t>Kennedy v. Beachside Commer. Props., LLC, 2017 U.S. Dist. LEXIS 156231 (M.D. Fla., Sept. 25, 2017)</w:t>
      </w:r>
    </w:p>
    <w:p w:rsidR="00E456CD" w:rsidRDefault="00000000">
      <w:pPr>
        <w:pStyle w:val="Normal27"/>
        <w:widowControl w:val="0"/>
        <w:spacing w:before="240" w:line="260" w:lineRule="atLeast"/>
        <w:jc w:val="both"/>
      </w:pPr>
      <w:bookmarkStart w:id="4478" w:name="Disposition_8"/>
      <w:bookmarkEnd w:id="4478"/>
      <w:r>
        <w:rPr>
          <w:rFonts w:ascii="Arial" w:eastAsia="Arial" w:hAnsi="Arial" w:cs="Arial"/>
          <w:b/>
          <w:color w:val="000000"/>
          <w:sz w:val="20"/>
        </w:rPr>
        <w:t>Disposition:</w:t>
      </w:r>
      <w:r>
        <w:rPr>
          <w:rFonts w:ascii="Arial" w:eastAsia="Arial" w:hAnsi="Arial" w:cs="Arial"/>
          <w:color w:val="000000"/>
          <w:sz w:val="20"/>
        </w:rPr>
        <w:t> </w:t>
      </w:r>
      <w:bookmarkStart w:id="4479" w:name="Bookmark_clspara_4_6"/>
      <w:bookmarkEnd w:id="4479"/>
      <w:r>
        <w:rPr>
          <w:rFonts w:ascii="Arial" w:eastAsia="Arial" w:hAnsi="Arial" w:cs="Arial"/>
          <w:color w:val="000000"/>
          <w:sz w:val="20"/>
        </w:rPr>
        <w:t>AFFIRMED.</w:t>
      </w:r>
    </w:p>
    <w:p w:rsidR="00E456CD" w:rsidRDefault="00000000">
      <w:pPr>
        <w:pStyle w:val="Normal27"/>
        <w:widowControl w:val="0"/>
        <w:spacing w:before="240" w:line="260" w:lineRule="atLeast"/>
      </w:pPr>
      <w:bookmarkStart w:id="4480" w:name="Counsel_26"/>
      <w:bookmarkEnd w:id="4480"/>
      <w:r>
        <w:rPr>
          <w:rFonts w:ascii="Arial" w:eastAsia="Arial" w:hAnsi="Arial" w:cs="Arial"/>
          <w:b/>
          <w:color w:val="000000"/>
          <w:sz w:val="20"/>
        </w:rPr>
        <w:t>Counsel:</w:t>
      </w:r>
      <w:r>
        <w:rPr>
          <w:rFonts w:ascii="Arial" w:eastAsia="Arial" w:hAnsi="Arial" w:cs="Arial"/>
          <w:color w:val="000000"/>
          <w:sz w:val="20"/>
        </w:rPr>
        <w:t> For PATRICIA KENNEDY, Individually, Plaintiff - Appellant: Thomas B. Bacon, Thomas B. Bacon, PA, MOUNT DORA, FL; Aaron Scott Finesilver, Finesilver Law, PA, MIAMI, FL.</w:t>
      </w:r>
    </w:p>
    <w:p w:rsidR="00E456CD" w:rsidRDefault="00000000">
      <w:pPr>
        <w:pStyle w:val="Normal27"/>
        <w:widowControl w:val="0"/>
        <w:spacing w:before="120" w:line="260" w:lineRule="atLeast"/>
      </w:pPr>
      <w:r>
        <w:rPr>
          <w:rFonts w:ascii="Arial" w:eastAsia="Arial" w:hAnsi="Arial" w:cs="Arial"/>
          <w:color w:val="000000"/>
          <w:sz w:val="20"/>
        </w:rPr>
        <w:t>For BEACHSIDE COMMERICAL PROPERTIES, LLC, a Florida Limited Liability Company, COCOA BEACH SURF COMPANY, a Florida Corporation, Defendants - Appellees: Jason Andrew Breslin, Thomas Kevin Knight, deBeaubien Simmons Knight Mantzaris &amp; Neal, LLP, ORLANDO, FL.</w:t>
      </w:r>
    </w:p>
    <w:p w:rsidR="00E456CD" w:rsidRDefault="00000000">
      <w:pPr>
        <w:pStyle w:val="Normal27"/>
        <w:widowControl w:val="0"/>
        <w:spacing w:before="240" w:line="260" w:lineRule="atLeast"/>
      </w:pPr>
      <w:bookmarkStart w:id="4481" w:name="Judges_26"/>
      <w:bookmarkEnd w:id="4481"/>
      <w:r>
        <w:rPr>
          <w:rFonts w:ascii="Arial" w:eastAsia="Arial" w:hAnsi="Arial" w:cs="Arial"/>
          <w:b/>
          <w:color w:val="000000"/>
          <w:sz w:val="20"/>
        </w:rPr>
        <w:t>Judges:</w:t>
      </w:r>
      <w:r>
        <w:rPr>
          <w:rFonts w:ascii="Arial" w:eastAsia="Arial" w:hAnsi="Arial" w:cs="Arial"/>
          <w:color w:val="000000"/>
          <w:sz w:val="20"/>
        </w:rPr>
        <w:t> Before WILSON, JORDAN, and DUBINA, Circuit Judges.</w:t>
      </w:r>
    </w:p>
    <w:p w:rsidR="00E456CD" w:rsidRDefault="00000000">
      <w:pPr>
        <w:pStyle w:val="Normal27"/>
        <w:keepNext/>
        <w:widowControl w:val="0"/>
        <w:spacing w:before="240" w:line="340" w:lineRule="atLeast"/>
      </w:pPr>
      <w:bookmarkStart w:id="4482" w:name="Opinion_26"/>
      <w:bookmarkEnd w:id="4482"/>
      <w:r>
        <w:rPr>
          <w:rFonts w:ascii="Arial" w:eastAsia="Arial" w:hAnsi="Arial" w:cs="Arial"/>
          <w:b/>
          <w:color w:val="000000"/>
          <w:sz w:val="28"/>
        </w:rPr>
        <w:t>Opinion</w:t>
      </w:r>
    </w:p>
    <w:p w:rsidR="00E456CD" w:rsidRDefault="00E22289">
      <w:pPr>
        <w:pStyle w:val="Normal27"/>
        <w:spacing w:line="60" w:lineRule="exact"/>
      </w:pPr>
      <w:r>
        <w:rPr>
          <w:noProof/>
        </w:rPr>
        <mc:AlternateContent>
          <mc:Choice Requires="wps">
            <w:drawing>
              <wp:anchor distT="0" distB="0" distL="114300" distR="114300" simplePos="0" relativeHeight="25171763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64969756"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B6832" id="Line 61"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7"/>
      </w:pPr>
    </w:p>
    <w:p w:rsidR="00E456CD" w:rsidRDefault="00000000">
      <w:pPr>
        <w:pStyle w:val="Normal27"/>
        <w:widowControl w:val="0"/>
        <w:spacing w:before="200" w:line="260" w:lineRule="atLeast"/>
        <w:jc w:val="both"/>
      </w:pPr>
      <w:bookmarkStart w:id="4483" w:name="Bookmark_para_3_26"/>
      <w:bookmarkEnd w:id="4483"/>
      <w:r>
        <w:rPr>
          <w:rFonts w:ascii="Arial" w:eastAsia="Arial" w:hAnsi="Arial" w:cs="Arial"/>
          <w:color w:val="000000"/>
          <w:sz w:val="20"/>
        </w:rPr>
        <w:t> [*818]  PER CURIAM:</w:t>
      </w:r>
    </w:p>
    <w:p w:rsidR="00E456CD" w:rsidRDefault="00000000">
      <w:pPr>
        <w:pStyle w:val="Normal27"/>
        <w:widowControl w:val="0"/>
        <w:spacing w:before="200" w:line="260" w:lineRule="atLeast"/>
        <w:jc w:val="both"/>
      </w:pPr>
      <w:bookmarkStart w:id="4484" w:name="Bookmark_para_4_26"/>
      <w:bookmarkEnd w:id="4484"/>
      <w:r>
        <w:rPr>
          <w:rFonts w:ascii="Arial" w:eastAsia="Arial" w:hAnsi="Arial" w:cs="Arial"/>
          <w:color w:val="000000"/>
          <w:sz w:val="20"/>
        </w:rPr>
        <w:t>Plaintiff-Appellant Patricia Kennedy ("Plaintiff"), who is disabled, sued Defendants-Appellees Beachside Commercial Properties, LLC and Cocoa Beach Surf Company (collectively "Defendants") to compel them to bring their premises at a Port of Call at Beach ("Port of Call") store into compliance with Title III of the Americans with Disabilities Act, 42 U.S.C. §§ 12181-12189 ("ADA"). The district court determined Plaintiff lacked standing and dismissed her complaint for lack of subject matter jurisdiction. After reviewing the record and the parties' briefs, we affirm.</w:t>
      </w:r>
    </w:p>
    <w:p w:rsidR="00E456CD" w:rsidRDefault="00000000">
      <w:pPr>
        <w:pStyle w:val="Normal27"/>
        <w:widowControl w:val="0"/>
        <w:spacing w:before="240" w:line="260" w:lineRule="atLeast"/>
      </w:pPr>
      <w:r>
        <w:br/>
      </w:r>
      <w:r>
        <w:rPr>
          <w:rFonts w:ascii="Arial" w:eastAsia="Arial" w:hAnsi="Arial" w:cs="Arial"/>
          <w:b/>
          <w:color w:val="000000"/>
          <w:sz w:val="20"/>
        </w:rPr>
        <w:t xml:space="preserve">I. </w:t>
      </w:r>
      <w:r>
        <w:rPr>
          <w:rFonts w:ascii="Arial" w:eastAsia="Arial" w:hAnsi="Arial" w:cs="Arial"/>
          <w:b/>
          <w:smallCaps/>
          <w:color w:val="000000"/>
          <w:sz w:val="20"/>
        </w:rPr>
        <w:t>Background</w:t>
      </w:r>
    </w:p>
    <w:p w:rsidR="00E456CD" w:rsidRDefault="00000000">
      <w:pPr>
        <w:pStyle w:val="Normal27"/>
        <w:widowControl w:val="0"/>
        <w:spacing w:before="200" w:line="260" w:lineRule="atLeast"/>
        <w:jc w:val="both"/>
      </w:pPr>
      <w:bookmarkStart w:id="4485" w:name="Bookmark_para_5_26"/>
      <w:bookmarkEnd w:id="4485"/>
      <w:r>
        <w:rPr>
          <w:rFonts w:ascii="Arial" w:eastAsia="Arial" w:hAnsi="Arial" w:cs="Arial"/>
          <w:color w:val="000000"/>
          <w:sz w:val="20"/>
        </w:rPr>
        <w:t>Plaintiff Kennedy is mobility [**2]  impaired and ambulates by wheelchair. She filed her amended complaint against Defendants, alleging they failed to provide adequate facilities in the Port of Call shop in Cocoa Beach when she visited the property on February 15, 2017. She sued for declaratory judgment and injunctive relief, seeking Defendants' compliance with ADA provisions.</w:t>
      </w:r>
    </w:p>
    <w:p w:rsidR="00E456CD" w:rsidRDefault="00000000">
      <w:pPr>
        <w:pStyle w:val="Normal27"/>
        <w:widowControl w:val="0"/>
        <w:spacing w:before="240" w:line="260" w:lineRule="atLeast"/>
      </w:pPr>
      <w:r>
        <w:br/>
      </w:r>
      <w:r>
        <w:rPr>
          <w:rFonts w:ascii="Arial" w:eastAsia="Arial" w:hAnsi="Arial" w:cs="Arial"/>
          <w:b/>
          <w:color w:val="000000"/>
          <w:sz w:val="20"/>
        </w:rPr>
        <w:t>A. Plaintiff's Title III Claim</w:t>
      </w:r>
    </w:p>
    <w:p w:rsidR="00E456CD" w:rsidRDefault="00000000">
      <w:pPr>
        <w:pStyle w:val="Normal27"/>
        <w:widowControl w:val="0"/>
        <w:spacing w:before="200" w:line="260" w:lineRule="atLeast"/>
        <w:jc w:val="both"/>
      </w:pPr>
      <w:bookmarkStart w:id="4486" w:name="Bookmark_para_6_26"/>
      <w:bookmarkStart w:id="4487" w:name="Bookmark_LNHNREFclscc1_22"/>
      <w:bookmarkEnd w:id="4486"/>
      <w:bookmarkEnd w:id="4487"/>
      <w:r>
        <w:rPr>
          <w:rFonts w:ascii="Arial" w:eastAsia="Arial" w:hAnsi="Arial" w:cs="Arial"/>
          <w:color w:val="000000"/>
          <w:sz w:val="20"/>
        </w:rPr>
        <w:t>Title III provides that "[n]o individual shall be discriminated against on the basis of disability" in "any place of public accommodation." 42 U.S.C. § 12182(a). In her  [*819]  amended complaint,</w:t>
      </w:r>
      <w:r>
        <w:rPr>
          <w:rFonts w:ascii="Arial" w:eastAsia="Arial" w:hAnsi="Arial" w:cs="Arial"/>
          <w:vertAlign w:val="superscript"/>
        </w:rPr>
        <w:footnoteReference w:customMarkFollows="1" w:id="197"/>
        <w:t>1</w:t>
      </w:r>
      <w:r>
        <w:rPr>
          <w:rFonts w:ascii="Arial" w:eastAsia="Arial" w:hAnsi="Arial" w:cs="Arial"/>
          <w:color w:val="000000"/>
          <w:sz w:val="20"/>
        </w:rPr>
        <w:t xml:space="preserve"> Plaintiff indicated she was both a bona fide patron of Port of Call as well as a "tester" for ADA accommodations, by which she advocates for herself and other disabled persons. Plaintiff alleges she encountered architectural and other barriers that caused her to be barred from accessing all of the premises and otherwise caused her humiliation, including: missing handicapped parking signs, lack of accessible routes to different store levels, merchandise obstructing wheelchair access in aisles, inaccessible and otherwise non-ADA compliant restrooms, and unsecured floor mats.</w:t>
      </w:r>
    </w:p>
    <w:p w:rsidR="00E456CD" w:rsidRDefault="00000000">
      <w:pPr>
        <w:pStyle w:val="Normal27"/>
        <w:widowControl w:val="0"/>
        <w:spacing w:before="240" w:line="260" w:lineRule="atLeast"/>
      </w:pPr>
      <w:r>
        <w:br/>
      </w:r>
      <w:r>
        <w:rPr>
          <w:rFonts w:ascii="Arial" w:eastAsia="Arial" w:hAnsi="Arial" w:cs="Arial"/>
          <w:b/>
          <w:color w:val="000000"/>
          <w:sz w:val="20"/>
        </w:rPr>
        <w:t>B. Defendants' Motion to Dismiss</w:t>
      </w:r>
    </w:p>
    <w:p w:rsidR="00E456CD" w:rsidRDefault="00000000">
      <w:pPr>
        <w:pStyle w:val="Normal27"/>
        <w:widowControl w:val="0"/>
        <w:spacing w:before="200" w:line="260" w:lineRule="atLeast"/>
        <w:jc w:val="both"/>
      </w:pPr>
      <w:bookmarkStart w:id="4489" w:name="Bookmark_para_7_25"/>
      <w:bookmarkEnd w:id="4489"/>
      <w:r>
        <w:rPr>
          <w:rFonts w:ascii="Arial" w:eastAsia="Arial" w:hAnsi="Arial" w:cs="Arial"/>
          <w:color w:val="000000"/>
          <w:sz w:val="20"/>
        </w:rPr>
        <w:t xml:space="preserve">Defendants moved to dismiss Plaintiff's amended [**3]  complaint for failure to state a claim and for lack of standing or, in the alternative, moved for summary judgment. In this challenge to the amended complaint, Defendants raised a factual challenge to subject matter jurisdiction. Defendants challenged Plaintiff's ability to show a real and immediate threat of future injury on the basis that she most likely would not return to Port of Call and face future discrimination. </w:t>
      </w:r>
      <w:bookmarkStart w:id="4490" w:name="Bookmark_I5SDY6KW2SF8SS0020000400"/>
      <w:bookmarkEnd w:id="4490"/>
      <w:r>
        <w:rPr>
          <w:rFonts w:ascii="Arial" w:eastAsia="Arial" w:hAnsi="Arial" w:cs="Arial"/>
          <w:color w:val="000000"/>
          <w:sz w:val="20"/>
        </w:rPr>
        <w:t xml:space="preserve">Defendants stressed Plaintiff lives approximately 175 miles away from the premises, that she had only visited the premises once before, that she provided only "generalized allegations" of her plan(s) to return to the store, and that she failed to detail how frequently she travels in the area where the store is located. In essence, Defendants argued Plaintiff failed to meet the factors of the "proximity test" employed by district courts throughout this circuit. </w:t>
      </w:r>
      <w:r>
        <w:rPr>
          <w:rFonts w:ascii="Arial" w:eastAsia="Arial" w:hAnsi="Arial" w:cs="Arial"/>
          <w:i/>
          <w:color w:val="000000"/>
          <w:sz w:val="20"/>
        </w:rPr>
        <w:t xml:space="preserve">See </w:t>
      </w:r>
      <w:bookmarkStart w:id="4491" w:name="Bookmark_I5SDY6KW2SF8SS0010000400"/>
      <w:bookmarkEnd w:id="4491"/>
      <w:r>
        <w:rPr>
          <w:rFonts w:ascii="Arial" w:eastAsia="Arial" w:hAnsi="Arial" w:cs="Arial"/>
          <w:i/>
          <w:color w:val="000000"/>
          <w:sz w:val="20"/>
        </w:rPr>
        <w:t>Silva v. Baptist Health S. Fla., Inc.</w:t>
      </w:r>
      <w:r>
        <w:rPr>
          <w:rFonts w:ascii="Arial" w:eastAsia="Arial" w:hAnsi="Arial" w:cs="Arial"/>
          <w:color w:val="000000"/>
          <w:sz w:val="20"/>
        </w:rPr>
        <w:t xml:space="preserve">, 856 F.3d 824, 832 (11th Cir. 2017); </w:t>
      </w:r>
      <w:bookmarkStart w:id="4492" w:name="Bookmark_I5SDY6KW2SF8SS0030000400"/>
      <w:bookmarkEnd w:id="4492"/>
      <w:r>
        <w:rPr>
          <w:rFonts w:ascii="Arial" w:eastAsia="Arial" w:hAnsi="Arial" w:cs="Arial"/>
          <w:i/>
          <w:color w:val="000000"/>
          <w:sz w:val="20"/>
        </w:rPr>
        <w:t>Houston v. Marod Supermarkets, Inc.</w:t>
      </w:r>
      <w:r>
        <w:rPr>
          <w:rFonts w:ascii="Arial" w:eastAsia="Arial" w:hAnsi="Arial" w:cs="Arial"/>
          <w:color w:val="000000"/>
          <w:sz w:val="20"/>
        </w:rPr>
        <w:t xml:space="preserve">, 733 F.3d 1323, 1336-37 (11th Cir. 2013); </w:t>
      </w:r>
      <w:bookmarkStart w:id="4493" w:name="Bookmark_I5SDY6KW2SF8SS0050000400"/>
      <w:bookmarkEnd w:id="4493"/>
      <w:r>
        <w:rPr>
          <w:rFonts w:ascii="Arial" w:eastAsia="Arial" w:hAnsi="Arial" w:cs="Arial"/>
          <w:i/>
          <w:color w:val="000000"/>
          <w:sz w:val="20"/>
        </w:rPr>
        <w:t>Nanni v. Aberdeen Marketplace, Inc.</w:t>
      </w:r>
      <w:r>
        <w:rPr>
          <w:rFonts w:ascii="Arial" w:eastAsia="Arial" w:hAnsi="Arial" w:cs="Arial"/>
          <w:color w:val="000000"/>
          <w:sz w:val="20"/>
        </w:rPr>
        <w:t xml:space="preserve">, 878 F.3d 447, 455-56 (4th Cir. 2017) (citing favorably to </w:t>
      </w:r>
      <w:r>
        <w:rPr>
          <w:rFonts w:ascii="Arial" w:eastAsia="Arial" w:hAnsi="Arial" w:cs="Arial"/>
          <w:i/>
          <w:color w:val="000000"/>
          <w:sz w:val="20"/>
        </w:rPr>
        <w:t>Houston</w:t>
      </w:r>
      <w:r>
        <w:rPr>
          <w:rFonts w:ascii="Arial" w:eastAsia="Arial" w:hAnsi="Arial" w:cs="Arial"/>
          <w:color w:val="000000"/>
          <w:sz w:val="20"/>
        </w:rPr>
        <w:t xml:space="preserve"> and other circuit court decisions for application of the proximity or similar tests).</w:t>
      </w:r>
    </w:p>
    <w:p w:rsidR="00E456CD" w:rsidRDefault="00000000">
      <w:pPr>
        <w:pStyle w:val="Normal27"/>
        <w:widowControl w:val="0"/>
        <w:spacing w:before="200" w:line="260" w:lineRule="atLeast"/>
        <w:jc w:val="both"/>
      </w:pPr>
      <w:bookmarkStart w:id="4494" w:name="Bookmark_para_8_25"/>
      <w:bookmarkStart w:id="4495" w:name="Bookmark_I5SDY6KW2N1RTC0030000400"/>
      <w:bookmarkEnd w:id="4494"/>
      <w:bookmarkEnd w:id="4495"/>
      <w:r>
        <w:rPr>
          <w:rFonts w:ascii="Arial" w:eastAsia="Arial" w:hAnsi="Arial" w:cs="Arial"/>
          <w:color w:val="000000"/>
          <w:sz w:val="20"/>
        </w:rPr>
        <w:t xml:space="preserve">In response to Defendants' motion, Plaintiff filed an affidavit providing details about her visit to Port of Call and her future plans to revisit the store and the general Cocoa Beach area. [**4]  In that document, Plaintiff stated she first visited the Port of Call premises on February 15, 2017 and then returned on July 19, 2017. </w:t>
      </w:r>
      <w:bookmarkStart w:id="4496" w:name="Bookmark_I5SDY6KW2N1RTC0050000400"/>
      <w:bookmarkEnd w:id="4496"/>
      <w:r>
        <w:rPr>
          <w:rFonts w:ascii="Arial" w:eastAsia="Arial" w:hAnsi="Arial" w:cs="Arial"/>
          <w:color w:val="000000"/>
          <w:sz w:val="20"/>
        </w:rPr>
        <w:t>[R. 22-1 at ¶ 4]. Plaintiff stated she "travel[s] along the Florida East Coast frequently," including at least ten visits to the Cocoa Beach area "in the past several months" and "at least 50 times over the course of my lifetime." [</w:t>
      </w:r>
      <w:bookmarkStart w:id="4497" w:name="Bookmark_I5SDY6KW2N1RTC0020000400"/>
      <w:bookmarkEnd w:id="4497"/>
      <w:r>
        <w:rPr>
          <w:rFonts w:ascii="Arial" w:eastAsia="Arial" w:hAnsi="Arial" w:cs="Arial"/>
          <w:i/>
          <w:color w:val="000000"/>
          <w:sz w:val="20"/>
        </w:rPr>
        <w:t>Id.</w:t>
      </w:r>
      <w:r>
        <w:rPr>
          <w:rFonts w:ascii="Arial" w:eastAsia="Arial" w:hAnsi="Arial" w:cs="Arial"/>
          <w:color w:val="000000"/>
          <w:sz w:val="20"/>
        </w:rPr>
        <w:t xml:space="preserve"> at ¶ 2]. </w:t>
      </w:r>
      <w:bookmarkStart w:id="4498" w:name="Bookmark_I5SDY6KW2N1RTC0050000400_2"/>
      <w:bookmarkEnd w:id="4498"/>
      <w:r>
        <w:rPr>
          <w:rFonts w:ascii="Arial" w:eastAsia="Arial" w:hAnsi="Arial" w:cs="Arial"/>
          <w:color w:val="000000"/>
          <w:sz w:val="20"/>
        </w:rPr>
        <w:t xml:space="preserve">Further, she indicated she "will continue to visit the area on a frequent basis[.]" </w:t>
      </w:r>
      <w:r>
        <w:rPr>
          <w:rFonts w:ascii="Arial" w:eastAsia="Arial" w:hAnsi="Arial" w:cs="Arial"/>
          <w:i/>
          <w:color w:val="000000"/>
          <w:sz w:val="20"/>
        </w:rPr>
        <w:t>Id.</w:t>
      </w:r>
      <w:r>
        <w:rPr>
          <w:rFonts w:ascii="Arial" w:eastAsia="Arial" w:hAnsi="Arial" w:cs="Arial"/>
          <w:color w:val="000000"/>
          <w:sz w:val="20"/>
        </w:rPr>
        <w:t xml:space="preserve"> She indicated she "plan[s] to return to the property in the future" so that she can "shop, dine, and . . . monitor its ADA conditions." [</w:t>
      </w:r>
      <w:bookmarkStart w:id="4499" w:name="Bookmark_I5SDY6KW2N1RTC0040000400"/>
      <w:bookmarkEnd w:id="4499"/>
      <w:r>
        <w:rPr>
          <w:rFonts w:ascii="Arial" w:eastAsia="Arial" w:hAnsi="Arial" w:cs="Arial"/>
          <w:i/>
          <w:color w:val="000000"/>
          <w:sz w:val="20"/>
        </w:rPr>
        <w:t>Id.</w:t>
      </w:r>
      <w:r>
        <w:rPr>
          <w:rFonts w:ascii="Arial" w:eastAsia="Arial" w:hAnsi="Arial" w:cs="Arial"/>
          <w:color w:val="000000"/>
          <w:sz w:val="20"/>
        </w:rPr>
        <w:t xml:space="preserve"> at ¶ 6].</w:t>
      </w:r>
    </w:p>
    <w:p w:rsidR="00E456CD" w:rsidRDefault="00000000">
      <w:pPr>
        <w:pStyle w:val="Normal27"/>
        <w:widowControl w:val="0"/>
        <w:spacing w:before="240" w:line="260" w:lineRule="atLeast"/>
      </w:pPr>
      <w:r>
        <w:br/>
      </w:r>
      <w:r>
        <w:rPr>
          <w:rFonts w:ascii="Arial" w:eastAsia="Arial" w:hAnsi="Arial" w:cs="Arial"/>
          <w:b/>
          <w:color w:val="000000"/>
          <w:sz w:val="20"/>
        </w:rPr>
        <w:t>C. Procedural History</w:t>
      </w:r>
    </w:p>
    <w:p w:rsidR="00E456CD" w:rsidRDefault="00000000">
      <w:pPr>
        <w:pStyle w:val="Normal27"/>
        <w:widowControl w:val="0"/>
        <w:spacing w:before="200" w:line="260" w:lineRule="atLeast"/>
        <w:jc w:val="both"/>
      </w:pPr>
      <w:bookmarkStart w:id="4500" w:name="Bookmark_para_9_25"/>
      <w:bookmarkEnd w:id="4500"/>
      <w:r>
        <w:rPr>
          <w:rFonts w:ascii="Arial" w:eastAsia="Arial" w:hAnsi="Arial" w:cs="Arial"/>
          <w:color w:val="000000"/>
          <w:sz w:val="20"/>
        </w:rPr>
        <w:t>The district court granted Defendants' motion to dismiss for lack of subject matter jurisdiction and dismissed the complaint with prejudice on September 25, 2017. In its order, the district court found Plaintiff lacked standing because she could  [*820]  not demonstrate redressability. [R. 25 at 4]. In addressing this final element of standing, the district court determined Plaintiff could not satisfy the four-factor proximity test. In doing so, the district court found Plaintiff's residence approximately 175 miles away from Cocoa Beach, in combination with her one [**5]  visit to the store before she filed her suit, did not weigh in her favor. Further, the district court characterized Plaintiff's generalized plans to revisit "someday" to be insufficient to shift the totality of the circumstances in her favor. After finding Plaintiff most likely did not face a continuing threat of discrimination at Port of Call, the district court dismissed her complaint for her lack of standing. Plaintiff thereafter perfected this appeal.</w:t>
      </w:r>
    </w:p>
    <w:p w:rsidR="00E456CD" w:rsidRDefault="00000000">
      <w:pPr>
        <w:pStyle w:val="Normal27"/>
        <w:widowControl w:val="0"/>
        <w:spacing w:before="240" w:line="260" w:lineRule="atLeast"/>
      </w:pPr>
      <w:r>
        <w:br/>
      </w:r>
      <w:r>
        <w:rPr>
          <w:rFonts w:ascii="Arial" w:eastAsia="Arial" w:hAnsi="Arial" w:cs="Arial"/>
          <w:b/>
          <w:color w:val="000000"/>
          <w:sz w:val="20"/>
        </w:rPr>
        <w:t xml:space="preserve">II. </w:t>
      </w:r>
      <w:r>
        <w:rPr>
          <w:rFonts w:ascii="Arial" w:eastAsia="Arial" w:hAnsi="Arial" w:cs="Arial"/>
          <w:b/>
          <w:smallCaps/>
          <w:color w:val="000000"/>
          <w:sz w:val="20"/>
        </w:rPr>
        <w:t>Standard of Review</w:t>
      </w:r>
    </w:p>
    <w:p w:rsidR="00E456CD" w:rsidRDefault="00000000">
      <w:pPr>
        <w:pStyle w:val="Normal27"/>
        <w:widowControl w:val="0"/>
        <w:spacing w:before="200" w:line="260" w:lineRule="atLeast"/>
        <w:jc w:val="both"/>
      </w:pPr>
      <w:bookmarkStart w:id="4501" w:name="Bookmark_para_10_24"/>
      <w:bookmarkStart w:id="4502" w:name="Bookmark_I08KPGCS43T0010D78V000C2"/>
      <w:bookmarkStart w:id="4503" w:name="Bookmark_I5SDY6KW2HM6C80020000400"/>
      <w:bookmarkStart w:id="4504" w:name="Bookmark_I5SDY6KW2HM6C80040000400"/>
      <w:bookmarkStart w:id="4505" w:name="Bookmark_LNHNREFclscc2_22"/>
      <w:bookmarkEnd w:id="4501"/>
      <w:bookmarkEnd w:id="4502"/>
      <w:bookmarkEnd w:id="4503"/>
      <w:bookmarkEnd w:id="4504"/>
      <w:bookmarkEnd w:id="4505"/>
      <w:r>
        <w:rPr>
          <w:rFonts w:ascii="Arial" w:eastAsia="Arial" w:hAnsi="Arial" w:cs="Arial"/>
          <w:color w:val="000000"/>
          <w:sz w:val="20"/>
        </w:rPr>
        <w:t xml:space="preserve">"In reviewing a district court's dismissal of a complaint under Rule 12(b)(1) for lack of subject matter jurisdiction, we review the district court's legal conclusions </w:t>
      </w:r>
      <w:r>
        <w:rPr>
          <w:rFonts w:ascii="Arial" w:eastAsia="Arial" w:hAnsi="Arial" w:cs="Arial"/>
          <w:i/>
          <w:color w:val="000000"/>
          <w:sz w:val="20"/>
        </w:rPr>
        <w:t>de novo</w:t>
      </w:r>
      <w:r>
        <w:rPr>
          <w:rFonts w:ascii="Arial" w:eastAsia="Arial" w:hAnsi="Arial" w:cs="Arial"/>
          <w:color w:val="000000"/>
          <w:sz w:val="20"/>
        </w:rPr>
        <w:t xml:space="preserve">, including the court's conclusion concerning standing." </w:t>
      </w:r>
      <w:bookmarkStart w:id="4506" w:name="Bookmark_I5SDY6KW2HM6C80010000400"/>
      <w:bookmarkEnd w:id="4506"/>
      <w:r>
        <w:rPr>
          <w:rFonts w:ascii="Arial" w:eastAsia="Arial" w:hAnsi="Arial" w:cs="Arial"/>
          <w:i/>
          <w:color w:val="000000"/>
          <w:sz w:val="20"/>
        </w:rPr>
        <w:t>Houston v. Marod Supermarkets, Inc.</w:t>
      </w:r>
      <w:r>
        <w:rPr>
          <w:rFonts w:ascii="Arial" w:eastAsia="Arial" w:hAnsi="Arial" w:cs="Arial"/>
          <w:color w:val="000000"/>
          <w:sz w:val="20"/>
        </w:rPr>
        <w:t xml:space="preserve">, 733 F.3d 1323, 1328 (11th Cir. 2013). "We review the district court's 'findings of jurisdictional facts for clear error.'" </w:t>
      </w:r>
      <w:r>
        <w:rPr>
          <w:rFonts w:ascii="Arial" w:eastAsia="Arial" w:hAnsi="Arial" w:cs="Arial"/>
          <w:i/>
          <w:color w:val="000000"/>
          <w:sz w:val="20"/>
        </w:rPr>
        <w:t>Id.</w:t>
      </w:r>
      <w:r>
        <w:rPr>
          <w:rFonts w:ascii="Arial" w:eastAsia="Arial" w:hAnsi="Arial" w:cs="Arial"/>
          <w:color w:val="000000"/>
          <w:sz w:val="20"/>
        </w:rPr>
        <w:t xml:space="preserve"> (quoting </w:t>
      </w:r>
      <w:bookmarkStart w:id="4507" w:name="Bookmark_I5SDY6KW2HM6C80030000400"/>
      <w:bookmarkEnd w:id="4507"/>
      <w:r>
        <w:rPr>
          <w:rFonts w:ascii="Arial" w:eastAsia="Arial" w:hAnsi="Arial" w:cs="Arial"/>
          <w:i/>
          <w:color w:val="000000"/>
          <w:sz w:val="20"/>
        </w:rPr>
        <w:t>City of Vestavia Hills v. Gen. Fidelity Ins. Co.</w:t>
      </w:r>
      <w:r>
        <w:rPr>
          <w:rFonts w:ascii="Arial" w:eastAsia="Arial" w:hAnsi="Arial" w:cs="Arial"/>
          <w:color w:val="000000"/>
          <w:sz w:val="20"/>
        </w:rPr>
        <w:t>, 676 F.3d 1310, 1313 (11th Cir. 2012)).</w:t>
      </w:r>
    </w:p>
    <w:p w:rsidR="00E456CD" w:rsidRDefault="00000000">
      <w:pPr>
        <w:pStyle w:val="Normal27"/>
        <w:widowControl w:val="0"/>
        <w:spacing w:before="240" w:line="260" w:lineRule="atLeast"/>
      </w:pPr>
      <w:r>
        <w:br/>
      </w:r>
      <w:r>
        <w:rPr>
          <w:rFonts w:ascii="Arial" w:eastAsia="Arial" w:hAnsi="Arial" w:cs="Arial"/>
          <w:b/>
          <w:color w:val="000000"/>
          <w:sz w:val="20"/>
        </w:rPr>
        <w:t xml:space="preserve">III. </w:t>
      </w:r>
      <w:r>
        <w:rPr>
          <w:rFonts w:ascii="Arial" w:eastAsia="Arial" w:hAnsi="Arial" w:cs="Arial"/>
          <w:b/>
          <w:smallCaps/>
          <w:color w:val="000000"/>
          <w:sz w:val="20"/>
        </w:rPr>
        <w:t>Discussion</w:t>
      </w:r>
    </w:p>
    <w:p w:rsidR="00E456CD" w:rsidRDefault="00000000">
      <w:pPr>
        <w:pStyle w:val="Normal27"/>
        <w:widowControl w:val="0"/>
        <w:spacing w:before="240" w:line="260" w:lineRule="atLeast"/>
      </w:pPr>
      <w:r>
        <w:br/>
      </w:r>
      <w:r>
        <w:rPr>
          <w:rFonts w:ascii="Arial" w:eastAsia="Arial" w:hAnsi="Arial" w:cs="Arial"/>
          <w:b/>
          <w:color w:val="000000"/>
          <w:sz w:val="20"/>
        </w:rPr>
        <w:t>A. Article III Standing Requirements</w:t>
      </w:r>
    </w:p>
    <w:p w:rsidR="00E456CD" w:rsidRDefault="00000000">
      <w:pPr>
        <w:pStyle w:val="Normal27"/>
        <w:widowControl w:val="0"/>
        <w:spacing w:before="200" w:line="260" w:lineRule="atLeast"/>
        <w:jc w:val="both"/>
      </w:pPr>
      <w:bookmarkStart w:id="4508" w:name="Bookmark_para_11_24"/>
      <w:bookmarkStart w:id="4509" w:name="Bookmark_I08KPGCSF1T0010D78V000C5"/>
      <w:bookmarkStart w:id="4510" w:name="Bookmark_I5SDY6KW2D6NNC0010000400"/>
      <w:bookmarkStart w:id="4511" w:name="Bookmark_LNHNREFclscc3_20"/>
      <w:bookmarkEnd w:id="4508"/>
      <w:bookmarkEnd w:id="4509"/>
      <w:bookmarkEnd w:id="4510"/>
      <w:bookmarkEnd w:id="4511"/>
      <w:r>
        <w:rPr>
          <w:rFonts w:ascii="Arial" w:eastAsia="Arial" w:hAnsi="Arial" w:cs="Arial"/>
          <w:color w:val="000000"/>
          <w:sz w:val="20"/>
        </w:rPr>
        <w:t xml:space="preserve">In order to satisfy the requirements for Article III standing under the Constitution, Plaintiff must satisfy three requirements: (1) injury-in-fact, (2) "a causal connection between the asserted injury-in-fact and the challenged action of" Defendants, and (3) "that the injury will be redressed by a favorable decision." </w:t>
      </w:r>
      <w:bookmarkStart w:id="4512" w:name="Bookmark_I5SDY6KW2HM6C80050000400"/>
      <w:bookmarkEnd w:id="4512"/>
      <w:r>
        <w:rPr>
          <w:rFonts w:ascii="Arial" w:eastAsia="Arial" w:hAnsi="Arial" w:cs="Arial"/>
          <w:i/>
          <w:color w:val="000000"/>
          <w:sz w:val="20"/>
        </w:rPr>
        <w:t>Houston</w:t>
      </w:r>
      <w:r>
        <w:rPr>
          <w:rFonts w:ascii="Arial" w:eastAsia="Arial" w:hAnsi="Arial" w:cs="Arial"/>
          <w:color w:val="000000"/>
          <w:sz w:val="20"/>
        </w:rPr>
        <w:t xml:space="preserve">, 733 F.3d at 1328 (internal marks and citations [**6]  omitted); </w:t>
      </w:r>
      <w:r>
        <w:rPr>
          <w:rFonts w:ascii="Arial" w:eastAsia="Arial" w:hAnsi="Arial" w:cs="Arial"/>
          <w:i/>
          <w:color w:val="000000"/>
          <w:sz w:val="20"/>
        </w:rPr>
        <w:t xml:space="preserve">see also </w:t>
      </w:r>
      <w:bookmarkStart w:id="4513" w:name="Bookmark_I5SDY6KW2D6NNC0020000400"/>
      <w:bookmarkEnd w:id="4513"/>
      <w:r>
        <w:rPr>
          <w:rFonts w:ascii="Arial" w:eastAsia="Arial" w:hAnsi="Arial" w:cs="Arial"/>
          <w:i/>
          <w:color w:val="000000"/>
          <w:sz w:val="20"/>
        </w:rPr>
        <w:t>Lujan v. Defenders of Wildlife</w:t>
      </w:r>
      <w:r>
        <w:rPr>
          <w:rFonts w:ascii="Arial" w:eastAsia="Arial" w:hAnsi="Arial" w:cs="Arial"/>
          <w:color w:val="000000"/>
          <w:sz w:val="20"/>
        </w:rPr>
        <w:t>, 504 U.S. 555, 560, 112 S. Ct. 2130, 119 L. Ed. 2d 351 (1992). The second and third elements of standing are easily met and are not challenged on appeal. We conclude Plaintiff has adequately shown both causation and redressability.</w:t>
      </w:r>
      <w:r>
        <w:rPr>
          <w:rFonts w:ascii="Arial" w:eastAsia="Arial" w:hAnsi="Arial" w:cs="Arial"/>
          <w:vertAlign w:val="superscript"/>
        </w:rPr>
        <w:footnoteReference w:customMarkFollows="1" w:id="198"/>
        <w:t>2</w:t>
      </w:r>
    </w:p>
    <w:p w:rsidR="00E456CD" w:rsidRDefault="00000000">
      <w:pPr>
        <w:pStyle w:val="Normal27"/>
        <w:widowControl w:val="0"/>
        <w:spacing w:before="200" w:line="260" w:lineRule="atLeast"/>
        <w:jc w:val="both"/>
      </w:pPr>
      <w:bookmarkStart w:id="4518" w:name="Bookmark_para_12_23"/>
      <w:bookmarkStart w:id="4519" w:name="Bookmark_I08KPGCST7H0010D78V000C7"/>
      <w:bookmarkStart w:id="4520" w:name="Bookmark_I5SDY6KW2D6NND0040000400"/>
      <w:bookmarkEnd w:id="4518"/>
      <w:bookmarkEnd w:id="4519"/>
      <w:bookmarkEnd w:id="4520"/>
      <w:r>
        <w:rPr>
          <w:rFonts w:ascii="Arial" w:eastAsia="Arial" w:hAnsi="Arial" w:cs="Arial"/>
          <w:color w:val="000000"/>
          <w:sz w:val="20"/>
        </w:rPr>
        <w:t xml:space="preserve">The hurdle Plaintiff faces, thus, is the question of whether Plaintiff suffered an injury-in-fact. </w:t>
      </w:r>
      <w:bookmarkStart w:id="4521" w:name="Bookmark_I5SDY6KW28T4G80010000400"/>
      <w:bookmarkEnd w:id="4521"/>
      <w:r>
        <w:rPr>
          <w:rFonts w:ascii="Arial" w:eastAsia="Arial" w:hAnsi="Arial" w:cs="Arial"/>
          <w:i/>
          <w:color w:val="000000"/>
          <w:sz w:val="20"/>
        </w:rPr>
        <w:t xml:space="preserve">See </w:t>
      </w:r>
      <w:bookmarkStart w:id="4522" w:name="Bookmark_I5SDY6KW2D6NND0030000400"/>
      <w:bookmarkEnd w:id="4522"/>
      <w:r>
        <w:rPr>
          <w:rFonts w:ascii="Arial" w:eastAsia="Arial" w:hAnsi="Arial" w:cs="Arial"/>
          <w:i/>
          <w:color w:val="000000"/>
          <w:sz w:val="20"/>
        </w:rPr>
        <w:t>Houston</w:t>
      </w:r>
      <w:r>
        <w:rPr>
          <w:rFonts w:ascii="Arial" w:eastAsia="Arial" w:hAnsi="Arial" w:cs="Arial"/>
          <w:color w:val="000000"/>
          <w:sz w:val="20"/>
        </w:rPr>
        <w:t>, 733 F.3d at 1328.</w:t>
      </w:r>
      <w:bookmarkStart w:id="4523" w:name="Bookmark_LNHNREFclscc4_19"/>
      <w:bookmarkEnd w:id="4523"/>
      <w:r>
        <w:rPr>
          <w:rFonts w:ascii="Arial" w:eastAsia="Arial" w:hAnsi="Arial" w:cs="Arial"/>
          <w:color w:val="000000"/>
          <w:sz w:val="20"/>
        </w:rPr>
        <w:t xml:space="preserve"> </w:t>
      </w:r>
      <w:bookmarkStart w:id="4524" w:name="Bookmark_I5SDY6KW28T4G80050000400"/>
      <w:bookmarkEnd w:id="4524"/>
      <w:r>
        <w:rPr>
          <w:rFonts w:ascii="Arial" w:eastAsia="Arial" w:hAnsi="Arial" w:cs="Arial"/>
          <w:color w:val="000000"/>
          <w:sz w:val="20"/>
        </w:rPr>
        <w:t xml:space="preserve">In order to meet the constitutional requirements for standing in a suit seeking injunctive relief, Plaintiff must do more than show that she was injured in the past; rather, she must also demonstrate "a sufficient likelihood that [s]he will be affected by the allegedly unlawful conduct in the future." </w:t>
      </w:r>
      <w:r>
        <w:rPr>
          <w:rFonts w:ascii="Arial" w:eastAsia="Arial" w:hAnsi="Arial" w:cs="Arial"/>
          <w:i/>
          <w:color w:val="000000"/>
          <w:sz w:val="20"/>
        </w:rPr>
        <w:t>Id.</w:t>
      </w:r>
      <w:r>
        <w:rPr>
          <w:rFonts w:ascii="Arial" w:eastAsia="Arial" w:hAnsi="Arial" w:cs="Arial"/>
          <w:color w:val="000000"/>
          <w:sz w:val="20"/>
        </w:rPr>
        <w:t xml:space="preserve"> (internal marks and citation omitted). </w:t>
      </w:r>
      <w:bookmarkStart w:id="4525" w:name="Bookmark_I5SDY6KW28T4G80050000400_2"/>
      <w:bookmarkStart w:id="4526" w:name="Bookmark_I5SDY6KW28T4G80010000400_2"/>
      <w:bookmarkEnd w:id="4525"/>
      <w:bookmarkEnd w:id="4526"/>
      <w:r>
        <w:rPr>
          <w:rFonts w:ascii="Arial" w:eastAsia="Arial" w:hAnsi="Arial" w:cs="Arial"/>
          <w:color w:val="000000"/>
          <w:sz w:val="20"/>
        </w:rPr>
        <w:t xml:space="preserve">To do so, Plaintiff must "show[ ] 'a real and immediate—as opposed to a merely conjectural or hypothetical—threat of </w:t>
      </w:r>
      <w:r>
        <w:rPr>
          <w:rFonts w:ascii="Arial" w:eastAsia="Arial" w:hAnsi="Arial" w:cs="Arial"/>
          <w:i/>
          <w:color w:val="000000"/>
          <w:sz w:val="20"/>
        </w:rPr>
        <w:t>future</w:t>
      </w:r>
      <w:r>
        <w:rPr>
          <w:rFonts w:ascii="Arial" w:eastAsia="Arial" w:hAnsi="Arial" w:cs="Arial"/>
          <w:color w:val="000000"/>
          <w:sz w:val="20"/>
        </w:rPr>
        <w:t xml:space="preserve"> injury.'" </w:t>
      </w:r>
      <w:bookmarkStart w:id="4527" w:name="Bookmark_I5SDY6KW2D6NND0050000400"/>
      <w:bookmarkEnd w:id="4527"/>
      <w:r>
        <w:rPr>
          <w:rFonts w:ascii="Arial" w:eastAsia="Arial" w:hAnsi="Arial" w:cs="Arial"/>
          <w:i/>
          <w:color w:val="000000"/>
          <w:sz w:val="20"/>
        </w:rPr>
        <w:t>Id.</w:t>
      </w:r>
      <w:r>
        <w:rPr>
          <w:rFonts w:ascii="Arial" w:eastAsia="Arial" w:hAnsi="Arial" w:cs="Arial"/>
          <w:color w:val="000000"/>
          <w:sz w:val="20"/>
        </w:rPr>
        <w:t xml:space="preserve"> at 1329 (quoting </w:t>
      </w:r>
      <w:bookmarkStart w:id="4528" w:name="Bookmark_I5SDY6KW28T4G80020000400"/>
      <w:bookmarkEnd w:id="4528"/>
      <w:r>
        <w:rPr>
          <w:rFonts w:ascii="Arial" w:eastAsia="Arial" w:hAnsi="Arial" w:cs="Arial"/>
          <w:i/>
          <w:color w:val="000000"/>
          <w:sz w:val="20"/>
        </w:rPr>
        <w:t>Shotz v. Cates</w:t>
      </w:r>
      <w:r>
        <w:rPr>
          <w:rFonts w:ascii="Arial" w:eastAsia="Arial" w:hAnsi="Arial" w:cs="Arial"/>
          <w:color w:val="000000"/>
          <w:sz w:val="20"/>
        </w:rPr>
        <w:t xml:space="preserve">, 256 F.3d 1077, 1081 (11th Cir. 2001) (emphasis in the original)). Thus, "to have standing, Plaintiff [Kennedy] must show past injury and a real and immediate threat of future injury." </w:t>
      </w:r>
      <w:r>
        <w:rPr>
          <w:rFonts w:ascii="Arial" w:eastAsia="Arial" w:hAnsi="Arial" w:cs="Arial"/>
          <w:i/>
          <w:color w:val="000000"/>
          <w:sz w:val="20"/>
        </w:rPr>
        <w:t>Id.</w:t>
      </w:r>
      <w:r>
        <w:rPr>
          <w:rFonts w:ascii="Arial" w:eastAsia="Arial" w:hAnsi="Arial" w:cs="Arial"/>
          <w:color w:val="000000"/>
          <w:sz w:val="20"/>
        </w:rPr>
        <w:t xml:space="preserve"> As this court recently noted, "[i]n the ADA context, our standing inquiry has focused on the frequency of the plaintiff's visits to the defendant's business and the definitiveness of the plaintiff's plan to return." </w:t>
      </w:r>
      <w:bookmarkStart w:id="4529" w:name="Bookmark_I5SDY6KW28T4G80040000400"/>
      <w:bookmarkEnd w:id="4529"/>
      <w:r>
        <w:rPr>
          <w:rFonts w:ascii="Arial" w:eastAsia="Arial" w:hAnsi="Arial" w:cs="Arial"/>
          <w:i/>
          <w:color w:val="000000"/>
          <w:sz w:val="20"/>
        </w:rPr>
        <w:t>Silva</w:t>
      </w:r>
      <w:r>
        <w:rPr>
          <w:rFonts w:ascii="Arial" w:eastAsia="Arial" w:hAnsi="Arial" w:cs="Arial"/>
          <w:color w:val="000000"/>
          <w:sz w:val="20"/>
        </w:rPr>
        <w:t xml:space="preserve">, 856 F.3d at 832 (citing </w:t>
      </w:r>
      <w:bookmarkStart w:id="4530" w:name="Bookmark_I5SDY6KW2SF8ST0010000400"/>
      <w:bookmarkEnd w:id="4530"/>
      <w:r>
        <w:rPr>
          <w:rFonts w:ascii="Arial" w:eastAsia="Arial" w:hAnsi="Arial" w:cs="Arial"/>
          <w:i/>
          <w:color w:val="000000"/>
          <w:sz w:val="20"/>
        </w:rPr>
        <w:t>Houston</w:t>
      </w:r>
      <w:r>
        <w:rPr>
          <w:rFonts w:ascii="Arial" w:eastAsia="Arial" w:hAnsi="Arial" w:cs="Arial"/>
          <w:color w:val="000000"/>
          <w:sz w:val="20"/>
        </w:rPr>
        <w:t>, 733  [*821]  F.3d at 1337 n. 6) ("While we consider [**7]  each of the four factors [of the proximity test] in reaching our decision today, we note that these factors are not exclusive and that no single factor is dispositive. District courts must consider the totality of all relevant facts to determine whether a plaintiff faces a real and immediate threat of future injury.").</w:t>
      </w:r>
    </w:p>
    <w:p w:rsidR="00E456CD" w:rsidRDefault="00000000">
      <w:pPr>
        <w:pStyle w:val="Normal27"/>
        <w:widowControl w:val="0"/>
        <w:spacing w:before="240" w:line="260" w:lineRule="atLeast"/>
      </w:pPr>
      <w:r>
        <w:br/>
      </w:r>
      <w:r>
        <w:rPr>
          <w:rFonts w:ascii="Arial" w:eastAsia="Arial" w:hAnsi="Arial" w:cs="Arial"/>
          <w:b/>
          <w:color w:val="000000"/>
          <w:sz w:val="20"/>
        </w:rPr>
        <w:t>B. Article III Standing Analysis</w:t>
      </w:r>
    </w:p>
    <w:p w:rsidR="00E456CD" w:rsidRDefault="00000000">
      <w:pPr>
        <w:pStyle w:val="Normal27"/>
        <w:widowControl w:val="0"/>
        <w:spacing w:before="200" w:line="260" w:lineRule="atLeast"/>
        <w:jc w:val="both"/>
      </w:pPr>
      <w:bookmarkStart w:id="4531" w:name="Bookmark_para_13_21"/>
      <w:bookmarkStart w:id="4532" w:name="Bookmark_I5SDY6KW2SF8ST0040000400"/>
      <w:bookmarkStart w:id="4533" w:name="Bookmark_I5SDY6KW28T4G90010000400"/>
      <w:bookmarkStart w:id="4534" w:name="Bookmark_LNHNREFclscc5_18"/>
      <w:bookmarkEnd w:id="4531"/>
      <w:bookmarkEnd w:id="4532"/>
      <w:bookmarkEnd w:id="4533"/>
      <w:bookmarkEnd w:id="4534"/>
      <w:r>
        <w:rPr>
          <w:rFonts w:ascii="Arial" w:eastAsia="Arial" w:hAnsi="Arial" w:cs="Arial"/>
          <w:color w:val="000000"/>
          <w:sz w:val="20"/>
        </w:rPr>
        <w:t xml:space="preserve">"A defendant can move to dismiss a complaint under Rule 12(b)(1) for lack of subject matter jurisdiction by either facial or factual attack." </w:t>
      </w:r>
      <w:bookmarkStart w:id="4535" w:name="Bookmark_I5SDY6KW2SF8ST0030000400"/>
      <w:bookmarkEnd w:id="4535"/>
      <w:r>
        <w:rPr>
          <w:rFonts w:ascii="Arial" w:eastAsia="Arial" w:hAnsi="Arial" w:cs="Arial"/>
          <w:i/>
          <w:color w:val="000000"/>
          <w:sz w:val="20"/>
        </w:rPr>
        <w:t>Stalley ex rel. U.S. v. Orlando Reg'l Healthcare Sys., Inc.</w:t>
      </w:r>
      <w:r>
        <w:rPr>
          <w:rFonts w:ascii="Arial" w:eastAsia="Arial" w:hAnsi="Arial" w:cs="Arial"/>
          <w:color w:val="000000"/>
          <w:sz w:val="20"/>
        </w:rPr>
        <w:t xml:space="preserve">, 524 F.3d 1229, 1232 (11th Cir. 2008). In this case, Defendants challenged Plaintiff's standing on the basis of extrinsic material found outside of the amended complaint, namely in Plaintiff's affidavit and response to the district court's interrogatories. </w:t>
      </w:r>
      <w:r>
        <w:rPr>
          <w:rFonts w:ascii="Arial" w:eastAsia="Arial" w:hAnsi="Arial" w:cs="Arial"/>
          <w:i/>
          <w:color w:val="000000"/>
          <w:sz w:val="20"/>
        </w:rPr>
        <w:t>See id.</w:t>
      </w:r>
      <w:r>
        <w:rPr>
          <w:rFonts w:ascii="Arial" w:eastAsia="Arial" w:hAnsi="Arial" w:cs="Arial"/>
          <w:color w:val="000000"/>
          <w:sz w:val="20"/>
        </w:rPr>
        <w:t xml:space="preserve"> ("By contrast, a factual attack on a complaint challenges the existence of subject matter jurisdiction using material extrinsic from the pleadings, such as affidavits or testimony."); </w:t>
      </w:r>
      <w:r>
        <w:rPr>
          <w:rFonts w:ascii="Arial" w:eastAsia="Arial" w:hAnsi="Arial" w:cs="Arial"/>
          <w:i/>
          <w:color w:val="000000"/>
          <w:sz w:val="20"/>
        </w:rPr>
        <w:t xml:space="preserve">see also </w:t>
      </w:r>
      <w:bookmarkStart w:id="4536" w:name="Bookmark_I5SDY6KW2SF8ST0050000400"/>
      <w:bookmarkEnd w:id="4536"/>
      <w:r>
        <w:rPr>
          <w:rFonts w:ascii="Arial" w:eastAsia="Arial" w:hAnsi="Arial" w:cs="Arial"/>
          <w:i/>
          <w:color w:val="000000"/>
          <w:sz w:val="20"/>
        </w:rPr>
        <w:t>Houston</w:t>
      </w:r>
      <w:r>
        <w:rPr>
          <w:rFonts w:ascii="Arial" w:eastAsia="Arial" w:hAnsi="Arial" w:cs="Arial"/>
          <w:color w:val="000000"/>
          <w:sz w:val="20"/>
        </w:rPr>
        <w:t>, 733 F.3d at 1336. On this basis, we consider not only what Plaintiff has alleged in her amended complaint but also the factual information she provided in her court filings. Plaintiff, who lives approximately 175 miles away from the Cocoa Beach area, visited Defendants' store only once, in February 2017, before filing [**8]  her complaint in June 2017.</w:t>
      </w:r>
      <w:r>
        <w:rPr>
          <w:rFonts w:ascii="Arial" w:eastAsia="Arial" w:hAnsi="Arial" w:cs="Arial"/>
          <w:vertAlign w:val="superscript"/>
        </w:rPr>
        <w:footnoteReference w:customMarkFollows="1" w:id="199"/>
        <w:t>3</w:t>
      </w:r>
      <w:r>
        <w:rPr>
          <w:rFonts w:ascii="Arial" w:eastAsia="Arial" w:hAnsi="Arial" w:cs="Arial"/>
          <w:color w:val="000000"/>
          <w:sz w:val="20"/>
        </w:rPr>
        <w:t xml:space="preserve"> Plaintiff further stated she had visited the general area about ten times in recent months and about fifty times over the course of her lifetime. She further claimed she "will continue to visit the area on a frequent basis" and indicated she "plan[s] to return to the property in the future" so that she can "shop, dine, and . . . monitor its ADA conditions." We also take note that Port of Call has closed since Plaintiff's filing of her initial suit, although Defendant Beachside Commercial Properties, LLC still owns the premises.</w:t>
      </w:r>
    </w:p>
    <w:p w:rsidR="00E456CD" w:rsidRDefault="00000000">
      <w:pPr>
        <w:pStyle w:val="Normal27"/>
        <w:widowControl w:val="0"/>
        <w:spacing w:before="200" w:line="260" w:lineRule="atLeast"/>
        <w:jc w:val="both"/>
      </w:pPr>
      <w:bookmarkStart w:id="4541" w:name="Bookmark_para_14_20"/>
      <w:bookmarkStart w:id="4542" w:name="Bookmark_I08KPGCT45H0010D78V000C9"/>
      <w:bookmarkStart w:id="4543" w:name="Bookmark_I5SDY6KW28T4G90050000400"/>
      <w:bookmarkEnd w:id="4541"/>
      <w:bookmarkEnd w:id="4542"/>
      <w:bookmarkEnd w:id="4543"/>
      <w:r>
        <w:rPr>
          <w:rFonts w:ascii="Arial" w:eastAsia="Arial" w:hAnsi="Arial" w:cs="Arial"/>
          <w:color w:val="000000"/>
          <w:sz w:val="20"/>
        </w:rPr>
        <w:t xml:space="preserve">In taking all of the factual allegations and the totality of the circumstances into consideration, we conclude that Plaintiff has failed to demonstrate a "real and immediate threat of future injury" and thus cannot meet the requirements for standing. Plaintiff's singular documented visit to Port of Call does not weigh in her favor. </w:t>
      </w:r>
      <w:bookmarkStart w:id="4544" w:name="Bookmark_I08KPGCTGC70010D78V000CC"/>
      <w:bookmarkStart w:id="4545" w:name="Bookmark_I5SDY6KW2SF8SV0020000400"/>
      <w:bookmarkEnd w:id="4544"/>
      <w:bookmarkEnd w:id="4545"/>
      <w:r>
        <w:rPr>
          <w:rFonts w:ascii="Arial" w:eastAsia="Arial" w:hAnsi="Arial" w:cs="Arial"/>
          <w:color w:val="000000"/>
          <w:sz w:val="20"/>
        </w:rPr>
        <w:t xml:space="preserve">As we noted in </w:t>
      </w:r>
      <w:r>
        <w:rPr>
          <w:rFonts w:ascii="Arial" w:eastAsia="Arial" w:hAnsi="Arial" w:cs="Arial"/>
          <w:i/>
          <w:color w:val="000000"/>
          <w:sz w:val="20"/>
        </w:rPr>
        <w:t>Shotz</w:t>
      </w:r>
      <w:r>
        <w:rPr>
          <w:rFonts w:ascii="Arial" w:eastAsia="Arial" w:hAnsi="Arial" w:cs="Arial"/>
          <w:color w:val="000000"/>
          <w:sz w:val="20"/>
        </w:rPr>
        <w:t xml:space="preserve">, </w:t>
      </w:r>
      <w:bookmarkStart w:id="4546" w:name="Bookmark_LNHNREFclscc7_17"/>
      <w:bookmarkEnd w:id="4546"/>
      <w:r>
        <w:rPr>
          <w:rFonts w:ascii="Arial" w:eastAsia="Arial" w:hAnsi="Arial" w:cs="Arial"/>
          <w:color w:val="000000"/>
          <w:sz w:val="20"/>
        </w:rPr>
        <w:t xml:space="preserve">a plaintiff seeking injunctive relief under Title III must "have attempted to return" or at the minimum "intend to do so in the future." </w:t>
      </w:r>
      <w:bookmarkStart w:id="4547" w:name="Bookmark_I5SDY6KW28T4G90040000400"/>
      <w:bookmarkEnd w:id="4547"/>
      <w:r>
        <w:rPr>
          <w:rFonts w:ascii="Arial" w:eastAsia="Arial" w:hAnsi="Arial" w:cs="Arial"/>
          <w:color w:val="000000"/>
          <w:sz w:val="20"/>
        </w:rPr>
        <w:t xml:space="preserve">256 F.3d at 1081. </w:t>
      </w:r>
      <w:bookmarkStart w:id="4548" w:name="Bookmark_I5SDY6KW2SF8SV0020000400_2"/>
      <w:bookmarkEnd w:id="4548"/>
      <w:r>
        <w:rPr>
          <w:rFonts w:ascii="Arial" w:eastAsia="Arial" w:hAnsi="Arial" w:cs="Arial"/>
          <w:color w:val="000000"/>
          <w:sz w:val="20"/>
        </w:rPr>
        <w:t xml:space="preserve">Like in </w:t>
      </w:r>
      <w:r>
        <w:rPr>
          <w:rFonts w:ascii="Arial" w:eastAsia="Arial" w:hAnsi="Arial" w:cs="Arial"/>
          <w:i/>
          <w:color w:val="000000"/>
          <w:sz w:val="20"/>
        </w:rPr>
        <w:t>Shotz</w:t>
      </w:r>
      <w:r>
        <w:rPr>
          <w:rFonts w:ascii="Arial" w:eastAsia="Arial" w:hAnsi="Arial" w:cs="Arial"/>
          <w:color w:val="000000"/>
          <w:sz w:val="20"/>
        </w:rPr>
        <w:t xml:space="preserve">, Plaintiff only visited the allegedly non-complaint premises once before filing her [**9]  complaint (and even her amended complaint) and thus cannot claim that her singular past injury presents evidence suggesting future injury. </w:t>
      </w:r>
      <w:r>
        <w:rPr>
          <w:rFonts w:ascii="Arial" w:eastAsia="Arial" w:hAnsi="Arial" w:cs="Arial"/>
          <w:i/>
          <w:color w:val="000000"/>
          <w:sz w:val="20"/>
        </w:rPr>
        <w:t xml:space="preserve">Compare </w:t>
      </w:r>
      <w:bookmarkStart w:id="4549" w:name="Bookmark_I5SDY6KW2SF8SV0010000400"/>
      <w:bookmarkEnd w:id="4549"/>
      <w:r>
        <w:rPr>
          <w:rFonts w:ascii="Arial" w:eastAsia="Arial" w:hAnsi="Arial" w:cs="Arial"/>
          <w:i/>
          <w:color w:val="000000"/>
          <w:sz w:val="20"/>
        </w:rPr>
        <w:t>Shotz</w:t>
      </w:r>
      <w:r>
        <w:rPr>
          <w:rFonts w:ascii="Arial" w:eastAsia="Arial" w:hAnsi="Arial" w:cs="Arial"/>
          <w:color w:val="000000"/>
          <w:sz w:val="20"/>
        </w:rPr>
        <w:t xml:space="preserve">, 256 F.3d at 1082 (concluding that a single visit to a non-complaint building with no expressed intent to return amounted to "conjectural, hypothetical, or contingent" rather than "real and immediate" future discrimination"), </w:t>
      </w:r>
      <w:r>
        <w:rPr>
          <w:rFonts w:ascii="Arial" w:eastAsia="Arial" w:hAnsi="Arial" w:cs="Arial"/>
          <w:i/>
          <w:color w:val="000000"/>
          <w:sz w:val="20"/>
        </w:rPr>
        <w:t xml:space="preserve">with </w:t>
      </w:r>
      <w:bookmarkStart w:id="4550" w:name="Bookmark_I5SDY6KW2SF8SV0030000400"/>
      <w:bookmarkEnd w:id="4550"/>
      <w:r>
        <w:rPr>
          <w:rFonts w:ascii="Arial" w:eastAsia="Arial" w:hAnsi="Arial" w:cs="Arial"/>
          <w:i/>
          <w:color w:val="000000"/>
          <w:sz w:val="20"/>
        </w:rPr>
        <w:t>Houston</w:t>
      </w:r>
      <w:r>
        <w:rPr>
          <w:rFonts w:ascii="Arial" w:eastAsia="Arial" w:hAnsi="Arial" w:cs="Arial"/>
          <w:color w:val="000000"/>
          <w:sz w:val="20"/>
        </w:rPr>
        <w:t>, 733 F.3d at 1336 (determining plaintiff's multiple visits to the discriminating premises before he filed suit evidenced a future threat of continued discrimination).</w:t>
      </w:r>
    </w:p>
    <w:p w:rsidR="00E456CD" w:rsidRDefault="00000000">
      <w:pPr>
        <w:pStyle w:val="Normal27"/>
        <w:widowControl w:val="0"/>
        <w:spacing w:before="200" w:line="260" w:lineRule="atLeast"/>
        <w:jc w:val="both"/>
      </w:pPr>
      <w:bookmarkStart w:id="4551" w:name="Bookmark_para_15_20"/>
      <w:bookmarkStart w:id="4552" w:name="Bookmark_I08KPGCV5GY0010D78V000N8"/>
      <w:bookmarkStart w:id="4553" w:name="Bookmark_I5SDY6KX2N1RTD0010000400"/>
      <w:bookmarkEnd w:id="4551"/>
      <w:bookmarkEnd w:id="4552"/>
      <w:bookmarkEnd w:id="4553"/>
      <w:r>
        <w:rPr>
          <w:rFonts w:ascii="Arial" w:eastAsia="Arial" w:hAnsi="Arial" w:cs="Arial"/>
          <w:color w:val="000000"/>
          <w:sz w:val="20"/>
        </w:rPr>
        <w:t xml:space="preserve">Further, Plaintiff's generalized intent to return to the Cocoa Beach area sometime in the future does not bolster her case.  [*822]  Plaintiff lives about three hours away from the area and has no definitive plans to return to Port of Call (which, we note, is now impossible, as the store has closed). Her vague intent to return to shop and monitor the premises cannot pass constitutional muster. </w:t>
      </w:r>
      <w:bookmarkStart w:id="4554" w:name="Bookmark_I5SDY6KX2N1RTD0030000400"/>
      <w:bookmarkEnd w:id="4554"/>
      <w:r>
        <w:rPr>
          <w:rFonts w:ascii="Arial" w:eastAsia="Arial" w:hAnsi="Arial" w:cs="Arial"/>
          <w:color w:val="000000"/>
          <w:sz w:val="20"/>
        </w:rPr>
        <w:t xml:space="preserve">Unlike the plaintiff in </w:t>
      </w:r>
      <w:bookmarkStart w:id="4555" w:name="Bookmark_I5SDY6KX2N1RTD0030000400_2"/>
      <w:bookmarkStart w:id="4556" w:name="Bookmark_I5SDY6KX2N1RTD0010000400_2"/>
      <w:bookmarkStart w:id="4557" w:name="Bookmark_I5SDY6KW2SF8SV0050000400"/>
      <w:bookmarkEnd w:id="4555"/>
      <w:bookmarkEnd w:id="4556"/>
      <w:bookmarkEnd w:id="4557"/>
      <w:r>
        <w:rPr>
          <w:rFonts w:ascii="Arial" w:eastAsia="Arial" w:hAnsi="Arial" w:cs="Arial"/>
          <w:i/>
          <w:color w:val="000000"/>
          <w:sz w:val="20"/>
        </w:rPr>
        <w:t>Houston</w:t>
      </w:r>
      <w:r>
        <w:rPr>
          <w:rFonts w:ascii="Arial" w:eastAsia="Arial" w:hAnsi="Arial" w:cs="Arial"/>
          <w:color w:val="000000"/>
          <w:sz w:val="20"/>
        </w:rPr>
        <w:t xml:space="preserve"> who lived only thirty miles away and had both definitive plans and sound reason to revisit the area, Plaintiff uses overly-broad and vague language as a "catch-all" to hope that her claim will stick. </w:t>
      </w:r>
      <w:bookmarkStart w:id="4558" w:name="Bookmark_LNHNREFclscc8_15"/>
      <w:bookmarkEnd w:id="4558"/>
      <w:r>
        <w:rPr>
          <w:rFonts w:ascii="Arial" w:eastAsia="Arial" w:hAnsi="Arial" w:cs="Arial"/>
          <w:color w:val="000000"/>
          <w:sz w:val="20"/>
        </w:rPr>
        <w:t xml:space="preserve">While neither our court nor the Supreme Court require detailed or concrete [**10]  travel plans to revisit a place to meet standing requirements, case law requires more immediacy than a "someday" plan. </w:t>
      </w:r>
      <w:r>
        <w:rPr>
          <w:rFonts w:ascii="Arial" w:eastAsia="Arial" w:hAnsi="Arial" w:cs="Arial"/>
          <w:i/>
          <w:color w:val="000000"/>
          <w:sz w:val="20"/>
        </w:rPr>
        <w:t xml:space="preserve">See </w:t>
      </w:r>
      <w:bookmarkStart w:id="4559" w:name="Bookmark_I5SDY6KX2N1RTD0020000400"/>
      <w:bookmarkEnd w:id="4559"/>
      <w:r>
        <w:rPr>
          <w:rFonts w:ascii="Arial" w:eastAsia="Arial" w:hAnsi="Arial" w:cs="Arial"/>
          <w:i/>
          <w:color w:val="000000"/>
          <w:sz w:val="20"/>
        </w:rPr>
        <w:t>Houston</w:t>
      </w:r>
      <w:r>
        <w:rPr>
          <w:rFonts w:ascii="Arial" w:eastAsia="Arial" w:hAnsi="Arial" w:cs="Arial"/>
          <w:color w:val="000000"/>
          <w:sz w:val="20"/>
        </w:rPr>
        <w:t xml:space="preserve">, 733 F.3d at 1338-40. </w:t>
      </w:r>
      <w:bookmarkStart w:id="4560" w:name="Bookmark_I5SDY6KX2N1RTD0050000400"/>
      <w:bookmarkEnd w:id="4560"/>
      <w:r>
        <w:rPr>
          <w:rFonts w:ascii="Arial" w:eastAsia="Arial" w:hAnsi="Arial" w:cs="Arial"/>
          <w:color w:val="000000"/>
          <w:sz w:val="20"/>
        </w:rPr>
        <w:t xml:space="preserve">For example, in its factually-specific inquiry into standing, this court determined Houston did have standing in part because "Houston visits his lawyer's offices near the [non-compliant premises] on a frequent basis and, thus, drives by the store frequently. During these trips to his lawyer's office in the near future, he wants to visit the store. </w:t>
      </w:r>
      <w:bookmarkStart w:id="4561" w:name="Bookmark_I5SDY6KX2N1RTF0020000400"/>
      <w:bookmarkEnd w:id="4561"/>
      <w:r>
        <w:rPr>
          <w:rFonts w:ascii="Arial" w:eastAsia="Arial" w:hAnsi="Arial" w:cs="Arial"/>
          <w:color w:val="000000"/>
          <w:sz w:val="20"/>
        </w:rPr>
        <w:t xml:space="preserve">Unlike the plaintiffs in </w:t>
      </w:r>
      <w:r>
        <w:rPr>
          <w:rFonts w:ascii="Arial" w:eastAsia="Arial" w:hAnsi="Arial" w:cs="Arial"/>
          <w:i/>
          <w:color w:val="000000"/>
          <w:sz w:val="20"/>
        </w:rPr>
        <w:t>Lujan</w:t>
      </w:r>
      <w:r>
        <w:rPr>
          <w:rFonts w:ascii="Arial" w:eastAsia="Arial" w:hAnsi="Arial" w:cs="Arial"/>
          <w:color w:val="000000"/>
          <w:sz w:val="20"/>
        </w:rPr>
        <w:t xml:space="preserve">, Houston has averred a concrete and realistic plan of when he would visit the store again." </w:t>
      </w:r>
      <w:bookmarkStart w:id="4562" w:name="Bookmark_I5SDY6KX2N1RTD0040000400"/>
      <w:bookmarkEnd w:id="4562"/>
      <w:r>
        <w:rPr>
          <w:rFonts w:ascii="Arial" w:eastAsia="Arial" w:hAnsi="Arial" w:cs="Arial"/>
          <w:i/>
          <w:color w:val="000000"/>
          <w:sz w:val="20"/>
        </w:rPr>
        <w:t>Id.</w:t>
      </w:r>
      <w:r>
        <w:rPr>
          <w:rFonts w:ascii="Arial" w:eastAsia="Arial" w:hAnsi="Arial" w:cs="Arial"/>
          <w:color w:val="000000"/>
          <w:sz w:val="20"/>
        </w:rPr>
        <w:t xml:space="preserve"> at 1340. </w:t>
      </w:r>
      <w:bookmarkStart w:id="4563" w:name="Bookmark_I5SDY6KX2N1RTF0020000400_2"/>
      <w:bookmarkEnd w:id="4563"/>
      <w:r>
        <w:rPr>
          <w:rFonts w:ascii="Arial" w:eastAsia="Arial" w:hAnsi="Arial" w:cs="Arial"/>
          <w:color w:val="000000"/>
          <w:sz w:val="20"/>
        </w:rPr>
        <w:t xml:space="preserve">Unlike the plaintiff in </w:t>
      </w:r>
      <w:r>
        <w:rPr>
          <w:rFonts w:ascii="Arial" w:eastAsia="Arial" w:hAnsi="Arial" w:cs="Arial"/>
          <w:i/>
          <w:color w:val="000000"/>
          <w:sz w:val="20"/>
        </w:rPr>
        <w:t>Houston</w:t>
      </w:r>
      <w:r>
        <w:rPr>
          <w:rFonts w:ascii="Arial" w:eastAsia="Arial" w:hAnsi="Arial" w:cs="Arial"/>
          <w:color w:val="000000"/>
          <w:sz w:val="20"/>
        </w:rPr>
        <w:t xml:space="preserve">, Plaintiff cannot point to anything in the record that supports a "concrete and realistic plan" to revisit Defendants' premises. </w:t>
      </w:r>
      <w:r>
        <w:rPr>
          <w:rFonts w:ascii="Arial" w:eastAsia="Arial" w:hAnsi="Arial" w:cs="Arial"/>
          <w:i/>
          <w:color w:val="000000"/>
          <w:sz w:val="20"/>
        </w:rPr>
        <w:t>See 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4564" w:name="Bookmark_I5SDY6KX2N1RTF0010000400"/>
      <w:bookmarkEnd w:id="4564"/>
      <w:r>
        <w:rPr>
          <w:rFonts w:ascii="Arial" w:eastAsia="Arial" w:hAnsi="Arial" w:cs="Arial"/>
          <w:i/>
          <w:color w:val="000000"/>
          <w:sz w:val="20"/>
        </w:rPr>
        <w:t>Silva</w:t>
      </w:r>
      <w:r>
        <w:rPr>
          <w:rFonts w:ascii="Arial" w:eastAsia="Arial" w:hAnsi="Arial" w:cs="Arial"/>
          <w:color w:val="000000"/>
          <w:sz w:val="20"/>
        </w:rPr>
        <w:t>, 856 F.3d at 832 (concluding plaintiffs did have standing to seek injunctive relief for alleged ADA violations on the basis that they visited the hospital frequently for appointments and had strong evidence supporting the likelihood of future visits).</w:t>
      </w:r>
    </w:p>
    <w:p w:rsidR="00E456CD" w:rsidRDefault="00000000">
      <w:pPr>
        <w:pStyle w:val="Normal27"/>
        <w:widowControl w:val="0"/>
        <w:spacing w:before="200" w:line="260" w:lineRule="atLeast"/>
        <w:jc w:val="both"/>
      </w:pPr>
      <w:bookmarkStart w:id="4565" w:name="Bookmark_para_16_19"/>
      <w:bookmarkStart w:id="4566" w:name="Bookmark_I5SDY6KX2N1RTF0040000400"/>
      <w:bookmarkEnd w:id="4565"/>
      <w:bookmarkEnd w:id="4566"/>
      <w:r>
        <w:rPr>
          <w:rFonts w:ascii="Arial" w:eastAsia="Arial" w:hAnsi="Arial" w:cs="Arial"/>
          <w:color w:val="000000"/>
          <w:sz w:val="20"/>
        </w:rPr>
        <w:t>In this fact-sensitive inquiry—as that of standing must be</w:t>
      </w:r>
      <w:r>
        <w:rPr>
          <w:rFonts w:ascii="Arial" w:eastAsia="Arial" w:hAnsi="Arial" w:cs="Arial"/>
          <w:vertAlign w:val="superscript"/>
        </w:rPr>
        <w:footnoteReference w:customMarkFollows="1" w:id="200"/>
        <w:t>4</w:t>
      </w:r>
      <w:r>
        <w:rPr>
          <w:rFonts w:ascii="Arial" w:eastAsia="Arial" w:hAnsi="Arial" w:cs="Arial"/>
          <w:color w:val="000000"/>
          <w:sz w:val="20"/>
        </w:rPr>
        <w:t>—we conclude Plaintiff does not have standing to seek injunctive relief against Defendants. The totality of the circumstances surrounding [**11]  her past visit to Port of Call, the store's subsequent closing, and the formulaic assertion of a generalized intent to return to the premises and/or the area do not amount to a "real and immediate" threat of future injury.</w:t>
      </w:r>
    </w:p>
    <w:p w:rsidR="00E456CD" w:rsidRDefault="00000000">
      <w:pPr>
        <w:pStyle w:val="Normal27"/>
        <w:widowControl w:val="0"/>
        <w:spacing w:before="240" w:line="260" w:lineRule="atLeast"/>
      </w:pPr>
      <w:r>
        <w:br/>
      </w:r>
      <w:r>
        <w:rPr>
          <w:rFonts w:ascii="Arial" w:eastAsia="Arial" w:hAnsi="Arial" w:cs="Arial"/>
          <w:b/>
          <w:color w:val="000000"/>
          <w:sz w:val="20"/>
        </w:rPr>
        <w:t xml:space="preserve">IV. </w:t>
      </w:r>
      <w:r>
        <w:rPr>
          <w:rFonts w:ascii="Arial" w:eastAsia="Arial" w:hAnsi="Arial" w:cs="Arial"/>
          <w:b/>
          <w:smallCaps/>
          <w:color w:val="000000"/>
          <w:sz w:val="20"/>
        </w:rPr>
        <w:t>Conclusion</w:t>
      </w:r>
    </w:p>
    <w:p w:rsidR="00E456CD" w:rsidRDefault="00000000">
      <w:pPr>
        <w:pStyle w:val="Normal27"/>
        <w:widowControl w:val="0"/>
        <w:spacing w:before="200" w:line="260" w:lineRule="atLeast"/>
        <w:jc w:val="both"/>
      </w:pPr>
      <w:bookmarkStart w:id="4569" w:name="Bookmark_para_17_18"/>
      <w:bookmarkEnd w:id="4569"/>
      <w:r>
        <w:rPr>
          <w:rFonts w:ascii="Arial" w:eastAsia="Arial" w:hAnsi="Arial" w:cs="Arial"/>
          <w:color w:val="000000"/>
          <w:sz w:val="20"/>
        </w:rPr>
        <w:t>Having concluded Plaintiff lacks standing, we do not reach Plaintiff's remaining pettifogging arguments. For the reasons set forth above, we affirm the district court's judgment of dismissal for lack of subject matter jurisdiction.</w:t>
      </w:r>
    </w:p>
    <w:p w:rsidR="00E456CD" w:rsidRDefault="00000000">
      <w:pPr>
        <w:pStyle w:val="Normal27"/>
        <w:widowControl w:val="0"/>
        <w:spacing w:before="200" w:line="260" w:lineRule="atLeast"/>
        <w:jc w:val="both"/>
      </w:pPr>
      <w:bookmarkStart w:id="4570" w:name="Bookmark_para_18_18"/>
      <w:bookmarkEnd w:id="4570"/>
      <w:r>
        <w:rPr>
          <w:rFonts w:ascii="Arial" w:eastAsia="Arial" w:hAnsi="Arial" w:cs="Arial"/>
          <w:b/>
          <w:color w:val="000000"/>
          <w:sz w:val="20"/>
        </w:rPr>
        <w:t>AFFIRMED</w:t>
      </w:r>
      <w:r>
        <w:rPr>
          <w:rFonts w:ascii="Arial" w:eastAsia="Arial" w:hAnsi="Arial" w:cs="Arial"/>
          <w:color w:val="000000"/>
          <w:sz w:val="20"/>
        </w:rPr>
        <w:t>.</w:t>
      </w:r>
    </w:p>
    <w:p w:rsidR="00E456CD" w:rsidRDefault="00E456CD">
      <w:pPr>
        <w:pStyle w:val="Normal27"/>
      </w:pPr>
    </w:p>
    <w:p w:rsidR="00E456CD" w:rsidRDefault="00000000">
      <w:pPr>
        <w:pStyle w:val="Normal27"/>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1865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795858747"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D90CA" id="Line 62"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8"/>
        <w:sectPr w:rsidR="00E456CD">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gutter="0"/>
          <w:cols w:space="720"/>
          <w:titlePg/>
        </w:sectPr>
      </w:pPr>
    </w:p>
    <w:p w:rsidR="00E456CD" w:rsidRDefault="00E456CD">
      <w:pPr>
        <w:pStyle w:val="Normal28"/>
      </w:pPr>
    </w:p>
    <w:p w:rsidR="00E456CD" w:rsidRDefault="00000000">
      <w:pPr>
        <w:pStyle w:val="Heading127"/>
        <w:keepNext w:val="0"/>
        <w:widowControl w:val="0"/>
        <w:spacing w:after="200" w:line="340" w:lineRule="atLeast"/>
        <w:jc w:val="center"/>
      </w:pPr>
      <w:r>
        <w:rPr>
          <w:rFonts w:eastAsia="Arial"/>
          <w:color w:val="000000"/>
          <w:sz w:val="28"/>
        </w:rPr>
        <w:t>Collins v. PRG Real Estate</w:t>
      </w:r>
    </w:p>
    <w:p w:rsidR="00E456CD" w:rsidRDefault="00000000">
      <w:pPr>
        <w:pStyle w:val="Normal28"/>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28"/>
        <w:widowControl w:val="0"/>
        <w:spacing w:before="120" w:line="260" w:lineRule="atLeast"/>
        <w:jc w:val="center"/>
      </w:pPr>
      <w:r>
        <w:rPr>
          <w:rFonts w:ascii="Arial" w:eastAsia="Arial" w:hAnsi="Arial" w:cs="Arial"/>
          <w:color w:val="000000"/>
          <w:sz w:val="20"/>
        </w:rPr>
        <w:t>April 4, 2018, Filed</w:t>
      </w:r>
    </w:p>
    <w:p w:rsidR="00E456CD" w:rsidRDefault="00000000">
      <w:pPr>
        <w:pStyle w:val="Normal28"/>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17-5534</w:t>
      </w:r>
    </w:p>
    <w:p w:rsidR="00E456CD" w:rsidRDefault="00E456CD">
      <w:pPr>
        <w:pStyle w:val="Normal28"/>
        <w:widowControl w:val="0"/>
        <w:spacing w:line="240" w:lineRule="atLeast"/>
        <w:jc w:val="both"/>
      </w:pPr>
      <w:bookmarkStart w:id="4571" w:name="Bookmark_29"/>
      <w:bookmarkEnd w:id="4571"/>
    </w:p>
    <w:p w:rsidR="00E456CD" w:rsidRDefault="00000000">
      <w:pPr>
        <w:pStyle w:val="Normal28"/>
        <w:widowControl w:val="0"/>
        <w:spacing w:before="200" w:line="240" w:lineRule="atLeast"/>
      </w:pPr>
      <w:bookmarkStart w:id="4572" w:name="Reporter_27"/>
      <w:bookmarkEnd w:id="4572"/>
      <w:r>
        <w:rPr>
          <w:rFonts w:ascii="Arial" w:eastAsia="Arial" w:hAnsi="Arial" w:cs="Arial"/>
          <w:b/>
          <w:color w:val="000000"/>
          <w:sz w:val="18"/>
        </w:rPr>
        <w:t>Reporter</w:t>
      </w:r>
    </w:p>
    <w:p w:rsidR="00E456CD" w:rsidRDefault="00000000">
      <w:pPr>
        <w:pStyle w:val="Normal28"/>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2018 U.S. App. LEXIS 8592 *</w:t>
      </w:r>
    </w:p>
    <w:p w:rsidR="00E456CD" w:rsidRDefault="00000000">
      <w:pPr>
        <w:pStyle w:val="Normal28"/>
        <w:widowControl w:val="0"/>
        <w:spacing w:before="120" w:line="260" w:lineRule="atLeast"/>
      </w:pPr>
      <w:r>
        <w:rPr>
          <w:rFonts w:ascii="Arial" w:eastAsia="Arial" w:hAnsi="Arial" w:cs="Arial"/>
          <w:color w:val="000000"/>
          <w:sz w:val="20"/>
        </w:rPr>
        <w:t>STEPHEN H. COLLINS, Plaintiff-Appellant, v. PRG REAL ESTATE; RIVER OAKS APARTMENTS; NEW RIVER OAK ASSOCIATES, LLC, Defendants-Appellees.</w:t>
      </w:r>
    </w:p>
    <w:p w:rsidR="00E456CD" w:rsidRDefault="00000000">
      <w:pPr>
        <w:pStyle w:val="Normal28"/>
        <w:widowControl w:val="0"/>
        <w:spacing w:before="240" w:line="260" w:lineRule="atLeast"/>
        <w:jc w:val="both"/>
      </w:pPr>
      <w:bookmarkStart w:id="4573" w:name="Notice_13"/>
      <w:bookmarkEnd w:id="4573"/>
      <w:r>
        <w:rPr>
          <w:rFonts w:ascii="Arial" w:eastAsia="Arial" w:hAnsi="Arial" w:cs="Arial"/>
          <w:b/>
          <w:color w:val="000000"/>
          <w:sz w:val="20"/>
        </w:rPr>
        <w:t>Notice:</w:t>
      </w:r>
      <w:r>
        <w:rPr>
          <w:rFonts w:ascii="Arial" w:eastAsia="Arial" w:hAnsi="Arial" w:cs="Arial"/>
          <w:color w:val="000000"/>
          <w:sz w:val="20"/>
        </w:rPr>
        <w:t> </w:t>
      </w:r>
      <w:bookmarkStart w:id="4574" w:name="Bookmark_para_1_27"/>
      <w:bookmarkEnd w:id="4574"/>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28"/>
        <w:widowControl w:val="0"/>
        <w:spacing w:before="240" w:line="260" w:lineRule="atLeast"/>
      </w:pPr>
      <w:bookmarkStart w:id="4575" w:name="Subsequent_History_10"/>
      <w:bookmarkEnd w:id="4575"/>
      <w:r>
        <w:rPr>
          <w:rFonts w:ascii="Arial" w:eastAsia="Arial" w:hAnsi="Arial" w:cs="Arial"/>
          <w:b/>
          <w:color w:val="000000"/>
          <w:sz w:val="20"/>
        </w:rPr>
        <w:t>Subsequent History:</w:t>
      </w:r>
      <w:r>
        <w:rPr>
          <w:rFonts w:ascii="Arial" w:eastAsia="Arial" w:hAnsi="Arial" w:cs="Arial"/>
          <w:color w:val="000000"/>
          <w:sz w:val="20"/>
        </w:rPr>
        <w:t> Rehearing denied by Collins v. PRG Real Estate, 2018 U.S. App. LEXIS 12746 (6th Cir., May 16, 2018)</w:t>
      </w:r>
    </w:p>
    <w:p w:rsidR="00E456CD" w:rsidRDefault="00000000">
      <w:pPr>
        <w:pStyle w:val="Normal28"/>
        <w:widowControl w:val="0"/>
        <w:spacing w:before="240" w:line="260" w:lineRule="atLeast"/>
        <w:jc w:val="both"/>
      </w:pPr>
      <w:bookmarkStart w:id="4576" w:name="Prior_History_27"/>
      <w:bookmarkEnd w:id="4576"/>
      <w:r>
        <w:rPr>
          <w:rFonts w:ascii="Arial" w:eastAsia="Arial" w:hAnsi="Arial" w:cs="Arial"/>
          <w:b/>
          <w:color w:val="000000"/>
          <w:sz w:val="20"/>
        </w:rPr>
        <w:t>Prior History:</w:t>
      </w:r>
      <w:r>
        <w:rPr>
          <w:rFonts w:ascii="Arial" w:eastAsia="Arial" w:hAnsi="Arial" w:cs="Arial"/>
          <w:color w:val="000000"/>
          <w:sz w:val="20"/>
        </w:rPr>
        <w:t> </w:t>
      </w:r>
      <w:bookmarkStart w:id="4577" w:name="Bookmark_para_2_27"/>
      <w:bookmarkEnd w:id="4577"/>
      <w:r>
        <w:rPr>
          <w:rFonts w:ascii="Arial" w:eastAsia="Arial" w:hAnsi="Arial" w:cs="Arial"/>
          <w:color w:val="000000"/>
          <w:sz w:val="20"/>
        </w:rPr>
        <w:t> [*1] ON APPEAL FROM THE UNITED STATES DISTRICT COURT FOR THE WESTERN DISTRICT OF KENTUCKY.</w:t>
      </w:r>
    </w:p>
    <w:p w:rsidR="00E456CD" w:rsidRDefault="00000000">
      <w:pPr>
        <w:pStyle w:val="Normal28"/>
        <w:widowControl w:val="0"/>
        <w:spacing w:before="120" w:line="260" w:lineRule="atLeast"/>
      </w:pPr>
      <w:r>
        <w:rPr>
          <w:rFonts w:ascii="Arial" w:eastAsia="Arial" w:hAnsi="Arial" w:cs="Arial"/>
          <w:color w:val="000000"/>
          <w:sz w:val="20"/>
        </w:rPr>
        <w:t>Collins v. PRG Real Estate, 2017 U.S. Dist. LEXIS 43961 (W.D. Ky., Mar. 27, 2017)</w:t>
      </w:r>
    </w:p>
    <w:p w:rsidR="00E456CD" w:rsidRDefault="00000000">
      <w:pPr>
        <w:pStyle w:val="Normal28"/>
        <w:widowControl w:val="0"/>
        <w:spacing w:before="120" w:line="260" w:lineRule="atLeast"/>
      </w:pPr>
      <w:r>
        <w:rPr>
          <w:rFonts w:ascii="Arial" w:eastAsia="Arial" w:hAnsi="Arial" w:cs="Arial"/>
          <w:color w:val="000000"/>
          <w:sz w:val="20"/>
        </w:rPr>
        <w:t>Collins v. PRG Real Estate, 2018 U.S. App. LEXIS 1878 (6th Cir. Ky., Jan. 24, 2018)</w:t>
      </w:r>
    </w:p>
    <w:p w:rsidR="00E456CD" w:rsidRDefault="00000000">
      <w:pPr>
        <w:pStyle w:val="Normal28"/>
        <w:widowControl w:val="0"/>
        <w:spacing w:before="240" w:line="260" w:lineRule="atLeast"/>
      </w:pPr>
      <w:bookmarkStart w:id="4578" w:name="Counsel_27"/>
      <w:bookmarkEnd w:id="4578"/>
      <w:r>
        <w:rPr>
          <w:rFonts w:ascii="Arial" w:eastAsia="Arial" w:hAnsi="Arial" w:cs="Arial"/>
          <w:b/>
          <w:color w:val="000000"/>
          <w:sz w:val="20"/>
        </w:rPr>
        <w:t>Counsel:</w:t>
      </w:r>
      <w:r>
        <w:rPr>
          <w:rFonts w:ascii="Arial" w:eastAsia="Arial" w:hAnsi="Arial" w:cs="Arial"/>
          <w:color w:val="000000"/>
          <w:sz w:val="20"/>
        </w:rPr>
        <w:t> For Stephen H. Collins, Plaintiff - Appellant: Joshua D. Farley, Farley &amp; Associates, Louisville, KY.</w:t>
      </w:r>
    </w:p>
    <w:p w:rsidR="00E456CD" w:rsidRDefault="00000000">
      <w:pPr>
        <w:pStyle w:val="Normal28"/>
        <w:widowControl w:val="0"/>
        <w:spacing w:before="120" w:line="260" w:lineRule="atLeast"/>
      </w:pPr>
      <w:r>
        <w:rPr>
          <w:rFonts w:ascii="Arial" w:eastAsia="Arial" w:hAnsi="Arial" w:cs="Arial"/>
          <w:color w:val="000000"/>
          <w:sz w:val="20"/>
        </w:rPr>
        <w:t>For Prg Real Estate, River Oaks Apartments, New River Oak Associates, Llc, Defendants - Appellees: Katherine A. Garbarino, Fisher &amp; Phillips, Louisville, KY.</w:t>
      </w:r>
    </w:p>
    <w:p w:rsidR="00E456CD" w:rsidRDefault="00000000">
      <w:pPr>
        <w:pStyle w:val="Normal28"/>
        <w:widowControl w:val="0"/>
        <w:spacing w:before="240" w:line="260" w:lineRule="atLeast"/>
      </w:pPr>
      <w:bookmarkStart w:id="4579" w:name="Judges_27"/>
      <w:bookmarkEnd w:id="4579"/>
      <w:r>
        <w:rPr>
          <w:rFonts w:ascii="Arial" w:eastAsia="Arial" w:hAnsi="Arial" w:cs="Arial"/>
          <w:b/>
          <w:color w:val="000000"/>
          <w:sz w:val="20"/>
        </w:rPr>
        <w:t>Judges:</w:t>
      </w:r>
      <w:r>
        <w:rPr>
          <w:rFonts w:ascii="Arial" w:eastAsia="Arial" w:hAnsi="Arial" w:cs="Arial"/>
          <w:color w:val="000000"/>
          <w:sz w:val="20"/>
        </w:rPr>
        <w:t> Before: BATCHELDER, GIBBONS, and WHITE, Circuit Judges.</w:t>
      </w:r>
    </w:p>
    <w:p w:rsidR="00E456CD" w:rsidRDefault="00000000">
      <w:pPr>
        <w:pStyle w:val="Normal28"/>
        <w:keepNext/>
        <w:widowControl w:val="0"/>
        <w:spacing w:before="240" w:line="340" w:lineRule="atLeast"/>
      </w:pPr>
      <w:bookmarkStart w:id="4580" w:name="Opinion_27"/>
      <w:bookmarkEnd w:id="4580"/>
      <w:r>
        <w:rPr>
          <w:rFonts w:ascii="Arial" w:eastAsia="Arial" w:hAnsi="Arial" w:cs="Arial"/>
          <w:b/>
          <w:color w:val="000000"/>
          <w:sz w:val="28"/>
        </w:rPr>
        <w:t>Opinion</w:t>
      </w:r>
    </w:p>
    <w:p w:rsidR="00E456CD" w:rsidRDefault="00E22289">
      <w:pPr>
        <w:pStyle w:val="Normal28"/>
        <w:spacing w:line="60" w:lineRule="exact"/>
      </w:pPr>
      <w:r>
        <w:rPr>
          <w:noProof/>
        </w:rPr>
        <mc:AlternateContent>
          <mc:Choice Requires="wps">
            <w:drawing>
              <wp:anchor distT="0" distB="0" distL="114300" distR="114300" simplePos="0" relativeHeight="25171968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505715467"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B1403" id="Line 6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8"/>
        <w:spacing w:line="120" w:lineRule="exact"/>
      </w:pPr>
    </w:p>
    <w:p w:rsidR="00E456CD" w:rsidRDefault="00000000">
      <w:pPr>
        <w:pStyle w:val="Normal28"/>
        <w:widowControl w:val="0"/>
        <w:spacing w:before="240" w:line="260" w:lineRule="atLeast"/>
      </w:pPr>
      <w:r>
        <w:br/>
      </w:r>
      <w:r>
        <w:rPr>
          <w:rFonts w:ascii="Arial" w:eastAsia="Arial" w:hAnsi="Arial" w:cs="Arial"/>
          <w:color w:val="000000"/>
          <w:sz w:val="20"/>
          <w:u w:val="single"/>
        </w:rPr>
        <w:t>ORDER</w:t>
      </w:r>
    </w:p>
    <w:p w:rsidR="00E456CD" w:rsidRDefault="00000000">
      <w:pPr>
        <w:pStyle w:val="Normal28"/>
        <w:widowControl w:val="0"/>
        <w:spacing w:before="200" w:line="260" w:lineRule="atLeast"/>
        <w:jc w:val="both"/>
      </w:pPr>
      <w:bookmarkStart w:id="4581" w:name="Bookmark_para_3_27"/>
      <w:bookmarkEnd w:id="4581"/>
      <w:r>
        <w:rPr>
          <w:rFonts w:ascii="Arial" w:eastAsia="Arial" w:hAnsi="Arial" w:cs="Arial"/>
          <w:color w:val="000000"/>
          <w:sz w:val="20"/>
        </w:rPr>
        <w:t xml:space="preserve">Stephen H. Collins, proceeding through counsel, appeals the district court's judgment for the defendants, PRG Real Estate and New River Oak Associates, LLC, in his action filed pursuant to the Americans with Disabilities Act ("ADA"), 42 U.S.C. § 12101, </w:t>
      </w:r>
      <w:r>
        <w:rPr>
          <w:rFonts w:ascii="Arial" w:eastAsia="Arial" w:hAnsi="Arial" w:cs="Arial"/>
          <w:i/>
          <w:color w:val="000000"/>
          <w:sz w:val="20"/>
        </w:rPr>
        <w:t>et seq.</w:t>
      </w:r>
      <w:r>
        <w:rPr>
          <w:rFonts w:ascii="Arial" w:eastAsia="Arial" w:hAnsi="Arial" w:cs="Arial"/>
          <w:color w:val="000000"/>
          <w:sz w:val="20"/>
        </w:rPr>
        <w:t xml:space="preserve">, and the Fair Housing Act ("FHA"), 42 U.S.C. § 3601, </w:t>
      </w:r>
      <w:r>
        <w:rPr>
          <w:rFonts w:ascii="Arial" w:eastAsia="Arial" w:hAnsi="Arial" w:cs="Arial"/>
          <w:i/>
          <w:color w:val="000000"/>
          <w:sz w:val="20"/>
        </w:rPr>
        <w:t>et seq.</w:t>
      </w:r>
      <w:r>
        <w:rPr>
          <w:rFonts w:ascii="Arial" w:eastAsia="Arial" w:hAnsi="Arial" w:cs="Arial"/>
          <w:color w:val="000000"/>
          <w:sz w:val="20"/>
        </w:rPr>
        <w:t xml:space="preserve"> The parties have waived oral argument, and this panel unanimously agrees that oral argument is not needed. </w:t>
      </w:r>
      <w:r>
        <w:rPr>
          <w:rFonts w:ascii="Arial" w:eastAsia="Arial" w:hAnsi="Arial" w:cs="Arial"/>
          <w:i/>
          <w:color w:val="000000"/>
          <w:sz w:val="20"/>
        </w:rPr>
        <w:t>See</w:t>
      </w:r>
      <w:r>
        <w:rPr>
          <w:rFonts w:ascii="Arial" w:eastAsia="Arial" w:hAnsi="Arial" w:cs="Arial"/>
          <w:color w:val="000000"/>
          <w:sz w:val="20"/>
        </w:rPr>
        <w:t xml:space="preserve"> Fed. R. App. P. 34(a).</w:t>
      </w:r>
    </w:p>
    <w:p w:rsidR="00E456CD" w:rsidRDefault="00000000">
      <w:pPr>
        <w:pStyle w:val="Normal28"/>
        <w:widowControl w:val="0"/>
        <w:spacing w:before="200" w:line="260" w:lineRule="atLeast"/>
        <w:jc w:val="both"/>
      </w:pPr>
      <w:bookmarkStart w:id="4582" w:name="Bookmark_para_4_27"/>
      <w:bookmarkEnd w:id="4582"/>
      <w:r>
        <w:rPr>
          <w:rFonts w:ascii="Arial" w:eastAsia="Arial" w:hAnsi="Arial" w:cs="Arial"/>
          <w:color w:val="000000"/>
          <w:sz w:val="20"/>
        </w:rPr>
        <w:t>Collins is a former tenant of River Oaks Apartments ("River Oaks"), which is an apartment complex that the defendants own and operate in Louisville, Kentucky. He was diagnosed with a lower back injury in 1995 and receives disability payments from the Social Security Administration as a result of his condition. In June 2013, Collins requested an accessible parking space near his unit. Collins alleged that the defendants [*2]  "did not immediately accommodate this request and only after the parking lot was re-paved on or about November of 2014 was a handicapped parking space marked with paint on the pavement." Collins also alleged that he made a request for accommodation in October 2013, citing his difficulty climbing the stairs and grasping the hand rails that led to his second floor unit. Collins alleged that the defendants "refused to take steps to reasonably accommodate [his] request." Collins had a total knee replacement performed in 2014, after which he claimed that he notified the defendants "of the extreme difficulty, pain, and inconvenience" he encountered from climbing the stairs to his unit. Collins alleged that the defendants "refused to take any steps to accommodate his disability." Collins then informed the defendants that, because he was unable to access his unit due to his disabilities, he was prematurely terminating his lease and moving to another apartment complex that could accommodate him. The defendants informed Collins that a first floor unit would be available in four months' time. Despite this, Collins moved out of River Oaks. Collins alleged that the defendants attempted to collect [*3]  the remaining rent and subsequently reported his failure to pay rent to credit reporting agencies.</w:t>
      </w:r>
    </w:p>
    <w:p w:rsidR="00E456CD" w:rsidRDefault="00000000">
      <w:pPr>
        <w:pStyle w:val="Normal28"/>
        <w:widowControl w:val="0"/>
        <w:spacing w:before="200" w:line="260" w:lineRule="atLeast"/>
        <w:jc w:val="both"/>
      </w:pPr>
      <w:bookmarkStart w:id="4583" w:name="Bookmark_para_5_27"/>
      <w:bookmarkEnd w:id="4583"/>
      <w:r>
        <w:rPr>
          <w:rFonts w:ascii="Arial" w:eastAsia="Arial" w:hAnsi="Arial" w:cs="Arial"/>
          <w:color w:val="000000"/>
          <w:sz w:val="20"/>
        </w:rPr>
        <w:t>In 2014, Collins filed a pro se complaint alleging that the defendants violated Title III of the ADA and failed to provide a reasonable accommodation under the FHA. The defendants denied the allegations set forth in Collins's complaint. The defendants thereafter filed a partial motion to dismiss Collins's ADA claims pursuant to Federal Rule of Civil Procedure 12(b)(6) for failure to state a claim upon which relief can be granted. Specifically, the defendants argued that Title III of the ADA was inapplicable to the defendants' residential facility because it was not a place of public accommodation within the meaning of the Act. Collins filed a response in opposition to the defendants' motion to dismiss, in which he argued that, although Title III of the ADA does not apply to strictly residential facilities, it does cover places of public accommodation within residential facilities, such as a leasing office and parking spaces. The district court granted the defendants' motion to partially dismiss after concluding that Title III of the ADA does not apply to apartments or parking spaces in residential facilities.</w:t>
      </w:r>
    </w:p>
    <w:p w:rsidR="00E456CD" w:rsidRDefault="00000000">
      <w:pPr>
        <w:pStyle w:val="Normal28"/>
        <w:widowControl w:val="0"/>
        <w:spacing w:before="200" w:line="260" w:lineRule="atLeast"/>
        <w:jc w:val="both"/>
      </w:pPr>
      <w:bookmarkStart w:id="4584" w:name="Bookmark_para_6_27"/>
      <w:bookmarkEnd w:id="4584"/>
      <w:r>
        <w:rPr>
          <w:rFonts w:ascii="Arial" w:eastAsia="Arial" w:hAnsi="Arial" w:cs="Arial"/>
          <w:color w:val="000000"/>
          <w:sz w:val="20"/>
        </w:rPr>
        <w:t>In 2016, Collins, [*4]  now proceeding through counsel, filed an amended complaint alleging that the defendants: (1) failed to reasonably accommodate his disability in violation of 42 U.S.C. § 3604(f)(3); and (2) retaliated against him for exercising his rights under the FHA in violation of 42 U.S.C. § 3617. The defendants thereafter filed a "Motion to dismiss or, in the alternative, Motion for summary judgment." Collins filed a brief in opposition to the defendants' motion. The district court treated the defendants' motion as one for summary judgment, granted the defendants' motion, and dismissed Collins's complaint with prejudice. Collins timely appealed.</w:t>
      </w:r>
    </w:p>
    <w:p w:rsidR="00E456CD" w:rsidRDefault="00000000">
      <w:pPr>
        <w:pStyle w:val="Normal28"/>
        <w:widowControl w:val="0"/>
        <w:spacing w:before="200" w:line="260" w:lineRule="atLeast"/>
        <w:jc w:val="both"/>
      </w:pPr>
      <w:bookmarkStart w:id="4585" w:name="Bookmark_para_7_26"/>
      <w:bookmarkEnd w:id="4585"/>
      <w:r>
        <w:rPr>
          <w:rFonts w:ascii="Arial" w:eastAsia="Arial" w:hAnsi="Arial" w:cs="Arial"/>
          <w:color w:val="000000"/>
          <w:sz w:val="20"/>
        </w:rPr>
        <w:t>Collins advances two arguments on appeal. First, he argues that the district court erred by granting the defendants' Rule 12(b)(6) motion to dismiss his ADA claims. Specifically, Collins contends that the publicly accessible areas on River Oaks's premises are places of public accommodation within the meaning of the ADA. Second, Collins argues that the district court erred by granting the defendants' motion for summary judgment on his FHA claims by failing to analyze his claims under § 3604(f)(3)(A) and (B).</w:t>
      </w:r>
    </w:p>
    <w:p w:rsidR="00E456CD" w:rsidRDefault="00000000">
      <w:pPr>
        <w:pStyle w:val="Normal28"/>
        <w:widowControl w:val="0"/>
        <w:spacing w:before="200" w:line="260" w:lineRule="atLeast"/>
        <w:jc w:val="both"/>
      </w:pPr>
      <w:bookmarkStart w:id="4586" w:name="Bookmark_para_8_26"/>
      <w:bookmarkStart w:id="4587" w:name="Bookmark_I5S71JMW2HM67B0020000400"/>
      <w:bookmarkStart w:id="4588" w:name="Bookmark_I5S71JMW2HM67B0040000400"/>
      <w:bookmarkStart w:id="4589" w:name="Bookmark_LNHNREFclscc1_23"/>
      <w:bookmarkEnd w:id="4586"/>
      <w:bookmarkEnd w:id="4587"/>
      <w:bookmarkEnd w:id="4588"/>
      <w:bookmarkEnd w:id="4589"/>
      <w:r>
        <w:rPr>
          <w:rFonts w:ascii="Arial" w:eastAsia="Arial" w:hAnsi="Arial" w:cs="Arial"/>
          <w:color w:val="000000"/>
          <w:sz w:val="20"/>
        </w:rPr>
        <w:t xml:space="preserve">We review de novo a district court's grant of a motion to dismiss. </w:t>
      </w:r>
      <w:bookmarkStart w:id="4590" w:name="Bookmark_I5S71JMW2HM67B0010000400"/>
      <w:bookmarkEnd w:id="4590"/>
      <w:r>
        <w:rPr>
          <w:rFonts w:ascii="Arial" w:eastAsia="Arial" w:hAnsi="Arial" w:cs="Arial"/>
          <w:i/>
          <w:color w:val="000000"/>
          <w:sz w:val="20"/>
        </w:rPr>
        <w:t>Top Flight Entm't, Ltd. v. Schuette</w:t>
      </w:r>
      <w:r>
        <w:rPr>
          <w:rFonts w:ascii="Arial" w:eastAsia="Arial" w:hAnsi="Arial" w:cs="Arial"/>
          <w:color w:val="000000"/>
          <w:sz w:val="20"/>
        </w:rPr>
        <w:t xml:space="preserve">, 729 F.3d 623, 630 (6th Cir. 2013). </w:t>
      </w:r>
      <w:bookmarkStart w:id="4591" w:name="Bookmark_I5S71JMW2D6NHF0030000400"/>
      <w:bookmarkEnd w:id="4591"/>
      <w:r>
        <w:rPr>
          <w:rFonts w:ascii="Arial" w:eastAsia="Arial" w:hAnsi="Arial" w:cs="Arial"/>
          <w:color w:val="000000"/>
          <w:sz w:val="20"/>
        </w:rPr>
        <w:t xml:space="preserve">Rule 12(b)(6) permits dismissal for "failure to state a claim [*5]  upon which relief can be granted." We construe the complaint in the light most favorable to the plaintiff and determine whether the complaint "contain[s] sufficient factual matter, accepted as true, to 'state a claim to relief that is plausible on its face.'" </w:t>
      </w:r>
      <w:bookmarkStart w:id="4592" w:name="Bookmark_I5S71JMW2HM67B0030000400"/>
      <w:bookmarkEnd w:id="4592"/>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(quoting </w:t>
      </w:r>
      <w:bookmarkStart w:id="4593" w:name="Bookmark_I5S71JMW2HM67B0050000400"/>
      <w:bookmarkEnd w:id="4593"/>
      <w:r>
        <w:rPr>
          <w:rFonts w:ascii="Arial" w:eastAsia="Arial" w:hAnsi="Arial" w:cs="Arial"/>
          <w:i/>
          <w:color w:val="000000"/>
          <w:sz w:val="20"/>
        </w:rPr>
        <w:t>Bell Atl. Corp. v. Twombly</w:t>
      </w:r>
      <w:r>
        <w:rPr>
          <w:rFonts w:ascii="Arial" w:eastAsia="Arial" w:hAnsi="Arial" w:cs="Arial"/>
          <w:color w:val="000000"/>
          <w:sz w:val="20"/>
        </w:rPr>
        <w:t xml:space="preserve">, 550 U.S. 544, 570, 127 S. Ct. 1955, 167 L. Ed. 2d 929 (2007)). </w:t>
      </w:r>
      <w:bookmarkStart w:id="4594" w:name="Bookmark_I5S71JMW2D6NHF0030000400_2"/>
      <w:bookmarkEnd w:id="4594"/>
      <w:r>
        <w:rPr>
          <w:rFonts w:ascii="Arial" w:eastAsia="Arial" w:hAnsi="Arial" w:cs="Arial"/>
          <w:color w:val="000000"/>
          <w:sz w:val="20"/>
        </w:rPr>
        <w:t xml:space="preserve">We are not required, however, to accept as true legal conclusions couched as factual allegations. </w:t>
      </w:r>
      <w:bookmarkStart w:id="4595" w:name="Bookmark_I5S71JMW2D6NHF0050000400"/>
      <w:bookmarkEnd w:id="4595"/>
      <w:r>
        <w:rPr>
          <w:rFonts w:ascii="Arial" w:eastAsia="Arial" w:hAnsi="Arial" w:cs="Arial"/>
          <w:i/>
          <w:color w:val="000000"/>
          <w:sz w:val="20"/>
        </w:rPr>
        <w:t xml:space="preserve">See </w:t>
      </w:r>
      <w:bookmarkStart w:id="4596" w:name="Bookmark_I5S71JMW2D6NHF0020000400"/>
      <w:bookmarkEnd w:id="4596"/>
      <w:r>
        <w:rPr>
          <w:rFonts w:ascii="Arial" w:eastAsia="Arial" w:hAnsi="Arial" w:cs="Arial"/>
          <w:i/>
          <w:color w:val="000000"/>
          <w:sz w:val="20"/>
        </w:rPr>
        <w:t>Twombly</w:t>
      </w:r>
      <w:r>
        <w:rPr>
          <w:rFonts w:ascii="Arial" w:eastAsia="Arial" w:hAnsi="Arial" w:cs="Arial"/>
          <w:color w:val="000000"/>
          <w:sz w:val="20"/>
        </w:rPr>
        <w:t>, 550 U.S. at 555.</w:t>
      </w:r>
    </w:p>
    <w:p w:rsidR="00E456CD" w:rsidRDefault="00000000">
      <w:pPr>
        <w:pStyle w:val="Normal28"/>
        <w:widowControl w:val="0"/>
        <w:spacing w:line="260" w:lineRule="atLeast"/>
        <w:ind w:left="400"/>
        <w:jc w:val="both"/>
      </w:pPr>
      <w:bookmarkStart w:id="4597" w:name="Bookmark_para_9_26"/>
      <w:bookmarkStart w:id="4598" w:name="Bookmark_I5S71JMW2D6NHF0050000400_2"/>
      <w:bookmarkStart w:id="4599" w:name="Bookmark_LNHNREFclscc2_23"/>
      <w:bookmarkEnd w:id="4597"/>
      <w:bookmarkEnd w:id="4598"/>
      <w:bookmarkEnd w:id="4599"/>
      <w:r>
        <w:rPr>
          <w:rFonts w:ascii="Arial" w:eastAsia="Arial" w:hAnsi="Arial" w:cs="Arial"/>
          <w:color w:val="000000"/>
          <w:sz w:val="20"/>
        </w:rPr>
        <w:t>Title III of the ADA prohibits a place of public accommodation from discriminating against disabled individuals and states that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p w:rsidR="00E456CD" w:rsidRDefault="00000000">
      <w:pPr>
        <w:pStyle w:val="Normal28"/>
        <w:widowControl w:val="0"/>
        <w:spacing w:before="200" w:line="260" w:lineRule="atLeast"/>
        <w:jc w:val="both"/>
      </w:pPr>
      <w:bookmarkStart w:id="4600" w:name="Bookmark_I5S71JMW2D6NHF0050000400_3"/>
      <w:bookmarkStart w:id="4601" w:name="Bookmark_I5S71JMW2HM67C0020000400"/>
      <w:bookmarkStart w:id="4602" w:name="Bookmark_I5S71JMW2D6NHF0040000400"/>
      <w:bookmarkEnd w:id="4600"/>
      <w:bookmarkEnd w:id="4601"/>
      <w:bookmarkEnd w:id="4602"/>
      <w:r>
        <w:rPr>
          <w:rFonts w:ascii="Arial" w:eastAsia="Arial" w:hAnsi="Arial" w:cs="Arial"/>
          <w:i/>
          <w:color w:val="000000"/>
          <w:sz w:val="20"/>
        </w:rPr>
        <w:t>Smith v. Moorman</w:t>
      </w:r>
      <w:r>
        <w:rPr>
          <w:rFonts w:ascii="Arial" w:eastAsia="Arial" w:hAnsi="Arial" w:cs="Arial"/>
          <w:color w:val="000000"/>
          <w:sz w:val="20"/>
        </w:rPr>
        <w:t xml:space="preserve">, 47 F. App'x 755, 756 (6th Cir. 2002) (quoting 42 U.S.C. § 12182(a)). </w:t>
      </w:r>
      <w:bookmarkStart w:id="4603" w:name="Bookmark_I5S71JMW2HM67C0020000400_2"/>
      <w:bookmarkStart w:id="4604" w:name="Bookmark_I5S71JMW2HM67C0040000400"/>
      <w:bookmarkStart w:id="4605" w:name="Bookmark_LNHNREFclscc3_21"/>
      <w:bookmarkEnd w:id="4603"/>
      <w:bookmarkEnd w:id="4604"/>
      <w:bookmarkEnd w:id="4605"/>
      <w:r>
        <w:rPr>
          <w:rFonts w:ascii="Arial" w:eastAsia="Arial" w:hAnsi="Arial" w:cs="Arial"/>
          <w:color w:val="000000"/>
          <w:sz w:val="20"/>
        </w:rPr>
        <w:t xml:space="preserve">"Place of public accommodation" is defined as "a facility operated by a private entity whose operations affect commerce and fall within at least one of" twelve specified categories, 28 C.F.R. § 36.104, including "an inn, hotel, motel, or other place of lodging," 42 U.S.C. § 12181(7)(A). "'Facility,' in turn, is defined as 'all or any portion of buildings, structures, sites, complexes, equipment, rolling stock [*6]  or other conveyances, roads, walks, passageways, parking lots, or other real or personal property, including the site where the building, property, structure, or equipment is located.'" </w:t>
      </w:r>
      <w:bookmarkStart w:id="4606" w:name="Bookmark_I5S71JMW2HM67C0010000400"/>
      <w:bookmarkEnd w:id="4606"/>
      <w:r>
        <w:rPr>
          <w:rFonts w:ascii="Arial" w:eastAsia="Arial" w:hAnsi="Arial" w:cs="Arial"/>
          <w:i/>
          <w:color w:val="000000"/>
          <w:sz w:val="20"/>
        </w:rPr>
        <w:t>Stoutenborough v. Nat'l Football League, Inc.</w:t>
      </w:r>
      <w:r>
        <w:rPr>
          <w:rFonts w:ascii="Arial" w:eastAsia="Arial" w:hAnsi="Arial" w:cs="Arial"/>
          <w:color w:val="000000"/>
          <w:sz w:val="20"/>
        </w:rPr>
        <w:t xml:space="preserve">, 59 F.3d 580, 583 (6th Cir. 1995) (quoting 28 C.F.R. § 36.104). </w:t>
      </w:r>
      <w:bookmarkStart w:id="4607" w:name="Bookmark_I5S71JMW2HM67C0040000400_2"/>
      <w:bookmarkEnd w:id="4607"/>
      <w:r>
        <w:rPr>
          <w:rFonts w:ascii="Arial" w:eastAsia="Arial" w:hAnsi="Arial" w:cs="Arial"/>
          <w:color w:val="000000"/>
          <w:sz w:val="20"/>
        </w:rPr>
        <w:t xml:space="preserve">At least one federal circuit and several federal district courts have observed that residential facilities do not qualify as "public accommodations" for purposes of the ADA. </w:t>
      </w:r>
      <w:r>
        <w:rPr>
          <w:rFonts w:ascii="Arial" w:eastAsia="Arial" w:hAnsi="Arial" w:cs="Arial"/>
          <w:i/>
          <w:color w:val="000000"/>
          <w:sz w:val="20"/>
        </w:rPr>
        <w:t xml:space="preserve">See </w:t>
      </w:r>
      <w:bookmarkStart w:id="4608" w:name="Bookmark_I5S71JMW2HM67C0030000400"/>
      <w:bookmarkEnd w:id="4608"/>
      <w:r>
        <w:rPr>
          <w:rFonts w:ascii="Arial" w:eastAsia="Arial" w:hAnsi="Arial" w:cs="Arial"/>
          <w:i/>
          <w:color w:val="000000"/>
          <w:sz w:val="20"/>
        </w:rPr>
        <w:t>Regents of Mercersburg Coll. v. Republic Franklin Ins. Co.</w:t>
      </w:r>
      <w:r>
        <w:rPr>
          <w:rFonts w:ascii="Arial" w:eastAsia="Arial" w:hAnsi="Arial" w:cs="Arial"/>
          <w:color w:val="000000"/>
          <w:sz w:val="20"/>
        </w:rPr>
        <w:t xml:space="preserve">, 458 F.3d 159, 165 n.8 (3d Cir. 2006); </w:t>
      </w:r>
      <w:bookmarkStart w:id="4609" w:name="Bookmark_I5S71JMW2HM67C0050000400"/>
      <w:bookmarkEnd w:id="4609"/>
      <w:r>
        <w:rPr>
          <w:rFonts w:ascii="Arial" w:eastAsia="Arial" w:hAnsi="Arial" w:cs="Arial"/>
          <w:i/>
          <w:color w:val="000000"/>
          <w:sz w:val="20"/>
        </w:rPr>
        <w:t>Sutton v. Freedom Square Ltd.</w:t>
      </w:r>
      <w:r>
        <w:rPr>
          <w:rFonts w:ascii="Arial" w:eastAsia="Arial" w:hAnsi="Arial" w:cs="Arial"/>
          <w:color w:val="000000"/>
          <w:sz w:val="20"/>
        </w:rPr>
        <w:t>, No. 07-14897, 2008 U.S. Dist. LEXIS 81600, 2008 WL 4601372, at *6-7 (E.D. Mich. Oct. 15, 2008) (collecting district court cases).</w:t>
      </w:r>
    </w:p>
    <w:p w:rsidR="00E456CD" w:rsidRDefault="00000000">
      <w:pPr>
        <w:pStyle w:val="Normal28"/>
        <w:widowControl w:val="0"/>
        <w:spacing w:before="200" w:line="260" w:lineRule="atLeast"/>
        <w:jc w:val="both"/>
      </w:pPr>
      <w:bookmarkStart w:id="4610" w:name="Bookmark_para_10_25"/>
      <w:bookmarkStart w:id="4611" w:name="Bookmark_I48TWSVNT3B0003XDXD001NW"/>
      <w:bookmarkStart w:id="4612" w:name="Bookmark_I5S71JMW2D6NHG0030000400"/>
      <w:bookmarkEnd w:id="4610"/>
      <w:bookmarkEnd w:id="4611"/>
      <w:bookmarkEnd w:id="4612"/>
      <w:r>
        <w:rPr>
          <w:rFonts w:ascii="Arial" w:eastAsia="Arial" w:hAnsi="Arial" w:cs="Arial"/>
          <w:color w:val="000000"/>
          <w:sz w:val="20"/>
        </w:rPr>
        <w:t xml:space="preserve">Collins concedes that Title III of the ADA does not regulate residential facilities. Rather, he argues that because River Oaks has a place of public accommodation—a leasing office—on its premises, all of River Oaks's common areas, including the parking lot, walkways, and building entryways, must also be areas of public accommodation because they are open to residents, prospective tenants, and guests alike. In support of this position, Collins cites </w:t>
      </w:r>
      <w:bookmarkStart w:id="4613" w:name="Bookmark_I5S71JMW2D6NHG0020000400"/>
      <w:bookmarkEnd w:id="4613"/>
      <w:r>
        <w:rPr>
          <w:rFonts w:ascii="Arial" w:eastAsia="Arial" w:hAnsi="Arial" w:cs="Arial"/>
          <w:i/>
          <w:color w:val="000000"/>
          <w:sz w:val="20"/>
        </w:rPr>
        <w:t>No Barriers, Inc. v. BRH Texas GP, LLC</w:t>
      </w:r>
      <w:r>
        <w:rPr>
          <w:rFonts w:ascii="Arial" w:eastAsia="Arial" w:hAnsi="Arial" w:cs="Arial"/>
          <w:color w:val="000000"/>
          <w:sz w:val="20"/>
        </w:rPr>
        <w:t xml:space="preserve">, No. 3:01-cv-0344, 2001 U.S. Dist. LEXIS 15493, 2001 WL 896924 (N.D. Tex. Aug. 2, 2001), which held that a leasing office located within a residential facility was a public accommodation subject to the purview of the ADA. </w:t>
      </w:r>
      <w:bookmarkStart w:id="4614" w:name="Bookmark_I5S71JMW2D6NHG0040000400"/>
      <w:bookmarkEnd w:id="4614"/>
      <w:r>
        <w:rPr>
          <w:rFonts w:ascii="Arial" w:eastAsia="Arial" w:hAnsi="Arial" w:cs="Arial"/>
          <w:color w:val="000000"/>
          <w:sz w:val="20"/>
        </w:rPr>
        <w:t>2001 U.S. Dist. LEXIS 15493, [WL] at *2. That case, however, does not stand for the proposition that the ADA automatically extends to all publicly accessible areas within a residential [*7]  facility so long as that facility has at least one area of public accommodation on its premises. Thus, assuming that the River Oaks's on-site leasing office is a place of public accommodation, Collins has cited no authority suggesting that the complex's parking lot, walkways, entryways, and stairwells are also places of public accommodation as a matter of law. Moreover, because Collins's complaint reflects that he never made any request for an accommodation with respect to River Oaks's leasing office, we need not decide whether it qualifies as a "place of public accommodation" for purposes of the ADA. Based on the foregoing, Collins has failed to demonstrate that the district court erred by dismissing his ADA claims for failure to state a claim upon which relief can be granted.</w:t>
      </w:r>
    </w:p>
    <w:p w:rsidR="00E456CD" w:rsidRDefault="00000000">
      <w:pPr>
        <w:pStyle w:val="Normal28"/>
        <w:widowControl w:val="0"/>
        <w:spacing w:before="200" w:line="260" w:lineRule="atLeast"/>
        <w:jc w:val="both"/>
      </w:pPr>
      <w:bookmarkStart w:id="4615" w:name="Bookmark_para_11_25"/>
      <w:bookmarkStart w:id="4616" w:name="Bookmark_I5S71JMW28T4BD0020000400"/>
      <w:bookmarkEnd w:id="4615"/>
      <w:bookmarkEnd w:id="4616"/>
      <w:r>
        <w:rPr>
          <w:rFonts w:ascii="Arial" w:eastAsia="Arial" w:hAnsi="Arial" w:cs="Arial"/>
          <w:color w:val="000000"/>
          <w:sz w:val="20"/>
        </w:rPr>
        <w:t xml:space="preserve">Collins also appeals from the district court's grant of summary judgment in favor of the defendants with respect to his FHA claims. </w:t>
      </w:r>
      <w:bookmarkStart w:id="4617" w:name="Bookmark_I5S71JMW28T4BD0040000400"/>
      <w:bookmarkStart w:id="4618" w:name="Bookmark_LNHNREFclscc4_20"/>
      <w:bookmarkEnd w:id="4617"/>
      <w:bookmarkEnd w:id="4618"/>
      <w:r>
        <w:rPr>
          <w:rFonts w:ascii="Arial" w:eastAsia="Arial" w:hAnsi="Arial" w:cs="Arial"/>
          <w:color w:val="000000"/>
          <w:sz w:val="20"/>
        </w:rPr>
        <w:t xml:space="preserve">We review the district court's grant of summary judgment de novo. </w:t>
      </w:r>
      <w:bookmarkStart w:id="4619" w:name="Bookmark_I5S71JMW28T4BD0010000400"/>
      <w:bookmarkEnd w:id="4619"/>
      <w:r>
        <w:rPr>
          <w:rFonts w:ascii="Arial" w:eastAsia="Arial" w:hAnsi="Arial" w:cs="Arial"/>
          <w:i/>
          <w:color w:val="000000"/>
          <w:sz w:val="20"/>
        </w:rPr>
        <w:t>Brown v. Chapman</w:t>
      </w:r>
      <w:r>
        <w:rPr>
          <w:rFonts w:ascii="Arial" w:eastAsia="Arial" w:hAnsi="Arial" w:cs="Arial"/>
          <w:color w:val="000000"/>
          <w:sz w:val="20"/>
        </w:rPr>
        <w:t xml:space="preserve">, 814 F.3d 447, 464 (6th Cir. 2016). </w:t>
      </w:r>
      <w:bookmarkStart w:id="4620" w:name="Bookmark_LNHNREFclscc5_19"/>
      <w:bookmarkEnd w:id="4620"/>
      <w:r>
        <w:rPr>
          <w:rFonts w:ascii="Arial" w:eastAsia="Arial" w:hAnsi="Arial" w:cs="Arial"/>
          <w:color w:val="000000"/>
          <w:sz w:val="20"/>
        </w:rPr>
        <w:t xml:space="preserve">The district court properly grants summary judgment if "there is no genuine dispute as to any material fact and the movant is entitled to judgment as a matter of law." Fed. R. Civ. P. 56(a). </w:t>
      </w:r>
      <w:bookmarkStart w:id="4621" w:name="Bookmark_I5S71JMW28T4BD0040000400_2"/>
      <w:bookmarkStart w:id="4622" w:name="Bookmark_LNHNREFclscc6_18"/>
      <w:bookmarkEnd w:id="4621"/>
      <w:bookmarkEnd w:id="4622"/>
      <w:r>
        <w:rPr>
          <w:rFonts w:ascii="Arial" w:eastAsia="Arial" w:hAnsi="Arial" w:cs="Arial"/>
          <w:color w:val="000000"/>
          <w:sz w:val="20"/>
        </w:rPr>
        <w:t xml:space="preserve">The moving party must demonstrate "the absence [*8]  of a genuine issue of material fact as to at least one essential element on each of Plaintiff's claims," at which point the non-moving party "must present sufficient evidence from which a jury could reasonably find for him." </w:t>
      </w:r>
      <w:bookmarkStart w:id="4623" w:name="Bookmark_I5S71JMW28T4BD0030000400"/>
      <w:bookmarkEnd w:id="4623"/>
      <w:r>
        <w:rPr>
          <w:rFonts w:ascii="Arial" w:eastAsia="Arial" w:hAnsi="Arial" w:cs="Arial"/>
          <w:i/>
          <w:color w:val="000000"/>
          <w:sz w:val="20"/>
        </w:rPr>
        <w:t>Jones v. Muskegon Cty.</w:t>
      </w:r>
      <w:r>
        <w:rPr>
          <w:rFonts w:ascii="Arial" w:eastAsia="Arial" w:hAnsi="Arial" w:cs="Arial"/>
          <w:color w:val="000000"/>
          <w:sz w:val="20"/>
        </w:rPr>
        <w:t>, 625 F.3d 935, 940 (6th Cir. 2010).</w:t>
      </w:r>
    </w:p>
    <w:p w:rsidR="00E456CD" w:rsidRDefault="00000000">
      <w:pPr>
        <w:pStyle w:val="Normal28"/>
        <w:widowControl w:val="0"/>
        <w:spacing w:before="200" w:line="260" w:lineRule="atLeast"/>
        <w:jc w:val="both"/>
      </w:pPr>
      <w:bookmarkStart w:id="4624" w:name="Bookmark_para_12_24"/>
      <w:bookmarkStart w:id="4625" w:name="Bookmark_LNHNREFclscc7_18"/>
      <w:bookmarkEnd w:id="4624"/>
      <w:bookmarkEnd w:id="4625"/>
      <w:r>
        <w:rPr>
          <w:rFonts w:ascii="Arial" w:eastAsia="Arial" w:hAnsi="Arial" w:cs="Arial"/>
          <w:color w:val="000000"/>
          <w:sz w:val="20"/>
        </w:rPr>
        <w:t>The FHA makes it unlawful to "discriminate against any person in the terms, conditions, or privileges of sale or rental of a dwelling, or in the provision of services or facilities in connection with such dwelling, because of a handicap." 42 U.S.C. § 3604(f)(2). Such discrimination includes:</w:t>
      </w:r>
    </w:p>
    <w:p w:rsidR="00E456CD" w:rsidRDefault="00000000">
      <w:pPr>
        <w:pStyle w:val="Normal28"/>
        <w:widowControl w:val="0"/>
        <w:spacing w:line="260" w:lineRule="atLeast"/>
        <w:ind w:left="400"/>
        <w:jc w:val="both"/>
      </w:pPr>
      <w:bookmarkStart w:id="4626" w:name="Bookmark_para_13_22"/>
      <w:bookmarkEnd w:id="4626"/>
      <w:r>
        <w:rPr>
          <w:rFonts w:ascii="Arial" w:eastAsia="Arial" w:hAnsi="Arial" w:cs="Arial"/>
          <w:color w:val="000000"/>
          <w:sz w:val="20"/>
        </w:rPr>
        <w:t>(A) a refusal to permit, at the expense of the handicapped person, reasonable modifications of existing premises occupied or to be occupied by such person if such modifications may be necessary to afford such person full enjoyment of the premises except that, in the case of a rental, the landlord may where it is reasonable to do so condition permission for a modification on the renter agreeing to restore the interior of the premises to the condition that existed before the modification, reasonable wear and tear excepted[;]</w:t>
      </w:r>
    </w:p>
    <w:p w:rsidR="00E456CD" w:rsidRDefault="00000000">
      <w:pPr>
        <w:pStyle w:val="Normal28"/>
        <w:widowControl w:val="0"/>
        <w:spacing w:before="200" w:line="260" w:lineRule="atLeast"/>
        <w:ind w:left="400"/>
        <w:jc w:val="both"/>
      </w:pPr>
      <w:bookmarkStart w:id="4627" w:name="Bookmark_para_14_21"/>
      <w:bookmarkEnd w:id="4627"/>
      <w:r>
        <w:rPr>
          <w:rFonts w:ascii="Arial" w:eastAsia="Arial" w:hAnsi="Arial" w:cs="Arial"/>
          <w:color w:val="000000"/>
          <w:sz w:val="20"/>
        </w:rPr>
        <w:t>(B) a refusal to make reasonable accommodations in rules, policies, practices, or services, when such accommodations may be necessary to afford such person equal opportunity to [*9]  use and enjoy a dwelling; or</w:t>
      </w:r>
    </w:p>
    <w:p w:rsidR="00E456CD" w:rsidRDefault="00000000">
      <w:pPr>
        <w:pStyle w:val="Normal28"/>
        <w:widowControl w:val="0"/>
        <w:spacing w:line="260" w:lineRule="atLeast"/>
        <w:ind w:left="400"/>
        <w:jc w:val="both"/>
      </w:pPr>
      <w:bookmarkStart w:id="4628" w:name="Bookmark_para_15_21"/>
      <w:bookmarkEnd w:id="4628"/>
      <w:r>
        <w:rPr>
          <w:rFonts w:ascii="Arial" w:eastAsia="Arial" w:hAnsi="Arial" w:cs="Arial"/>
          <w:color w:val="000000"/>
          <w:sz w:val="20"/>
        </w:rPr>
        <w:t>(C) in connection with the design and construction of covered multifamily dwellings for first occupancy after the date that is 30 months after September 13, 1988, a failure to design and construct those dwellings in such a manner that —</w:t>
      </w:r>
    </w:p>
    <w:p w:rsidR="00E456CD" w:rsidRDefault="00000000">
      <w:pPr>
        <w:pStyle w:val="Normal28"/>
        <w:widowControl w:val="0"/>
        <w:spacing w:line="260" w:lineRule="atLeast"/>
        <w:ind w:left="800"/>
        <w:jc w:val="both"/>
      </w:pPr>
      <w:bookmarkStart w:id="4629" w:name="Bookmark_para_16_20"/>
      <w:bookmarkEnd w:id="4629"/>
      <w:r>
        <w:rPr>
          <w:rFonts w:ascii="Arial" w:eastAsia="Arial" w:hAnsi="Arial" w:cs="Arial"/>
          <w:color w:val="000000"/>
          <w:sz w:val="20"/>
        </w:rPr>
        <w:t>(i) the public use and common use portions of such dwellings are readily accessible to and usable by handicapped persons;</w:t>
      </w:r>
    </w:p>
    <w:p w:rsidR="00E456CD" w:rsidRDefault="00000000">
      <w:pPr>
        <w:pStyle w:val="Normal28"/>
        <w:widowControl w:val="0"/>
        <w:spacing w:line="260" w:lineRule="atLeast"/>
        <w:ind w:left="800"/>
        <w:jc w:val="both"/>
      </w:pPr>
      <w:bookmarkStart w:id="4630" w:name="Bookmark_para_17_19"/>
      <w:bookmarkEnd w:id="4630"/>
      <w:r>
        <w:rPr>
          <w:rFonts w:ascii="Arial" w:eastAsia="Arial" w:hAnsi="Arial" w:cs="Arial"/>
          <w:color w:val="000000"/>
          <w:sz w:val="20"/>
        </w:rPr>
        <w:t>. . .</w:t>
      </w:r>
    </w:p>
    <w:p w:rsidR="00E456CD" w:rsidRDefault="00000000">
      <w:pPr>
        <w:pStyle w:val="Normal28"/>
        <w:widowControl w:val="0"/>
        <w:spacing w:line="260" w:lineRule="atLeast"/>
        <w:ind w:left="800"/>
        <w:jc w:val="both"/>
      </w:pPr>
      <w:bookmarkStart w:id="4631" w:name="Bookmark_para_18_19"/>
      <w:bookmarkEnd w:id="4631"/>
      <w:r>
        <w:rPr>
          <w:rFonts w:ascii="Arial" w:eastAsia="Arial" w:hAnsi="Arial" w:cs="Arial"/>
          <w:color w:val="000000"/>
          <w:sz w:val="20"/>
        </w:rPr>
        <w:t>(iii) all premises within such dwellings contain the following features of adaptive design:</w:t>
      </w:r>
    </w:p>
    <w:p w:rsidR="00E456CD" w:rsidRDefault="00000000">
      <w:pPr>
        <w:pStyle w:val="Normal28"/>
        <w:widowControl w:val="0"/>
        <w:spacing w:line="260" w:lineRule="atLeast"/>
        <w:ind w:left="1200"/>
        <w:jc w:val="both"/>
      </w:pPr>
      <w:bookmarkStart w:id="4632" w:name="Bookmark_para_19_18"/>
      <w:bookmarkStart w:id="4633" w:name="Bookmark_I5S71JMW28T4BF0010000400"/>
      <w:bookmarkEnd w:id="4632"/>
      <w:bookmarkEnd w:id="4633"/>
      <w:r>
        <w:rPr>
          <w:rFonts w:ascii="Arial" w:eastAsia="Arial" w:hAnsi="Arial" w:cs="Arial"/>
          <w:color w:val="000000"/>
          <w:sz w:val="20"/>
        </w:rPr>
        <w:t>(I) an accessible route into and through the dwelling[.]</w:t>
      </w:r>
    </w:p>
    <w:p w:rsidR="00E456CD" w:rsidRDefault="00000000">
      <w:pPr>
        <w:pStyle w:val="Normal28"/>
        <w:widowControl w:val="0"/>
        <w:spacing w:before="200" w:line="260" w:lineRule="atLeast"/>
        <w:jc w:val="both"/>
      </w:pPr>
      <w:bookmarkStart w:id="4634" w:name="Bookmark_I5S71JMW28T4BF0010000400_2"/>
      <w:bookmarkEnd w:id="4634"/>
      <w:r>
        <w:rPr>
          <w:rFonts w:ascii="Arial" w:eastAsia="Arial" w:hAnsi="Arial" w:cs="Arial"/>
          <w:color w:val="000000"/>
          <w:sz w:val="20"/>
        </w:rPr>
        <w:t xml:space="preserve">42 U.S.C. § 3604(f)(3). </w:t>
      </w:r>
      <w:bookmarkStart w:id="4635" w:name="Bookmark_LNHNREFclscc8_16"/>
      <w:bookmarkEnd w:id="4635"/>
      <w:r>
        <w:rPr>
          <w:rFonts w:ascii="Arial" w:eastAsia="Arial" w:hAnsi="Arial" w:cs="Arial"/>
          <w:color w:val="000000"/>
          <w:sz w:val="20"/>
        </w:rPr>
        <w:t xml:space="preserve">"Plaintiffs who allege a violation of 42 U.S.C. 3604(f) may proceed under any or all three theories: disparate treatment, disparate impact, and failure to make reasonable accommodations." </w:t>
      </w:r>
      <w:bookmarkStart w:id="4636" w:name="Bookmark_I5S71JMW28T4BD0050000400"/>
      <w:bookmarkEnd w:id="4636"/>
      <w:r>
        <w:rPr>
          <w:rFonts w:ascii="Arial" w:eastAsia="Arial" w:hAnsi="Arial" w:cs="Arial"/>
          <w:i/>
          <w:color w:val="000000"/>
          <w:sz w:val="20"/>
        </w:rPr>
        <w:t>Smith &amp; Lee Assocs., Inc. v. City of Taylor</w:t>
      </w:r>
      <w:r>
        <w:rPr>
          <w:rFonts w:ascii="Arial" w:eastAsia="Arial" w:hAnsi="Arial" w:cs="Arial"/>
          <w:color w:val="000000"/>
          <w:sz w:val="20"/>
        </w:rPr>
        <w:t>, 102 F.3d 781, 790 (6th Cir. 1996).</w:t>
      </w:r>
    </w:p>
    <w:p w:rsidR="00E456CD" w:rsidRDefault="00000000">
      <w:pPr>
        <w:pStyle w:val="Normal28"/>
        <w:widowControl w:val="0"/>
        <w:spacing w:before="200" w:line="260" w:lineRule="atLeast"/>
        <w:jc w:val="both"/>
      </w:pPr>
      <w:bookmarkStart w:id="4637" w:name="Bookmark_para_20_17"/>
      <w:bookmarkEnd w:id="4637"/>
      <w:r>
        <w:rPr>
          <w:rFonts w:ascii="Arial" w:eastAsia="Arial" w:hAnsi="Arial" w:cs="Arial"/>
          <w:color w:val="000000"/>
          <w:sz w:val="20"/>
        </w:rPr>
        <w:t xml:space="preserve">In their motion for summary judgment, the defendants argued that they were entitled to judgment as a matter of law because § 3604(f)(3)(A)-(C) were respectively inapplicable to the present case, and also because Collins's retaliation claim was meritless. </w:t>
      </w:r>
      <w:bookmarkStart w:id="4638" w:name="Bookmark_I5S71JMW28T4BF0030000400"/>
      <w:bookmarkEnd w:id="4638"/>
      <w:r>
        <w:rPr>
          <w:rFonts w:ascii="Arial" w:eastAsia="Arial" w:hAnsi="Arial" w:cs="Arial"/>
          <w:color w:val="000000"/>
          <w:sz w:val="20"/>
        </w:rPr>
        <w:t xml:space="preserve">The district court ultimately concluded that § 3604(f)(3)(C) did not apply in this case and Collins does not challenge that determination on appeal. He has therefore abandoned any argument concerning § 3604(f)(3)(C)'s applicability in this matter. </w:t>
      </w:r>
      <w:r>
        <w:rPr>
          <w:rFonts w:ascii="Arial" w:eastAsia="Arial" w:hAnsi="Arial" w:cs="Arial"/>
          <w:i/>
          <w:color w:val="000000"/>
          <w:sz w:val="20"/>
        </w:rPr>
        <w:t xml:space="preserve">See </w:t>
      </w:r>
      <w:bookmarkStart w:id="4639" w:name="Bookmark_I5S71JMW28T4BF0020000400"/>
      <w:bookmarkEnd w:id="4639"/>
      <w:r>
        <w:rPr>
          <w:rFonts w:ascii="Arial" w:eastAsia="Arial" w:hAnsi="Arial" w:cs="Arial"/>
          <w:i/>
          <w:color w:val="000000"/>
          <w:sz w:val="20"/>
        </w:rPr>
        <w:t>Robinson v. Jones</w:t>
      </w:r>
      <w:r>
        <w:rPr>
          <w:rFonts w:ascii="Arial" w:eastAsia="Arial" w:hAnsi="Arial" w:cs="Arial"/>
          <w:color w:val="000000"/>
          <w:sz w:val="20"/>
        </w:rPr>
        <w:t>, 142 F.3d 905, 906 (6th Cir. 1998).</w:t>
      </w:r>
    </w:p>
    <w:p w:rsidR="00E456CD" w:rsidRDefault="00000000">
      <w:pPr>
        <w:pStyle w:val="Normal28"/>
        <w:widowControl w:val="0"/>
        <w:spacing w:before="200" w:line="260" w:lineRule="atLeast"/>
        <w:jc w:val="both"/>
      </w:pPr>
      <w:bookmarkStart w:id="4640" w:name="Bookmark_para_21_16"/>
      <w:bookmarkEnd w:id="4640"/>
      <w:r>
        <w:rPr>
          <w:rFonts w:ascii="Arial" w:eastAsia="Arial" w:hAnsi="Arial" w:cs="Arial"/>
          <w:color w:val="000000"/>
          <w:sz w:val="20"/>
        </w:rPr>
        <w:t>Collins's complaint, however, [*10]  did not indicate under which subsection he was proceeding. The defendants pointed this out in their motion to dismiss, or, in the alternative, motion for summary judgment. The defendants also presented arguments as to each of § 3604(f)(3)'s three subsections. In response, Collins specifically stated that he was making an accommodation claim pursuant to § 3604(f)(3)(C), and he did not address subsections § 3604(f)(3)(A) or (B).</w:t>
      </w:r>
    </w:p>
    <w:p w:rsidR="00E456CD" w:rsidRDefault="00000000">
      <w:pPr>
        <w:pStyle w:val="Normal28"/>
        <w:widowControl w:val="0"/>
        <w:spacing w:before="200" w:line="260" w:lineRule="atLeast"/>
        <w:jc w:val="both"/>
      </w:pPr>
      <w:bookmarkStart w:id="4641" w:name="Bookmark_para_22_16"/>
      <w:bookmarkEnd w:id="4641"/>
      <w:r>
        <w:rPr>
          <w:rFonts w:ascii="Arial" w:eastAsia="Arial" w:hAnsi="Arial" w:cs="Arial"/>
          <w:color w:val="000000"/>
          <w:sz w:val="20"/>
        </w:rPr>
        <w:t>The district court took Collins at his word. After determining that the defendants' motion should proceed as a motion for summary judgment, the district court determined that Collins had failed to demonstrate a material dispute of fact regarding an accommodation claim under § 3604(f)(3)(C). The district court declined to analyze § 3604(f)(3)(A) or (B), noting that Collins's response to the defendants' motion indicated that he was proceeding solely under § 3604(f)(3)(C). The district court granted summary judgment on both Collins's accommodation and retaliation claims, finding that there can be no retaliation because Collins did not have a right to accommodation under § 3604(f)(3)(C).</w:t>
      </w:r>
    </w:p>
    <w:p w:rsidR="00E456CD" w:rsidRDefault="00000000">
      <w:pPr>
        <w:pStyle w:val="Normal28"/>
        <w:widowControl w:val="0"/>
        <w:spacing w:before="200" w:line="260" w:lineRule="atLeast"/>
        <w:jc w:val="both"/>
      </w:pPr>
      <w:bookmarkStart w:id="4642" w:name="Bookmark_para_23_16"/>
      <w:bookmarkStart w:id="4643" w:name="Bookmark_I5S71JMW28T4BF0050000400"/>
      <w:bookmarkEnd w:id="4642"/>
      <w:bookmarkEnd w:id="4643"/>
      <w:r>
        <w:rPr>
          <w:rFonts w:ascii="Arial" w:eastAsia="Arial" w:hAnsi="Arial" w:cs="Arial"/>
          <w:color w:val="000000"/>
          <w:sz w:val="20"/>
        </w:rPr>
        <w:t xml:space="preserve">Collins now argues on appeal, for the first time, that he presented an accommodation claim under § 3604(f)(3)(A) or (B). But Collins has waived review of this argument because he failed to raise it below. [*11]  </w:t>
      </w:r>
      <w:bookmarkStart w:id="4644" w:name="Bookmark_LNHNREFclscc9_13"/>
      <w:bookmarkEnd w:id="4644"/>
      <w:r>
        <w:rPr>
          <w:rFonts w:ascii="Arial" w:eastAsia="Arial" w:hAnsi="Arial" w:cs="Arial"/>
          <w:color w:val="000000"/>
          <w:sz w:val="20"/>
        </w:rPr>
        <w:t xml:space="preserve">"We do not consider arguments raised for the first time on appeal 'unless the failure to consider the issue will result in a plain miscarriage of justice.'" </w:t>
      </w:r>
      <w:bookmarkStart w:id="4645" w:name="Bookmark_I5S71JMW28T4BF0040000400"/>
      <w:bookmarkEnd w:id="4645"/>
      <w:r>
        <w:rPr>
          <w:rFonts w:ascii="Arial" w:eastAsia="Arial" w:hAnsi="Arial" w:cs="Arial"/>
          <w:i/>
          <w:color w:val="000000"/>
          <w:sz w:val="20"/>
        </w:rPr>
        <w:t>Girl Scouts of Middle Tenn., Inc. v. Girl Scouts of the U.S.A.</w:t>
      </w:r>
      <w:r>
        <w:rPr>
          <w:rFonts w:ascii="Arial" w:eastAsia="Arial" w:hAnsi="Arial" w:cs="Arial"/>
          <w:color w:val="000000"/>
          <w:sz w:val="20"/>
        </w:rPr>
        <w:t xml:space="preserve">, 770 F.3d 414, 427 (6th Cir. 2014) (quoting </w:t>
      </w:r>
      <w:bookmarkStart w:id="4646" w:name="Bookmark_I5S71JMW2SF8MT0010000400"/>
      <w:bookmarkEnd w:id="4646"/>
      <w:r>
        <w:rPr>
          <w:rFonts w:ascii="Arial" w:eastAsia="Arial" w:hAnsi="Arial" w:cs="Arial"/>
          <w:i/>
          <w:color w:val="000000"/>
          <w:sz w:val="20"/>
        </w:rPr>
        <w:t>United States v. Ninety-Three Firearms</w:t>
      </w:r>
      <w:r>
        <w:rPr>
          <w:rFonts w:ascii="Arial" w:eastAsia="Arial" w:hAnsi="Arial" w:cs="Arial"/>
          <w:color w:val="000000"/>
          <w:sz w:val="20"/>
        </w:rPr>
        <w:t>, 330 F.3d 414, 424 (6th Cir. 2003)). No miscarriage of justice will occur if this argument is not considered.</w:t>
      </w:r>
    </w:p>
    <w:p w:rsidR="00E456CD" w:rsidRDefault="00000000">
      <w:pPr>
        <w:pStyle w:val="Normal28"/>
        <w:widowControl w:val="0"/>
        <w:spacing w:before="200" w:line="260" w:lineRule="atLeast"/>
        <w:jc w:val="both"/>
      </w:pPr>
      <w:bookmarkStart w:id="4647" w:name="Bookmark_para_24_15"/>
      <w:bookmarkEnd w:id="4647"/>
      <w:r>
        <w:rPr>
          <w:rFonts w:ascii="Arial" w:eastAsia="Arial" w:hAnsi="Arial" w:cs="Arial"/>
          <w:color w:val="000000"/>
          <w:sz w:val="20"/>
        </w:rPr>
        <w:t xml:space="preserve">Accordingly, we </w:t>
      </w:r>
      <w:r>
        <w:rPr>
          <w:rFonts w:ascii="Arial" w:eastAsia="Arial" w:hAnsi="Arial" w:cs="Arial"/>
          <w:b/>
          <w:color w:val="000000"/>
          <w:sz w:val="20"/>
        </w:rPr>
        <w:t>AFFIRM</w:t>
      </w:r>
      <w:r>
        <w:rPr>
          <w:rFonts w:ascii="Arial" w:eastAsia="Arial" w:hAnsi="Arial" w:cs="Arial"/>
          <w:color w:val="000000"/>
          <w:sz w:val="20"/>
        </w:rPr>
        <w:t xml:space="preserve"> the district court's judgment. WHITE, J., concurring in part and dissenting in part.</w:t>
      </w:r>
    </w:p>
    <w:p w:rsidR="00E456CD" w:rsidRDefault="00000000">
      <w:pPr>
        <w:pStyle w:val="Normal28"/>
        <w:widowControl w:val="0"/>
        <w:spacing w:before="200" w:line="260" w:lineRule="atLeast"/>
        <w:jc w:val="both"/>
      </w:pPr>
      <w:bookmarkStart w:id="4648" w:name="Bookmark_para_25_15"/>
      <w:bookmarkEnd w:id="4648"/>
      <w:r>
        <w:rPr>
          <w:rFonts w:ascii="Arial" w:eastAsia="Arial" w:hAnsi="Arial" w:cs="Arial"/>
          <w:color w:val="000000"/>
          <w:sz w:val="20"/>
        </w:rPr>
        <w:t>I join in the order except regarding Collins' claims under the Fair Housing Act. Although Collins cited only § 3604(f)(3)(C), which is not applicable to this case, the substance of his complaint and argument addressed § 3604(f)(3)(B). Because Collins alleged that Defendants failed to make reasonable accommodations for accessible parking and for accessing his second-floor apartment, the district court should have considered his claims under § 3604(f)(3)(B). I would remand for that consideration.</w:t>
      </w:r>
    </w:p>
    <w:p w:rsidR="00E456CD" w:rsidRDefault="00E456CD">
      <w:pPr>
        <w:pStyle w:val="Normal28"/>
      </w:pPr>
    </w:p>
    <w:p w:rsidR="00E456CD" w:rsidRDefault="00000000">
      <w:pPr>
        <w:pStyle w:val="Normal28"/>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2070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96106166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D243BD" id="Line 64"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29"/>
        <w:sectPr w:rsidR="00E456CD">
          <w:headerReference w:type="even" r:id="rId181"/>
          <w:headerReference w:type="default" r:id="rId182"/>
          <w:footerReference w:type="even" r:id="rId183"/>
          <w:footerReference w:type="default" r:id="rId184"/>
          <w:headerReference w:type="first" r:id="rId185"/>
          <w:footerReference w:type="first" r:id="rId186"/>
          <w:pgSz w:w="12240" w:h="15840"/>
          <w:pgMar w:top="840" w:right="1000" w:bottom="840" w:left="1000" w:header="400" w:footer="400" w:gutter="0"/>
          <w:cols w:space="720"/>
          <w:titlePg/>
        </w:sectPr>
      </w:pPr>
    </w:p>
    <w:p w:rsidR="00E456CD" w:rsidRDefault="00E456CD">
      <w:pPr>
        <w:pStyle w:val="Normal29"/>
      </w:pPr>
    </w:p>
    <w:p w:rsidR="00E456CD" w:rsidRDefault="00000000">
      <w:pPr>
        <w:pStyle w:val="Heading128"/>
        <w:keepNext w:val="0"/>
        <w:widowControl w:val="0"/>
        <w:spacing w:after="200" w:line="340" w:lineRule="atLeast"/>
        <w:jc w:val="center"/>
      </w:pPr>
      <w:r>
        <w:rPr>
          <w:rFonts w:eastAsia="Arial"/>
          <w:color w:val="000000"/>
          <w:sz w:val="28"/>
        </w:rPr>
        <w:t>Pollack v. Reg'l Sch. Unit 75</w:t>
      </w:r>
    </w:p>
    <w:p w:rsidR="00E456CD" w:rsidRDefault="00000000">
      <w:pPr>
        <w:pStyle w:val="Normal29"/>
        <w:widowControl w:val="0"/>
        <w:spacing w:before="120" w:line="260" w:lineRule="atLeast"/>
        <w:jc w:val="center"/>
      </w:pPr>
      <w:r>
        <w:rPr>
          <w:rFonts w:ascii="Arial" w:eastAsia="Arial" w:hAnsi="Arial" w:cs="Arial"/>
          <w:color w:val="000000"/>
          <w:sz w:val="20"/>
        </w:rPr>
        <w:t>United States Court of Appeals for the First Circuit</w:t>
      </w:r>
    </w:p>
    <w:p w:rsidR="00E456CD" w:rsidRDefault="00000000">
      <w:pPr>
        <w:pStyle w:val="Normal29"/>
        <w:widowControl w:val="0"/>
        <w:spacing w:before="120" w:line="260" w:lineRule="atLeast"/>
        <w:jc w:val="center"/>
      </w:pPr>
      <w:r>
        <w:rPr>
          <w:rFonts w:ascii="Arial" w:eastAsia="Arial" w:hAnsi="Arial" w:cs="Arial"/>
          <w:color w:val="000000"/>
          <w:sz w:val="20"/>
        </w:rPr>
        <w:t>March 26, 2018, Decided</w:t>
      </w:r>
    </w:p>
    <w:p w:rsidR="00E456CD" w:rsidRDefault="00000000">
      <w:pPr>
        <w:pStyle w:val="Normal29"/>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17-1700</w:t>
      </w:r>
    </w:p>
    <w:p w:rsidR="00E456CD" w:rsidRDefault="00E456CD">
      <w:pPr>
        <w:pStyle w:val="Normal29"/>
        <w:widowControl w:val="0"/>
        <w:spacing w:line="240" w:lineRule="atLeast"/>
        <w:jc w:val="both"/>
      </w:pPr>
      <w:bookmarkStart w:id="4649" w:name="Bookmark_30"/>
      <w:bookmarkEnd w:id="4649"/>
    </w:p>
    <w:p w:rsidR="00E456CD" w:rsidRDefault="00000000">
      <w:pPr>
        <w:pStyle w:val="Normal29"/>
        <w:widowControl w:val="0"/>
        <w:spacing w:before="200" w:line="240" w:lineRule="atLeast"/>
      </w:pPr>
      <w:bookmarkStart w:id="4650" w:name="Reporter_28"/>
      <w:bookmarkEnd w:id="4650"/>
      <w:r>
        <w:rPr>
          <w:rFonts w:ascii="Arial" w:eastAsia="Arial" w:hAnsi="Arial" w:cs="Arial"/>
          <w:b/>
          <w:color w:val="000000"/>
          <w:sz w:val="18"/>
        </w:rPr>
        <w:t>Reporter</w:t>
      </w:r>
    </w:p>
    <w:p w:rsidR="00E456CD" w:rsidRDefault="00000000">
      <w:pPr>
        <w:pStyle w:val="Normal29"/>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886 F.3d 75 *; 2018 U.S. App. LEXIS 7545 **; 2018 WL 1465452</w:t>
      </w:r>
    </w:p>
    <w:p w:rsidR="00E456CD" w:rsidRDefault="00000000">
      <w:pPr>
        <w:pStyle w:val="Normal29"/>
        <w:widowControl w:val="0"/>
        <w:spacing w:before="120" w:line="260" w:lineRule="atLeast"/>
      </w:pPr>
      <w:r>
        <w:rPr>
          <w:rFonts w:ascii="Arial" w:eastAsia="Arial" w:hAnsi="Arial" w:cs="Arial"/>
          <w:color w:val="000000"/>
          <w:sz w:val="20"/>
        </w:rPr>
        <w:t>MATTHEW E. POLLACK, as next friend of B.P.; JANE QUIRION, as next friend of B.P., Plaintiffs, Appellants, v. REGIONAL SCHOOL UNIT 75, Defendant, Appellee, KELLY ALLEN; TANJI JOHNSTON; PATRICK MOORE; BRADLEY V. SMITH, Defendants.</w:t>
      </w:r>
    </w:p>
    <w:p w:rsidR="00E456CD" w:rsidRDefault="00000000">
      <w:pPr>
        <w:pStyle w:val="Normal29"/>
        <w:widowControl w:val="0"/>
        <w:spacing w:before="240" w:line="260" w:lineRule="atLeast"/>
      </w:pPr>
      <w:bookmarkStart w:id="4651" w:name="Subsequent_History_11"/>
      <w:bookmarkEnd w:id="4651"/>
      <w:r>
        <w:rPr>
          <w:rFonts w:ascii="Arial" w:eastAsia="Arial" w:hAnsi="Arial" w:cs="Arial"/>
          <w:b/>
          <w:color w:val="000000"/>
          <w:sz w:val="20"/>
        </w:rPr>
        <w:t>Subsequent History:</w:t>
      </w:r>
      <w:r>
        <w:rPr>
          <w:rFonts w:ascii="Arial" w:eastAsia="Arial" w:hAnsi="Arial" w:cs="Arial"/>
          <w:color w:val="000000"/>
          <w:sz w:val="20"/>
        </w:rPr>
        <w:t> Costs and fees proceeding at Pollack v. Reg'l Sch. Union No. 75, 2018 U.S. Dist. LEXIS 105159 (D. Me., June 15, 2018)</w:t>
      </w:r>
    </w:p>
    <w:p w:rsidR="00E456CD" w:rsidRDefault="00000000">
      <w:pPr>
        <w:pStyle w:val="Normal29"/>
        <w:widowControl w:val="0"/>
        <w:spacing w:before="240" w:line="260" w:lineRule="atLeast"/>
        <w:jc w:val="both"/>
      </w:pPr>
      <w:bookmarkStart w:id="4652" w:name="Prior_History_28"/>
      <w:bookmarkEnd w:id="4652"/>
      <w:r>
        <w:rPr>
          <w:rFonts w:ascii="Arial" w:eastAsia="Arial" w:hAnsi="Arial" w:cs="Arial"/>
          <w:b/>
          <w:color w:val="000000"/>
          <w:sz w:val="20"/>
        </w:rPr>
        <w:t>Prior History:</w:t>
      </w:r>
      <w:r>
        <w:rPr>
          <w:rFonts w:ascii="Arial" w:eastAsia="Arial" w:hAnsi="Arial" w:cs="Arial"/>
          <w:color w:val="000000"/>
          <w:sz w:val="20"/>
        </w:rPr>
        <w:t> </w:t>
      </w:r>
      <w:bookmarkStart w:id="4653" w:name="Bookmark_para_1_28"/>
      <w:bookmarkEnd w:id="4653"/>
      <w:r>
        <w:rPr>
          <w:rFonts w:ascii="Arial" w:eastAsia="Arial" w:hAnsi="Arial" w:cs="Arial"/>
          <w:color w:val="000000"/>
          <w:sz w:val="20"/>
        </w:rPr>
        <w:t> [**1] APPEAL FROM THE UNITED STATES DISTRICT COURT FOR THE DISTRICT OF MAINE. Hon. Nancy Torresen, U.S. District Judge.</w:t>
      </w:r>
    </w:p>
    <w:p w:rsidR="00E456CD" w:rsidRDefault="00000000">
      <w:pPr>
        <w:pStyle w:val="Normal29"/>
        <w:widowControl w:val="0"/>
        <w:spacing w:before="120" w:line="260" w:lineRule="atLeast"/>
      </w:pPr>
      <w:r>
        <w:rPr>
          <w:rFonts w:ascii="Arial" w:eastAsia="Arial" w:hAnsi="Arial" w:cs="Arial"/>
          <w:color w:val="000000"/>
          <w:sz w:val="20"/>
        </w:rPr>
        <w:t>Pollack v. Reg'l Sch. Unit 75, 2017 U.S. Dist. LEXIS 64611 (D. Me., Apr. 28, 2017)</w:t>
      </w:r>
    </w:p>
    <w:p w:rsidR="00E456CD" w:rsidRDefault="00000000">
      <w:pPr>
        <w:pStyle w:val="Normal29"/>
        <w:widowControl w:val="0"/>
        <w:spacing w:before="240" w:line="260" w:lineRule="atLeast"/>
      </w:pPr>
      <w:bookmarkStart w:id="4654" w:name="Counsel_28"/>
      <w:bookmarkEnd w:id="4654"/>
      <w:r>
        <w:rPr>
          <w:rFonts w:ascii="Arial" w:eastAsia="Arial" w:hAnsi="Arial" w:cs="Arial"/>
          <w:b/>
          <w:color w:val="000000"/>
          <w:sz w:val="20"/>
        </w:rPr>
        <w:t>Counsel:</w:t>
      </w:r>
      <w:r>
        <w:rPr>
          <w:rFonts w:ascii="Arial" w:eastAsia="Arial" w:hAnsi="Arial" w:cs="Arial"/>
          <w:color w:val="000000"/>
          <w:sz w:val="20"/>
        </w:rPr>
        <w:t> Richard L. O'Meara, with whom Rachel W. Sears and Murray, Plumb &amp; Murray were on brief, for appellants.</w:t>
      </w:r>
    </w:p>
    <w:p w:rsidR="00E456CD" w:rsidRDefault="00000000">
      <w:pPr>
        <w:pStyle w:val="Normal29"/>
        <w:widowControl w:val="0"/>
        <w:spacing w:before="120" w:line="260" w:lineRule="atLeast"/>
      </w:pPr>
      <w:r>
        <w:rPr>
          <w:rFonts w:ascii="Arial" w:eastAsia="Arial" w:hAnsi="Arial" w:cs="Arial"/>
          <w:color w:val="000000"/>
          <w:sz w:val="20"/>
        </w:rPr>
        <w:t>Nathaniel A. Bessey, with whom Daniel A. Nuzzi and Brann &amp; Isaacson were on brief, for appellee.</w:t>
      </w:r>
    </w:p>
    <w:p w:rsidR="00E456CD" w:rsidRDefault="00000000">
      <w:pPr>
        <w:pStyle w:val="Normal29"/>
        <w:widowControl w:val="0"/>
        <w:spacing w:before="240" w:line="260" w:lineRule="atLeast"/>
      </w:pPr>
      <w:bookmarkStart w:id="4655" w:name="Judges_28"/>
      <w:bookmarkEnd w:id="4655"/>
      <w:r>
        <w:rPr>
          <w:rFonts w:ascii="Arial" w:eastAsia="Arial" w:hAnsi="Arial" w:cs="Arial"/>
          <w:b/>
          <w:color w:val="000000"/>
          <w:sz w:val="20"/>
        </w:rPr>
        <w:t>Judges:</w:t>
      </w:r>
      <w:r>
        <w:rPr>
          <w:rFonts w:ascii="Arial" w:eastAsia="Arial" w:hAnsi="Arial" w:cs="Arial"/>
          <w:color w:val="000000"/>
          <w:sz w:val="20"/>
        </w:rPr>
        <w:t> Before Kayatta, Stahl, and Barron, Circuit Judges.</w:t>
      </w:r>
    </w:p>
    <w:p w:rsidR="00E456CD" w:rsidRDefault="00000000">
      <w:pPr>
        <w:pStyle w:val="Normal29"/>
        <w:widowControl w:val="0"/>
        <w:spacing w:before="240" w:line="260" w:lineRule="atLeast"/>
      </w:pPr>
      <w:bookmarkStart w:id="4656" w:name="Opinion_by_17"/>
      <w:bookmarkEnd w:id="4656"/>
      <w:r>
        <w:rPr>
          <w:rFonts w:ascii="Arial" w:eastAsia="Arial" w:hAnsi="Arial" w:cs="Arial"/>
          <w:b/>
          <w:color w:val="000000"/>
          <w:sz w:val="20"/>
        </w:rPr>
        <w:t>Opinion by:</w:t>
      </w:r>
      <w:r>
        <w:rPr>
          <w:rFonts w:ascii="Arial" w:eastAsia="Arial" w:hAnsi="Arial" w:cs="Arial"/>
          <w:color w:val="000000"/>
          <w:sz w:val="20"/>
        </w:rPr>
        <w:t> KAYATTA</w:t>
      </w:r>
    </w:p>
    <w:p w:rsidR="00E456CD" w:rsidRDefault="00000000">
      <w:pPr>
        <w:pStyle w:val="Normal29"/>
        <w:keepNext/>
        <w:widowControl w:val="0"/>
        <w:spacing w:before="240" w:line="340" w:lineRule="atLeast"/>
      </w:pPr>
      <w:bookmarkStart w:id="4657" w:name="Opinion_28"/>
      <w:bookmarkEnd w:id="4657"/>
      <w:r>
        <w:rPr>
          <w:rFonts w:ascii="Arial" w:eastAsia="Arial" w:hAnsi="Arial" w:cs="Arial"/>
          <w:b/>
          <w:color w:val="000000"/>
          <w:sz w:val="28"/>
        </w:rPr>
        <w:t>Opinion</w:t>
      </w:r>
    </w:p>
    <w:p w:rsidR="00E456CD" w:rsidRDefault="00E22289">
      <w:pPr>
        <w:pStyle w:val="Normal29"/>
        <w:spacing w:line="60" w:lineRule="exact"/>
      </w:pPr>
      <w:r>
        <w:rPr>
          <w:noProof/>
        </w:rPr>
        <mc:AlternateContent>
          <mc:Choice Requires="wps">
            <w:drawing>
              <wp:anchor distT="0" distB="0" distL="114300" distR="114300" simplePos="0" relativeHeight="25172172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13611569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3EEE5" id="Line 65"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29"/>
      </w:pPr>
    </w:p>
    <w:p w:rsidR="00E456CD" w:rsidRDefault="00000000">
      <w:pPr>
        <w:pStyle w:val="Normal29"/>
        <w:widowControl w:val="0"/>
        <w:spacing w:before="200" w:line="260" w:lineRule="atLeast"/>
        <w:jc w:val="both"/>
      </w:pPr>
      <w:bookmarkStart w:id="4658" w:name="Bookmark_para_2_28"/>
      <w:bookmarkEnd w:id="4658"/>
      <w:r>
        <w:rPr>
          <w:rFonts w:ascii="Arial" w:eastAsia="Arial" w:hAnsi="Arial" w:cs="Arial"/>
          <w:color w:val="000000"/>
          <w:sz w:val="20"/>
        </w:rPr>
        <w:t xml:space="preserve"> [*79]  </w:t>
      </w:r>
      <w:r>
        <w:rPr>
          <w:rFonts w:ascii="Arial" w:eastAsia="Arial" w:hAnsi="Arial" w:cs="Arial"/>
          <w:b/>
          <w:color w:val="000000"/>
          <w:sz w:val="20"/>
        </w:rPr>
        <w:t xml:space="preserve">KAYATTA, </w:t>
      </w:r>
      <w:r>
        <w:rPr>
          <w:rFonts w:ascii="Arial" w:eastAsia="Arial" w:hAnsi="Arial" w:cs="Arial"/>
          <w:b/>
          <w:color w:val="000000"/>
          <w:sz w:val="20"/>
          <w:u w:val="single"/>
        </w:rPr>
        <w:t>Circuit Judge</w:t>
      </w:r>
      <w:r>
        <w:rPr>
          <w:rFonts w:ascii="Arial" w:eastAsia="Arial" w:hAnsi="Arial" w:cs="Arial"/>
          <w:color w:val="000000"/>
          <w:sz w:val="20"/>
        </w:rPr>
        <w:t>. B.P. is a 19-year-old public school student in Regional School Unit 75 (the "district") in Topsham, Maine. He has been diagnosed with several disabilities, including autism, cognitive impairment, and a variant of LandauKleffner Syndrome. B.P. is nonverbal and unable to communicate with his parents about his experiences at school. His parents want him to carry an audio recording device at school to record pretty much everything said in his presence. The school district's refusal to permit the device prompted B.P.'s parents ("plaintiffs") to file this lawsuit on his behalf under, among other things, the Americans with Disabilities Act ("ADA"). They also commenced an administrative proceeding under the Individuals with Disabilities Education Act ("IDEA"). As we will explain, because the administrative [**2]  tribunal found that carrying the recording device would provide B.P. no demonstrable benefit, plaintiffs are precluded from proving an element necessary for them to prevail on their ADA claim. We therefore affirm the judgment for the district.</w:t>
      </w:r>
    </w:p>
    <w:p w:rsidR="00E456CD" w:rsidRDefault="00000000">
      <w:pPr>
        <w:pStyle w:val="Normal29"/>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rsidR="00E456CD" w:rsidRDefault="00000000">
      <w:pPr>
        <w:pStyle w:val="Normal29"/>
        <w:widowControl w:val="0"/>
        <w:spacing w:before="200" w:line="260" w:lineRule="atLeast"/>
        <w:jc w:val="both"/>
      </w:pPr>
      <w:bookmarkStart w:id="4659" w:name="Bookmark_para_3_28"/>
      <w:bookmarkEnd w:id="4659"/>
      <w:r>
        <w:rPr>
          <w:rFonts w:ascii="Arial" w:eastAsia="Arial" w:hAnsi="Arial" w:cs="Arial"/>
          <w:color w:val="000000"/>
          <w:sz w:val="20"/>
        </w:rPr>
        <w:t>We begin by describing the basic framework of the two principal statutes at issue in this case: the IDEA, under which the plaintiffs' administrative claim was adjudicated, and the ADA, under which the claim relevant to this appeal arises.</w:t>
      </w:r>
      <w:r>
        <w:rPr>
          <w:rFonts w:ascii="Arial" w:eastAsia="Arial" w:hAnsi="Arial" w:cs="Arial"/>
          <w:vertAlign w:val="superscript"/>
        </w:rPr>
        <w:footnoteReference w:customMarkFollows="1" w:id="201"/>
        <w:t>1</w:t>
      </w:r>
    </w:p>
    <w:p w:rsidR="00E456CD" w:rsidRDefault="00000000">
      <w:pPr>
        <w:pStyle w:val="Normal29"/>
        <w:widowControl w:val="0"/>
        <w:spacing w:before="240" w:line="260" w:lineRule="atLeast"/>
      </w:pPr>
      <w:r>
        <w:br/>
      </w:r>
      <w:r>
        <w:rPr>
          <w:rFonts w:ascii="Arial" w:eastAsia="Arial" w:hAnsi="Arial" w:cs="Arial"/>
          <w:b/>
          <w:color w:val="000000"/>
          <w:sz w:val="20"/>
        </w:rPr>
        <w:t>A</w:t>
      </w:r>
      <w:r>
        <w:rPr>
          <w:rFonts w:ascii="Arial" w:eastAsia="Arial" w:hAnsi="Arial" w:cs="Arial"/>
          <w:color w:val="000000"/>
          <w:sz w:val="20"/>
        </w:rPr>
        <w:t>.</w:t>
      </w:r>
    </w:p>
    <w:p w:rsidR="00E456CD" w:rsidRDefault="00000000">
      <w:pPr>
        <w:pStyle w:val="Normal29"/>
        <w:widowControl w:val="0"/>
        <w:spacing w:before="200" w:line="260" w:lineRule="atLeast"/>
        <w:jc w:val="both"/>
      </w:pPr>
      <w:bookmarkStart w:id="4661" w:name="Bookmark_para_4_28"/>
      <w:bookmarkEnd w:id="4661"/>
      <w:r>
        <w:rPr>
          <w:rFonts w:ascii="Arial" w:eastAsia="Arial" w:hAnsi="Arial" w:cs="Arial"/>
          <w:color w:val="000000"/>
          <w:sz w:val="20"/>
        </w:rPr>
        <w:t xml:space="preserve">The purpose of the IDEA is "to ensure that all children with disabilities have available to them a free appropriate public education that emphasizes special education and related services designed to meet their unique needs." 20 U.S.C. § 1400(d)(1)(A). A free appropriate public education, commonly referred to as a FAPE, is defined to include "special education and related services that . . . are provided in conformity with [a student's] individualized education program." </w:t>
      </w:r>
      <w:r>
        <w:rPr>
          <w:rFonts w:ascii="Arial" w:eastAsia="Arial" w:hAnsi="Arial" w:cs="Arial"/>
          <w:color w:val="000000"/>
          <w:sz w:val="20"/>
          <w:u w:val="single"/>
        </w:rPr>
        <w:t>Id.</w:t>
      </w:r>
      <w:r>
        <w:rPr>
          <w:rFonts w:ascii="Arial" w:eastAsia="Arial" w:hAnsi="Arial" w:cs="Arial"/>
          <w:color w:val="000000"/>
          <w:sz w:val="20"/>
        </w:rPr>
        <w:t xml:space="preserve"> § 1401(9)(D). "Special education" is further defined as "specially designed instruction . . . to meet the unique needs of a child with a disability." </w:t>
      </w:r>
      <w:r>
        <w:rPr>
          <w:rFonts w:ascii="Arial" w:eastAsia="Arial" w:hAnsi="Arial" w:cs="Arial"/>
          <w:color w:val="000000"/>
          <w:sz w:val="20"/>
          <w:u w:val="single"/>
        </w:rPr>
        <w:t>Id.</w:t>
      </w:r>
      <w:r>
        <w:rPr>
          <w:rFonts w:ascii="Arial" w:eastAsia="Arial" w:hAnsi="Arial" w:cs="Arial"/>
          <w:color w:val="000000"/>
          <w:sz w:val="20"/>
        </w:rPr>
        <w:t xml:space="preserve"> § 1401(29). "Related services" include supportive services, such as audiology and interpreting services, "as may be required [**3]  to assist a child with a disability to benefit from special education." </w:t>
      </w:r>
      <w:r>
        <w:rPr>
          <w:rFonts w:ascii="Arial" w:eastAsia="Arial" w:hAnsi="Arial" w:cs="Arial"/>
          <w:color w:val="000000"/>
          <w:sz w:val="20"/>
          <w:u w:val="single"/>
        </w:rPr>
        <w:t>Id.</w:t>
      </w:r>
      <w:r>
        <w:rPr>
          <w:rFonts w:ascii="Arial" w:eastAsia="Arial" w:hAnsi="Arial" w:cs="Arial"/>
          <w:color w:val="000000"/>
          <w:sz w:val="20"/>
        </w:rPr>
        <w:t xml:space="preserve"> § 1401(26)(A). "Supplementary aids and services" can also be included in a student's individualized education program ("IEP"), </w:t>
      </w:r>
      <w:r>
        <w:rPr>
          <w:rFonts w:ascii="Arial" w:eastAsia="Arial" w:hAnsi="Arial" w:cs="Arial"/>
          <w:color w:val="000000"/>
          <w:sz w:val="20"/>
          <w:u w:val="single"/>
        </w:rPr>
        <w:t>see id.</w:t>
      </w:r>
      <w:r>
        <w:rPr>
          <w:rFonts w:ascii="Arial" w:eastAsia="Arial" w:hAnsi="Arial" w:cs="Arial"/>
          <w:color w:val="000000"/>
          <w:sz w:val="20"/>
        </w:rPr>
        <w:t xml:space="preserve"> § 1414(d)(1)(A)(i)(IV), and are defined as "aids, services, and other supports that are provided in regular education classes . . . to enable children with disabilities to be educated with nondisabled children to the maximum extent appropriate," </w:t>
      </w:r>
      <w:r>
        <w:rPr>
          <w:rFonts w:ascii="Arial" w:eastAsia="Arial" w:hAnsi="Arial" w:cs="Arial"/>
          <w:color w:val="000000"/>
          <w:sz w:val="20"/>
          <w:u w:val="single"/>
        </w:rPr>
        <w:t>id.</w:t>
      </w:r>
      <w:r>
        <w:rPr>
          <w:rFonts w:ascii="Arial" w:eastAsia="Arial" w:hAnsi="Arial" w:cs="Arial"/>
          <w:color w:val="000000"/>
          <w:sz w:val="20"/>
        </w:rPr>
        <w:t xml:space="preserve"> § 1401(33).</w:t>
      </w:r>
    </w:p>
    <w:p w:rsidR="00E456CD" w:rsidRDefault="00000000">
      <w:pPr>
        <w:pStyle w:val="Normal29"/>
        <w:widowControl w:val="0"/>
        <w:spacing w:before="200" w:line="260" w:lineRule="atLeast"/>
        <w:jc w:val="both"/>
      </w:pPr>
      <w:bookmarkStart w:id="4662" w:name="Bookmark_para_5_28"/>
      <w:bookmarkEnd w:id="4662"/>
      <w:r>
        <w:rPr>
          <w:rFonts w:ascii="Arial" w:eastAsia="Arial" w:hAnsi="Arial" w:cs="Arial"/>
          <w:color w:val="000000"/>
          <w:sz w:val="20"/>
        </w:rPr>
        <w:t xml:space="preserve">If parents are concerned that their child is not receiving a FAPE, they can file a complaint with the local educational agency. </w:t>
      </w:r>
      <w:r>
        <w:rPr>
          <w:rFonts w:ascii="Arial" w:eastAsia="Arial" w:hAnsi="Arial" w:cs="Arial"/>
          <w:color w:val="000000"/>
          <w:sz w:val="20"/>
          <w:u w:val="single"/>
        </w:rPr>
        <w:t>See id.</w:t>
      </w:r>
      <w:r>
        <w:rPr>
          <w:rFonts w:ascii="Arial" w:eastAsia="Arial" w:hAnsi="Arial" w:cs="Arial"/>
          <w:color w:val="000000"/>
          <w:sz w:val="20"/>
        </w:rPr>
        <w:t xml:space="preserve"> § 1415(b)(6)(A). The agency then has the opportunity to resolve the complaint at a preliminary meeting with the parents and the relevant members of the IEP team. </w:t>
      </w:r>
      <w:r>
        <w:rPr>
          <w:rFonts w:ascii="Arial" w:eastAsia="Arial" w:hAnsi="Arial" w:cs="Arial"/>
          <w:color w:val="000000"/>
          <w:sz w:val="20"/>
          <w:u w:val="single"/>
        </w:rPr>
        <w:t>See id.</w:t>
      </w:r>
      <w:r>
        <w:rPr>
          <w:rFonts w:ascii="Arial" w:eastAsia="Arial" w:hAnsi="Arial" w:cs="Arial"/>
          <w:color w:val="000000"/>
          <w:sz w:val="20"/>
        </w:rPr>
        <w:t xml:space="preserve"> § 1415(f)(1)(B)(i). If that meeting fails to resolve the complaint "to the satisfaction of the parents" within a  [*80]  certain time period, </w:t>
      </w:r>
      <w:r>
        <w:rPr>
          <w:rFonts w:ascii="Arial" w:eastAsia="Arial" w:hAnsi="Arial" w:cs="Arial"/>
          <w:color w:val="000000"/>
          <w:sz w:val="20"/>
          <w:u w:val="single"/>
        </w:rPr>
        <w:t>id.</w:t>
      </w:r>
      <w:r>
        <w:rPr>
          <w:rFonts w:ascii="Arial" w:eastAsia="Arial" w:hAnsi="Arial" w:cs="Arial"/>
          <w:color w:val="000000"/>
          <w:sz w:val="20"/>
        </w:rPr>
        <w:t xml:space="preserve"> § 1415(f)(1)(B)(ii), the parents are entitled to have the issue decided in an impartial due process hearing, </w:t>
      </w:r>
      <w:r>
        <w:rPr>
          <w:rFonts w:ascii="Arial" w:eastAsia="Arial" w:hAnsi="Arial" w:cs="Arial"/>
          <w:color w:val="000000"/>
          <w:sz w:val="20"/>
          <w:u w:val="single"/>
        </w:rPr>
        <w:t>see id.</w:t>
      </w:r>
      <w:r>
        <w:rPr>
          <w:rFonts w:ascii="Arial" w:eastAsia="Arial" w:hAnsi="Arial" w:cs="Arial"/>
          <w:color w:val="000000"/>
          <w:sz w:val="20"/>
        </w:rPr>
        <w:t xml:space="preserve"> § 1415(f)(1)(A). There are two types of arguments available to the parents at a due process hearing, both of which center on the denial of a FAPE. They can argue that their child is being denied a FAPE substantively, on the grounds that his or her IEP lacks certain special education [**4]  or related services. </w:t>
      </w:r>
      <w:r>
        <w:rPr>
          <w:rFonts w:ascii="Arial" w:eastAsia="Arial" w:hAnsi="Arial" w:cs="Arial"/>
          <w:color w:val="000000"/>
          <w:sz w:val="20"/>
          <w:u w:val="single"/>
        </w:rPr>
        <w:t>See id.</w:t>
      </w:r>
      <w:r>
        <w:rPr>
          <w:rFonts w:ascii="Arial" w:eastAsia="Arial" w:hAnsi="Arial" w:cs="Arial"/>
          <w:color w:val="000000"/>
          <w:sz w:val="20"/>
        </w:rPr>
        <w:t xml:space="preserve"> § 1415(f)(3)(E)(i). And they can argue that their child is being denied a FAPE due to procedural violations that, for example, "significantly impede[] the parents' opportunity to participate in the [IDEA] decisionmaking process." </w:t>
      </w:r>
      <w:r>
        <w:rPr>
          <w:rFonts w:ascii="Arial" w:eastAsia="Arial" w:hAnsi="Arial" w:cs="Arial"/>
          <w:color w:val="000000"/>
          <w:sz w:val="20"/>
          <w:u w:val="single"/>
        </w:rPr>
        <w:t>Id.</w:t>
      </w:r>
      <w:r>
        <w:rPr>
          <w:rFonts w:ascii="Arial" w:eastAsia="Arial" w:hAnsi="Arial" w:cs="Arial"/>
          <w:color w:val="000000"/>
          <w:sz w:val="20"/>
        </w:rPr>
        <w:t xml:space="preserve"> § 1415(f)(3)(E)(ii)(II).</w:t>
      </w:r>
    </w:p>
    <w:p w:rsidR="00E456CD" w:rsidRDefault="00000000">
      <w:pPr>
        <w:pStyle w:val="Normal29"/>
        <w:widowControl w:val="0"/>
        <w:spacing w:before="240" w:line="260" w:lineRule="atLeast"/>
      </w:pPr>
      <w:r>
        <w:br/>
      </w:r>
      <w:r>
        <w:rPr>
          <w:rFonts w:ascii="Arial" w:eastAsia="Arial" w:hAnsi="Arial" w:cs="Arial"/>
          <w:b/>
          <w:color w:val="000000"/>
          <w:sz w:val="20"/>
        </w:rPr>
        <w:t>B</w:t>
      </w:r>
      <w:r>
        <w:rPr>
          <w:rFonts w:ascii="Arial" w:eastAsia="Arial" w:hAnsi="Arial" w:cs="Arial"/>
          <w:color w:val="000000"/>
          <w:sz w:val="20"/>
        </w:rPr>
        <w:t>.</w:t>
      </w:r>
    </w:p>
    <w:p w:rsidR="00E456CD" w:rsidRDefault="00000000">
      <w:pPr>
        <w:pStyle w:val="Normal29"/>
        <w:widowControl w:val="0"/>
        <w:spacing w:before="200" w:line="260" w:lineRule="atLeast"/>
        <w:jc w:val="both"/>
      </w:pPr>
      <w:bookmarkStart w:id="4663" w:name="Bookmark_para_6_28"/>
      <w:bookmarkStart w:id="4664" w:name="Bookmark_I5S4V2HH2N1RM20050000400"/>
      <w:bookmarkEnd w:id="4663"/>
      <w:bookmarkEnd w:id="4664"/>
      <w:r>
        <w:rPr>
          <w:rFonts w:ascii="Arial" w:eastAsia="Arial" w:hAnsi="Arial" w:cs="Arial"/>
          <w:color w:val="000000"/>
          <w:sz w:val="20"/>
        </w:rPr>
        <w:t xml:space="preserve">Casting a much wider net than the IDEA, the ADA seeks to eliminate discrimination against all individuals with disabilities. </w:t>
      </w:r>
      <w:bookmarkStart w:id="4665" w:name="Bookmark_I5S4V2HH2SF8KH0040000400"/>
      <w:bookmarkStart w:id="4666" w:name="Bookmark_I5S4V2HH2N1RM20050000400_2"/>
      <w:bookmarkEnd w:id="4665"/>
      <w:bookmarkEnd w:id="4666"/>
      <w:r>
        <w:rPr>
          <w:rFonts w:ascii="Arial" w:eastAsia="Arial" w:hAnsi="Arial" w:cs="Arial"/>
          <w:color w:val="000000"/>
          <w:sz w:val="20"/>
          <w:u w:val="single"/>
        </w:rPr>
        <w:t>See</w:t>
      </w:r>
      <w:r>
        <w:rPr>
          <w:rFonts w:ascii="Arial" w:eastAsia="Arial" w:hAnsi="Arial" w:cs="Arial"/>
          <w:color w:val="000000"/>
          <w:sz w:val="20"/>
        </w:rPr>
        <w:t xml:space="preserve"> 42 U.S.C. § 12101(b)(1). </w:t>
      </w:r>
      <w:bookmarkStart w:id="4667" w:name="Bookmark_LNHNREFclscc1_24"/>
      <w:bookmarkEnd w:id="4667"/>
      <w:r>
        <w:rPr>
          <w:rFonts w:ascii="Arial" w:eastAsia="Arial" w:hAnsi="Arial" w:cs="Arial"/>
          <w:color w:val="000000"/>
          <w:sz w:val="20"/>
        </w:rPr>
        <w:t>Title II of the statute mandates that "no qualified individual with a disability shall, by reason of such disability, be excluded from participation in or be denied the benefits of the services, programs, or activities of a public entity, or be subjected to discrimination by any such entity."</w:t>
      </w:r>
      <w:r>
        <w:rPr>
          <w:rFonts w:ascii="Arial" w:eastAsia="Arial" w:hAnsi="Arial" w:cs="Arial"/>
          <w:vertAlign w:val="superscript"/>
        </w:rPr>
        <w:footnoteReference w:customMarkFollows="1" w:id="202"/>
        <w:t>2</w:t>
      </w:r>
      <w:r>
        <w:rPr>
          <w:rFonts w:ascii="Arial" w:eastAsia="Arial" w:hAnsi="Arial" w:cs="Arial"/>
          <w:color w:val="000000"/>
          <w:sz w:val="20"/>
          <w:u w:val="single"/>
        </w:rPr>
        <w:t>Id.</w:t>
      </w:r>
      <w:r>
        <w:rPr>
          <w:rFonts w:ascii="Arial" w:eastAsia="Arial" w:hAnsi="Arial" w:cs="Arial"/>
          <w:color w:val="000000"/>
          <w:sz w:val="20"/>
        </w:rPr>
        <w:t xml:space="preserve"> § 12132. This protection "is characterized as a guarantee of 'meaningful access' to government benefits and programs." </w:t>
      </w:r>
      <w:bookmarkStart w:id="4671" w:name="Bookmark_I5S4V2HH2SF8KH0030000400"/>
      <w:bookmarkEnd w:id="4671"/>
      <w:r>
        <w:rPr>
          <w:rFonts w:ascii="Arial" w:eastAsia="Arial" w:hAnsi="Arial" w:cs="Arial"/>
          <w:color w:val="000000"/>
          <w:sz w:val="20"/>
          <w:u w:val="single"/>
        </w:rPr>
        <w:t>Theriault</w:t>
      </w:r>
      <w:r>
        <w:rPr>
          <w:rFonts w:ascii="Arial" w:eastAsia="Arial" w:hAnsi="Arial" w:cs="Arial"/>
          <w:color w:val="000000"/>
          <w:sz w:val="20"/>
        </w:rPr>
        <w:t xml:space="preserve"> v. </w:t>
      </w:r>
      <w:r>
        <w:rPr>
          <w:rFonts w:ascii="Arial" w:eastAsia="Arial" w:hAnsi="Arial" w:cs="Arial"/>
          <w:color w:val="000000"/>
          <w:sz w:val="20"/>
          <w:u w:val="single"/>
        </w:rPr>
        <w:t>Flynn</w:t>
      </w:r>
      <w:r>
        <w:rPr>
          <w:rFonts w:ascii="Arial" w:eastAsia="Arial" w:hAnsi="Arial" w:cs="Arial"/>
          <w:color w:val="000000"/>
          <w:sz w:val="20"/>
        </w:rPr>
        <w:t xml:space="preserve">, 162 F.3d 46, 48 (1st Cir. 1998) (quoting </w:t>
      </w:r>
      <w:bookmarkStart w:id="4672" w:name="Bookmark_I5S4V2HH2SF8KH0050000400"/>
      <w:bookmarkEnd w:id="4672"/>
      <w:r>
        <w:rPr>
          <w:rFonts w:ascii="Arial" w:eastAsia="Arial" w:hAnsi="Arial" w:cs="Arial"/>
          <w:color w:val="000000"/>
          <w:sz w:val="20"/>
          <w:u w:val="single"/>
        </w:rPr>
        <w:t>Alexander</w:t>
      </w:r>
      <w:r>
        <w:rPr>
          <w:rFonts w:ascii="Arial" w:eastAsia="Arial" w:hAnsi="Arial" w:cs="Arial"/>
          <w:color w:val="000000"/>
          <w:sz w:val="20"/>
        </w:rPr>
        <w:t xml:space="preserve"> v. </w:t>
      </w:r>
      <w:r>
        <w:rPr>
          <w:rFonts w:ascii="Arial" w:eastAsia="Arial" w:hAnsi="Arial" w:cs="Arial"/>
          <w:color w:val="000000"/>
          <w:sz w:val="20"/>
          <w:u w:val="single"/>
        </w:rPr>
        <w:t>Choate</w:t>
      </w:r>
      <w:r>
        <w:rPr>
          <w:rFonts w:ascii="Arial" w:eastAsia="Arial" w:hAnsi="Arial" w:cs="Arial"/>
          <w:color w:val="000000"/>
          <w:sz w:val="20"/>
        </w:rPr>
        <w:t xml:space="preserve">, 469 U.S. 287, 301, 105 S. Ct. 712, 83 L. Ed. 2d 661 (1985)); </w:t>
      </w:r>
      <w:r>
        <w:rPr>
          <w:rFonts w:ascii="Arial" w:eastAsia="Arial" w:hAnsi="Arial" w:cs="Arial"/>
          <w:color w:val="000000"/>
          <w:sz w:val="20"/>
          <w:u w:val="single"/>
        </w:rPr>
        <w:t xml:space="preserve">see also </w:t>
      </w:r>
      <w:bookmarkStart w:id="4673" w:name="Bookmark_I5S4V2HH2N1RM20020000400"/>
      <w:bookmarkEnd w:id="4673"/>
      <w:r>
        <w:rPr>
          <w:rFonts w:ascii="Arial" w:eastAsia="Arial" w:hAnsi="Arial" w:cs="Arial"/>
          <w:color w:val="000000"/>
          <w:sz w:val="20"/>
          <w:u w:val="single"/>
        </w:rPr>
        <w:t>Iverson</w:t>
      </w:r>
      <w:r>
        <w:rPr>
          <w:rFonts w:ascii="Arial" w:eastAsia="Arial" w:hAnsi="Arial" w:cs="Arial"/>
          <w:color w:val="000000"/>
          <w:sz w:val="20"/>
        </w:rPr>
        <w:t xml:space="preserve"> v. </w:t>
      </w:r>
      <w:r>
        <w:rPr>
          <w:rFonts w:ascii="Arial" w:eastAsia="Arial" w:hAnsi="Arial" w:cs="Arial"/>
          <w:color w:val="000000"/>
          <w:sz w:val="20"/>
          <w:u w:val="single"/>
        </w:rPr>
        <w:t>City of Boston</w:t>
      </w:r>
      <w:r>
        <w:rPr>
          <w:rFonts w:ascii="Arial" w:eastAsia="Arial" w:hAnsi="Arial" w:cs="Arial"/>
          <w:color w:val="000000"/>
          <w:sz w:val="20"/>
        </w:rPr>
        <w:t>, 452 F.3d 94, 99 (1st Cir. 2006) ("The clear purport of Title II is to guarantee that qualified disabled persons enjoy meaningful access to public services, programs, and activities.").</w:t>
      </w:r>
    </w:p>
    <w:p w:rsidR="00E456CD" w:rsidRDefault="00000000">
      <w:pPr>
        <w:pStyle w:val="Normal29"/>
        <w:widowControl w:val="0"/>
        <w:spacing w:before="200" w:line="260" w:lineRule="atLeast"/>
        <w:jc w:val="both"/>
      </w:pPr>
      <w:bookmarkStart w:id="4674" w:name="Bookmark_para_7_27"/>
      <w:bookmarkEnd w:id="4674"/>
      <w:r>
        <w:rPr>
          <w:rFonts w:ascii="Arial" w:eastAsia="Arial" w:hAnsi="Arial" w:cs="Arial"/>
          <w:color w:val="000000"/>
          <w:sz w:val="20"/>
        </w:rPr>
        <w:t>It is undisputed that B.P. is a qualified individual under the ADA. And for purposes of our review of the district court's summary judgment ruling, the school district does not dispute that to the extent B.P. did not obtain access [**5]  to (or the benefits of) the district's services, it was by reason of his disability. Therefore, the only contested ADA issue for purposes of this appeal is whether, by rejecting plaintiffs' requests to equip B.P. with a recording device, the district denied him "the benefits of [its] services, programs, or activities" or otherwise discriminated against him.</w:t>
      </w:r>
    </w:p>
    <w:p w:rsidR="00E456CD" w:rsidRDefault="00000000">
      <w:pPr>
        <w:pStyle w:val="Normal29"/>
        <w:widowControl w:val="0"/>
        <w:spacing w:before="200" w:line="260" w:lineRule="atLeast"/>
        <w:jc w:val="both"/>
      </w:pPr>
      <w:bookmarkStart w:id="4675" w:name="Bookmark_para_8_27"/>
      <w:bookmarkStart w:id="4676" w:name="Bookmark_I5S4V2HH2HM6600040000400"/>
      <w:bookmarkEnd w:id="4675"/>
      <w:bookmarkEnd w:id="4676"/>
      <w:r>
        <w:rPr>
          <w:rFonts w:ascii="Arial" w:eastAsia="Arial" w:hAnsi="Arial" w:cs="Arial"/>
          <w:color w:val="000000"/>
          <w:sz w:val="20"/>
        </w:rPr>
        <w:t xml:space="preserve">Such </w:t>
      </w:r>
      <w:bookmarkStart w:id="4677" w:name="Bookmark_LNHNREFclscc2_24"/>
      <w:bookmarkEnd w:id="4677"/>
      <w:r>
        <w:rPr>
          <w:rFonts w:ascii="Arial" w:eastAsia="Arial" w:hAnsi="Arial" w:cs="Arial"/>
          <w:color w:val="000000"/>
          <w:sz w:val="20"/>
        </w:rPr>
        <w:t xml:space="preserve">an unlawful denial occurs if a public entity refuses to "make reasonable modifications . . . when . . . necessary to avoid discrimination on the basis of disability, unless the public entity can demonstrate that making the modifications would fundamentally alter the nature of the service, program, or activity." 28 C.F.R. § 35.130(b)(7)(i). As noted in </w:t>
      </w:r>
      <w:bookmarkStart w:id="4678" w:name="Bookmark_I5S4V2HH2HM6600030000400"/>
      <w:bookmarkEnd w:id="4678"/>
      <w:r>
        <w:rPr>
          <w:rFonts w:ascii="Arial" w:eastAsia="Arial" w:hAnsi="Arial" w:cs="Arial"/>
          <w:color w:val="000000"/>
          <w:sz w:val="20"/>
          <w:u w:val="single"/>
        </w:rPr>
        <w:t>Nunes</w:t>
      </w:r>
      <w:r>
        <w:rPr>
          <w:rFonts w:ascii="Arial" w:eastAsia="Arial" w:hAnsi="Arial" w:cs="Arial"/>
          <w:color w:val="000000"/>
          <w:sz w:val="20"/>
        </w:rPr>
        <w:t xml:space="preserve"> v. </w:t>
      </w:r>
      <w:r>
        <w:rPr>
          <w:rFonts w:ascii="Arial" w:eastAsia="Arial" w:hAnsi="Arial" w:cs="Arial"/>
          <w:color w:val="000000"/>
          <w:sz w:val="20"/>
          <w:u w:val="single"/>
        </w:rPr>
        <w:t>Massachusetts Department of Correction</w:t>
      </w:r>
      <w:r>
        <w:rPr>
          <w:rFonts w:ascii="Arial" w:eastAsia="Arial" w:hAnsi="Arial" w:cs="Arial"/>
          <w:color w:val="000000"/>
          <w:sz w:val="20"/>
        </w:rPr>
        <w:t>, 766 F.3d 136 (1st Cir. 2014), required modifications, or what we more customarily call "accommodations,"</w:t>
      </w:r>
      <w:r>
        <w:rPr>
          <w:rFonts w:ascii="Arial" w:eastAsia="Arial" w:hAnsi="Arial" w:cs="Arial"/>
          <w:vertAlign w:val="superscript"/>
        </w:rPr>
        <w:footnoteReference w:customMarkFollows="1" w:id="203"/>
        <w:t>3</w:t>
      </w:r>
      <w:r>
        <w:rPr>
          <w:rFonts w:ascii="Arial" w:eastAsia="Arial" w:hAnsi="Arial" w:cs="Arial"/>
          <w:color w:val="000000"/>
          <w:sz w:val="20"/>
        </w:rPr>
        <w:t xml:space="preserve"> include those reasonably  [*81]  necessary "to provide meaningful access to a public service." </w:t>
      </w:r>
      <w:bookmarkStart w:id="4686" w:name="Bookmark_I5S4V2HH2HM6600050000400"/>
      <w:bookmarkEnd w:id="4686"/>
      <w:r>
        <w:rPr>
          <w:rFonts w:ascii="Arial" w:eastAsia="Arial" w:hAnsi="Arial" w:cs="Arial"/>
          <w:color w:val="000000"/>
          <w:sz w:val="20"/>
          <w:u w:val="single"/>
        </w:rPr>
        <w:t>Id.</w:t>
      </w:r>
      <w:r>
        <w:rPr>
          <w:rFonts w:ascii="Arial" w:eastAsia="Arial" w:hAnsi="Arial" w:cs="Arial"/>
          <w:color w:val="000000"/>
          <w:sz w:val="20"/>
        </w:rPr>
        <w:t xml:space="preserve"> at 145 (internal quotation marks omitted).</w:t>
      </w:r>
    </w:p>
    <w:p w:rsidR="00E456CD" w:rsidRDefault="00000000">
      <w:pPr>
        <w:pStyle w:val="Normal29"/>
        <w:widowControl w:val="0"/>
        <w:spacing w:before="200" w:line="260" w:lineRule="atLeast"/>
        <w:jc w:val="both"/>
      </w:pPr>
      <w:bookmarkStart w:id="4687" w:name="Bookmark_para_9_27"/>
      <w:bookmarkStart w:id="4688" w:name="Bookmark_I5S4V2HH2HM6610010000400"/>
      <w:bookmarkStart w:id="4689" w:name="Bookmark_LNHNREFclscc3_22"/>
      <w:bookmarkEnd w:id="4687"/>
      <w:bookmarkEnd w:id="4688"/>
      <w:bookmarkEnd w:id="4689"/>
      <w:r>
        <w:rPr>
          <w:rFonts w:ascii="Arial" w:eastAsia="Arial" w:hAnsi="Arial" w:cs="Arial"/>
          <w:color w:val="000000"/>
          <w:sz w:val="20"/>
        </w:rPr>
        <w:t xml:space="preserve">In considering failure-to-accommodate claims under the ADA, we are also guided by duly enacted regulations implementing the statute's anti-discrimination mandate. </w:t>
      </w:r>
      <w:bookmarkStart w:id="4690" w:name="Bookmark_I5S4V2HH2HM6610030000400"/>
      <w:bookmarkEnd w:id="4690"/>
      <w:r>
        <w:rPr>
          <w:rFonts w:ascii="Arial" w:eastAsia="Arial" w:hAnsi="Arial" w:cs="Arial"/>
          <w:color w:val="000000"/>
          <w:sz w:val="20"/>
          <w:u w:val="single"/>
        </w:rPr>
        <w:t xml:space="preserve">See </w:t>
      </w:r>
      <w:bookmarkStart w:id="4691" w:name="Bookmark_I5S4V2HH28T4930050000400"/>
      <w:bookmarkEnd w:id="4691"/>
      <w:r>
        <w:rPr>
          <w:rFonts w:ascii="Arial" w:eastAsia="Arial" w:hAnsi="Arial" w:cs="Arial"/>
          <w:color w:val="000000"/>
          <w:sz w:val="20"/>
          <w:u w:val="single"/>
        </w:rPr>
        <w:t>A.G.</w:t>
      </w:r>
      <w:r>
        <w:rPr>
          <w:rFonts w:ascii="Arial" w:eastAsia="Arial" w:hAnsi="Arial" w:cs="Arial"/>
          <w:color w:val="000000"/>
          <w:sz w:val="20"/>
        </w:rPr>
        <w:t xml:space="preserve"> v. </w:t>
      </w:r>
      <w:r>
        <w:rPr>
          <w:rFonts w:ascii="Arial" w:eastAsia="Arial" w:hAnsi="Arial" w:cs="Arial"/>
          <w:color w:val="000000"/>
          <w:sz w:val="20"/>
          <w:u w:val="single"/>
        </w:rPr>
        <w:t>Paradise Valley Unified Sch. Dist. No. 69</w:t>
      </w:r>
      <w:r>
        <w:rPr>
          <w:rFonts w:ascii="Arial" w:eastAsia="Arial" w:hAnsi="Arial" w:cs="Arial"/>
          <w:color w:val="000000"/>
          <w:sz w:val="20"/>
        </w:rPr>
        <w:t xml:space="preserve">, 815 F.3d 1195, 1204 (9th Cir. 2016). One such regulation promulgated by the Department of Justice is relevant here. The so-called effective communications regulation requires [**6]  public entities "to ensure that communications with applicants, participants, members of the public, and companions with disabilities are as effective as communications with others." 28 C.F.R. § 35.160(a)(1). </w:t>
      </w:r>
      <w:bookmarkStart w:id="4692" w:name="Bookmark_I5S4V2HH2HM6610030000400_2"/>
      <w:bookmarkEnd w:id="4692"/>
      <w:r>
        <w:rPr>
          <w:rFonts w:ascii="Arial" w:eastAsia="Arial" w:hAnsi="Arial" w:cs="Arial"/>
          <w:color w:val="000000"/>
          <w:sz w:val="20"/>
        </w:rPr>
        <w:t xml:space="preserve">To achieve this, "public entit[ies] shall furnish appropriate auxiliary aids and services where necessary to afford individuals with disabilities . . . an equal opportunity to participate in, and enjoy the benefits of, a service, program, or activity of a public entity." </w:t>
      </w:r>
      <w:r>
        <w:rPr>
          <w:rFonts w:ascii="Arial" w:eastAsia="Arial" w:hAnsi="Arial" w:cs="Arial"/>
          <w:color w:val="000000"/>
          <w:sz w:val="20"/>
          <w:u w:val="single"/>
        </w:rPr>
        <w:t>Id.</w:t>
      </w:r>
      <w:r>
        <w:rPr>
          <w:rFonts w:ascii="Arial" w:eastAsia="Arial" w:hAnsi="Arial" w:cs="Arial"/>
          <w:color w:val="000000"/>
          <w:sz w:val="20"/>
        </w:rPr>
        <w:t xml:space="preserve"> § 35.160(b)(1); </w:t>
      </w:r>
      <w:r>
        <w:rPr>
          <w:rFonts w:ascii="Arial" w:eastAsia="Arial" w:hAnsi="Arial" w:cs="Arial"/>
          <w:color w:val="000000"/>
          <w:sz w:val="20"/>
          <w:u w:val="single"/>
        </w:rPr>
        <w:t xml:space="preserve">see also </w:t>
      </w:r>
      <w:bookmarkStart w:id="4693" w:name="Bookmark_I5S4V2HH2HM6610020000400"/>
      <w:bookmarkEnd w:id="4693"/>
      <w:r>
        <w:rPr>
          <w:rFonts w:ascii="Arial" w:eastAsia="Arial" w:hAnsi="Arial" w:cs="Arial"/>
          <w:color w:val="000000"/>
          <w:sz w:val="20"/>
          <w:u w:val="single"/>
        </w:rPr>
        <w:t>K.M. ex rel. Bright</w:t>
      </w:r>
      <w:r>
        <w:rPr>
          <w:rFonts w:ascii="Arial" w:eastAsia="Arial" w:hAnsi="Arial" w:cs="Arial"/>
          <w:color w:val="000000"/>
          <w:sz w:val="20"/>
        </w:rPr>
        <w:t xml:space="preserve"> v. </w:t>
      </w:r>
      <w:r>
        <w:rPr>
          <w:rFonts w:ascii="Arial" w:eastAsia="Arial" w:hAnsi="Arial" w:cs="Arial"/>
          <w:color w:val="000000"/>
          <w:sz w:val="20"/>
          <w:u w:val="single"/>
        </w:rPr>
        <w:t>Tustin Unified Sch. Dist.</w:t>
      </w:r>
      <w:r>
        <w:rPr>
          <w:rFonts w:ascii="Arial" w:eastAsia="Arial" w:hAnsi="Arial" w:cs="Arial"/>
          <w:color w:val="000000"/>
          <w:sz w:val="20"/>
        </w:rPr>
        <w:t>, 725 F.3d 1088, 1102 (9th Cir. 2013) (noting that "we are guided by the specific standards of the Title II effective communications regulation" because "the 'meaningful access' standard incorporates rather than supersedes applicable interpretive regulations").</w:t>
      </w:r>
    </w:p>
    <w:p w:rsidR="00E456CD" w:rsidRDefault="00000000">
      <w:pPr>
        <w:pStyle w:val="Normal29"/>
        <w:widowControl w:val="0"/>
        <w:spacing w:before="200" w:line="260" w:lineRule="atLeast"/>
        <w:jc w:val="both"/>
      </w:pPr>
      <w:bookmarkStart w:id="4694" w:name="Bookmark_para_10_26"/>
      <w:bookmarkStart w:id="4695" w:name="Bookmark_I5S4V2HH2HM6610050000400"/>
      <w:bookmarkStart w:id="4696" w:name="Bookmark_LNHNREFclscc4_21"/>
      <w:bookmarkEnd w:id="4694"/>
      <w:bookmarkEnd w:id="4695"/>
      <w:bookmarkEnd w:id="4696"/>
      <w:r>
        <w:rPr>
          <w:rFonts w:ascii="Arial" w:eastAsia="Arial" w:hAnsi="Arial" w:cs="Arial"/>
          <w:color w:val="000000"/>
          <w:sz w:val="20"/>
        </w:rPr>
        <w:t xml:space="preserve">A plaintiff pursuing an accommodation-based claim of discrimination under the ADA must in the first instance make several showings, one of which is the "effectiveness" of the proposed accommodation. </w:t>
      </w:r>
      <w:bookmarkStart w:id="4697" w:name="Bookmark_I5S4V2HH2SF8KJ0020000400"/>
      <w:bookmarkStart w:id="4698" w:name="Bookmark_I5S4V2HH2HM6610040000400"/>
      <w:bookmarkEnd w:id="4697"/>
      <w:bookmarkEnd w:id="4698"/>
      <w:r>
        <w:rPr>
          <w:rFonts w:ascii="Arial" w:eastAsia="Arial" w:hAnsi="Arial" w:cs="Arial"/>
          <w:color w:val="000000"/>
          <w:sz w:val="20"/>
          <w:u w:val="single"/>
        </w:rPr>
        <w:t>Reed</w:t>
      </w:r>
      <w:r>
        <w:rPr>
          <w:rFonts w:ascii="Arial" w:eastAsia="Arial" w:hAnsi="Arial" w:cs="Arial"/>
          <w:color w:val="000000"/>
          <w:sz w:val="20"/>
        </w:rPr>
        <w:t xml:space="preserve"> v. </w:t>
      </w:r>
      <w:r>
        <w:rPr>
          <w:rFonts w:ascii="Arial" w:eastAsia="Arial" w:hAnsi="Arial" w:cs="Arial"/>
          <w:color w:val="000000"/>
          <w:sz w:val="20"/>
          <w:u w:val="single"/>
        </w:rPr>
        <w:t>LePage Bakeries</w:t>
      </w:r>
      <w:r>
        <w:rPr>
          <w:rFonts w:ascii="Arial" w:eastAsia="Arial" w:hAnsi="Arial" w:cs="Arial"/>
          <w:color w:val="000000"/>
          <w:sz w:val="20"/>
        </w:rPr>
        <w:t xml:space="preserve">, Inc., 244 F.3d 254, 259 (1st Cir. 2001) (explaining that the plaintiff has the burden to show that the proposed accommodation is effective and reasonable). In other words, the accommodation must provide a benefit in the form of increased access to a public service. </w:t>
      </w:r>
      <w:bookmarkStart w:id="4699" w:name="Bookmark_I5S4V2HH2SF8KJ0020000400_2"/>
      <w:bookmarkEnd w:id="4699"/>
      <w:r>
        <w:rPr>
          <w:rFonts w:ascii="Arial" w:eastAsia="Arial" w:hAnsi="Arial" w:cs="Arial"/>
          <w:color w:val="000000"/>
          <w:sz w:val="20"/>
          <w:u w:val="single"/>
        </w:rPr>
        <w:t xml:space="preserve">See </w:t>
      </w:r>
      <w:bookmarkStart w:id="4700" w:name="Bookmark_I5S4V2HH2SF8KJ0010000400"/>
      <w:bookmarkEnd w:id="4700"/>
      <w:r>
        <w:rPr>
          <w:rFonts w:ascii="Arial" w:eastAsia="Arial" w:hAnsi="Arial" w:cs="Arial"/>
          <w:color w:val="000000"/>
          <w:sz w:val="20"/>
          <w:u w:val="single"/>
        </w:rPr>
        <w:t>Nunes</w:t>
      </w:r>
      <w:r>
        <w:rPr>
          <w:rFonts w:ascii="Arial" w:eastAsia="Arial" w:hAnsi="Arial" w:cs="Arial"/>
          <w:color w:val="000000"/>
          <w:sz w:val="20"/>
        </w:rPr>
        <w:t>, 766 F.3d at 145. Nothing in the effective communications regulation obviates the need to [**7]  show that a requested accommodation will provide some such benefit. To the contrary, the regulation only requires public entities to provide auxiliary communication aids and services "</w:t>
      </w:r>
      <w:r>
        <w:rPr>
          <w:rFonts w:ascii="Arial" w:eastAsia="Arial" w:hAnsi="Arial" w:cs="Arial"/>
          <w:color w:val="000000"/>
          <w:sz w:val="20"/>
          <w:u w:val="single"/>
        </w:rPr>
        <w:t>where necessary</w:t>
      </w:r>
      <w:r>
        <w:rPr>
          <w:rFonts w:ascii="Arial" w:eastAsia="Arial" w:hAnsi="Arial" w:cs="Arial"/>
          <w:color w:val="000000"/>
          <w:sz w:val="20"/>
        </w:rPr>
        <w:t xml:space="preserve"> to afford individuals with disabilities . . . an equal opportunity to participate in, and enjoy the benefits of, [the entity's] service, program, or activity." 28 C.F.R. § 35.160(b)(1) (emphasis added). And although the regulation directs that "[i]n determining what types of auxiliary aids and services are necessary, a public entity shall give primary consideration to the requests of individuals with disabilities," </w:t>
      </w:r>
      <w:r>
        <w:rPr>
          <w:rFonts w:ascii="Arial" w:eastAsia="Arial" w:hAnsi="Arial" w:cs="Arial"/>
          <w:color w:val="000000"/>
          <w:sz w:val="20"/>
          <w:u w:val="single"/>
        </w:rPr>
        <w:t>id.</w:t>
      </w:r>
      <w:r>
        <w:rPr>
          <w:rFonts w:ascii="Arial" w:eastAsia="Arial" w:hAnsi="Arial" w:cs="Arial"/>
          <w:color w:val="000000"/>
          <w:sz w:val="20"/>
        </w:rPr>
        <w:t xml:space="preserve"> § 35.160(b)(2), the requested aid or service must still be beneficial in the first instance. See United States Dep'ts of Educ. and Justice, </w:t>
      </w:r>
      <w:r>
        <w:rPr>
          <w:rFonts w:ascii="Arial" w:eastAsia="Arial" w:hAnsi="Arial" w:cs="Arial"/>
          <w:color w:val="000000"/>
          <w:sz w:val="20"/>
          <w:u w:val="single"/>
        </w:rPr>
        <w:t>Frequently Asked Questions on Effective Communication for Students with Hearing, Vision, or Speech Disabilities in Public Elementary and Secondary Schools</w:t>
      </w:r>
      <w:r>
        <w:rPr>
          <w:rFonts w:ascii="Arial" w:eastAsia="Arial" w:hAnsi="Arial" w:cs="Arial"/>
          <w:color w:val="000000"/>
          <w:sz w:val="20"/>
        </w:rPr>
        <w:t xml:space="preserve"> 8-9, https://www2.ed.gov/about/offices/list/ocr/docs/dcl-faqs-effective-communication-201411.pdf.</w:t>
      </w:r>
    </w:p>
    <w:p w:rsidR="00E456CD" w:rsidRDefault="00000000">
      <w:pPr>
        <w:pStyle w:val="Normal29"/>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rsidR="00E456CD" w:rsidRDefault="00000000">
      <w:pPr>
        <w:pStyle w:val="Normal29"/>
        <w:widowControl w:val="0"/>
        <w:spacing w:before="200" w:line="260" w:lineRule="atLeast"/>
        <w:jc w:val="both"/>
      </w:pPr>
      <w:bookmarkStart w:id="4701" w:name="Bookmark_para_11_26"/>
      <w:bookmarkEnd w:id="4701"/>
      <w:r>
        <w:rPr>
          <w:rFonts w:ascii="Arial" w:eastAsia="Arial" w:hAnsi="Arial" w:cs="Arial"/>
          <w:color w:val="000000"/>
          <w:sz w:val="20"/>
        </w:rPr>
        <w:t>We next recite the relevant travel of plaintiffs' multitrack pursuit of their claims under the ADA and IDEA. Plaintiffs sued the district and several school officials in March 2013, alleging violations of the First Amendment, the ADA, [**8]  the Rehabilitation Act, and the IDEA. In May 2014, plaintiffs filed a second suit against the district and several other school officials, alleging that the district had "continued the pattern" of violating their rights under those statutes. The two cases were  [*82]  consolidated in the district court and in due course the parties filed cross-motions for summary judgment.</w:t>
      </w:r>
    </w:p>
    <w:p w:rsidR="00E456CD" w:rsidRDefault="00000000">
      <w:pPr>
        <w:pStyle w:val="Normal29"/>
        <w:widowControl w:val="0"/>
        <w:spacing w:before="200" w:line="260" w:lineRule="atLeast"/>
        <w:jc w:val="both"/>
      </w:pPr>
      <w:bookmarkStart w:id="4702" w:name="Bookmark_para_12_25"/>
      <w:bookmarkEnd w:id="4702"/>
      <w:r>
        <w:rPr>
          <w:rFonts w:ascii="Arial" w:eastAsia="Arial" w:hAnsi="Arial" w:cs="Arial"/>
          <w:color w:val="000000"/>
          <w:sz w:val="20"/>
        </w:rPr>
        <w:t>The district argued that plaintiffs had failed to exhaust their administrative remedies under the IDEA, which barred their claims under the First Amendment, the ADA, and the Rehabilitation Act. In response, while the parties were awaiting a decision on the summary judgment motions, plaintiffs began the process of exhausting their IDEA remedies by requesting a due process hearing from the Maine Department of Education in early January 2016.</w:t>
      </w:r>
      <w:r>
        <w:rPr>
          <w:rFonts w:ascii="Arial" w:eastAsia="Arial" w:hAnsi="Arial" w:cs="Arial"/>
          <w:vertAlign w:val="superscript"/>
        </w:rPr>
        <w:footnoteReference w:customMarkFollows="1" w:id="204"/>
        <w:t>4</w:t>
      </w:r>
      <w:r>
        <w:rPr>
          <w:rFonts w:ascii="Arial" w:eastAsia="Arial" w:hAnsi="Arial" w:cs="Arial"/>
          <w:color w:val="000000"/>
          <w:sz w:val="20"/>
        </w:rPr>
        <w:t xml:space="preserve"> In that request, plaintiffs asserted numerous violations of the IDEA and sought, among other things, a finding that the recording device was necessary to provide B.P. with a FAPE.</w:t>
      </w:r>
      <w:r>
        <w:rPr>
          <w:rFonts w:ascii="Arial" w:eastAsia="Arial" w:hAnsi="Arial" w:cs="Arial"/>
          <w:vertAlign w:val="superscript"/>
        </w:rPr>
        <w:footnoteReference w:customMarkFollows="1" w:id="205"/>
        <w:t>5</w:t>
      </w:r>
    </w:p>
    <w:p w:rsidR="00E456CD" w:rsidRDefault="00000000">
      <w:pPr>
        <w:pStyle w:val="Normal29"/>
        <w:widowControl w:val="0"/>
        <w:spacing w:before="200" w:line="260" w:lineRule="atLeast"/>
        <w:jc w:val="both"/>
      </w:pPr>
      <w:bookmarkStart w:id="4705" w:name="Bookmark_para_13_23"/>
      <w:bookmarkEnd w:id="4705"/>
      <w:r>
        <w:rPr>
          <w:rFonts w:ascii="Arial" w:eastAsia="Arial" w:hAnsi="Arial" w:cs="Arial"/>
          <w:color w:val="000000"/>
          <w:sz w:val="20"/>
        </w:rPr>
        <w:t>Shortly after plaintiffs requested the due process hearing, the district court entered summary judgment for the district on plaintiffs' remaining ADA, Rehabilitation Act, and First Amendment claims. It agreed with the district and found plaintiffs' [**9]  claims barred for failure to have fully exhausted all remedies under the IDEA. Plaintiffs appealed that determination to this court.</w:t>
      </w:r>
    </w:p>
    <w:p w:rsidR="00E456CD" w:rsidRDefault="00000000">
      <w:pPr>
        <w:pStyle w:val="Normal29"/>
        <w:widowControl w:val="0"/>
        <w:spacing w:before="200" w:line="260" w:lineRule="atLeast"/>
        <w:jc w:val="both"/>
      </w:pPr>
      <w:bookmarkStart w:id="4706" w:name="Bookmark_para_14_22"/>
      <w:bookmarkEnd w:id="4706"/>
      <w:r>
        <w:rPr>
          <w:rFonts w:ascii="Arial" w:eastAsia="Arial" w:hAnsi="Arial" w:cs="Arial"/>
          <w:color w:val="000000"/>
          <w:sz w:val="20"/>
        </w:rPr>
        <w:t>While plaintiffs' appeal to this court was pending, an IDEA hearing officer from the Maine Department of Education moved forward on their hearing request. The hearing officer held a three-day hearing in March 2016 and, shortly thereafter, issued a decision. The decision rejected plaintiffs' position that the recording device was required under the IDEA. In so ruling, the hearing officer made the following findings, in relevant part:</w:t>
      </w:r>
    </w:p>
    <w:p w:rsidR="00E456CD" w:rsidRDefault="00000000">
      <w:pPr>
        <w:pStyle w:val="Normal29"/>
        <w:widowControl w:val="0"/>
        <w:spacing w:before="200" w:line="260" w:lineRule="atLeast"/>
        <w:ind w:left="400"/>
        <w:jc w:val="both"/>
      </w:pPr>
      <w:bookmarkStart w:id="4707" w:name="Bookmark_para_15_22"/>
      <w:bookmarkEnd w:id="4707"/>
      <w:r>
        <w:rPr>
          <w:rFonts w:ascii="Arial" w:eastAsia="Arial" w:hAnsi="Arial" w:cs="Arial"/>
          <w:color w:val="000000"/>
          <w:sz w:val="20"/>
        </w:rPr>
        <w:t>No doubt it must be difficult to send a child who has a limited ability to communicate into the care of others. It requires a certain level of trust. The Student has attended school in the District for 12 years without a recording device, and throughout his entire educational career, he has been happy, has loved school, and has made continuous and significant progress. There have been only a handful of incidents of concern to the Parents, and the Parents have stated under oath that they felt the Student was safe at school. The need for a recording device is therefore not a safety issue. . . . Everyone, including the Parents, [**10]  agrees that the Student has been making good progress in his educational program. That is precisely what FAPE requires. The Student is receiving FAPE.</w:t>
      </w:r>
    </w:p>
    <w:p w:rsidR="00E456CD" w:rsidRDefault="00000000">
      <w:pPr>
        <w:pStyle w:val="Normal29"/>
        <w:widowControl w:val="0"/>
        <w:spacing w:line="260" w:lineRule="atLeast"/>
        <w:ind w:left="400"/>
        <w:jc w:val="both"/>
      </w:pPr>
      <w:bookmarkStart w:id="4708" w:name="Bookmark_para_16_21"/>
      <w:bookmarkEnd w:id="4708"/>
      <w:r>
        <w:rPr>
          <w:rFonts w:ascii="Arial" w:eastAsia="Arial" w:hAnsi="Arial" w:cs="Arial"/>
          <w:color w:val="000000"/>
          <w:sz w:val="20"/>
        </w:rPr>
        <w:t>From a practical perspective, it is impossible for the District staff to report on every aspect of the Student's day, and it is not necessary. In the Parent's closing argument, he lists some examples where information should have been included in the daily log but wasn't, and most were essential in his eyes but not in mine or the other adjudicators who have denied his attempts to send the Student to school with a recording device.</w:t>
      </w:r>
    </w:p>
    <w:p w:rsidR="00E456CD" w:rsidRDefault="00000000">
      <w:pPr>
        <w:pStyle w:val="Normal29"/>
        <w:widowControl w:val="0"/>
        <w:spacing w:before="200" w:line="260" w:lineRule="atLeast"/>
        <w:ind w:left="400"/>
        <w:jc w:val="both"/>
      </w:pPr>
      <w:bookmarkStart w:id="4709" w:name="Bookmark_para_17_20"/>
      <w:bookmarkEnd w:id="4709"/>
      <w:r>
        <w:rPr>
          <w:rFonts w:ascii="Arial" w:eastAsia="Arial" w:hAnsi="Arial" w:cs="Arial"/>
          <w:color w:val="000000"/>
          <w:sz w:val="20"/>
        </w:rPr>
        <w:t>It is unnecessary for the Student to wear a recording device to benefit educationally. As noted above, there is no  [*83]  dispute that the student is already receiving FAPE without the recording device.</w:t>
      </w:r>
    </w:p>
    <w:p w:rsidR="00E456CD" w:rsidRDefault="00000000">
      <w:pPr>
        <w:pStyle w:val="Normal29"/>
        <w:widowControl w:val="0"/>
        <w:spacing w:before="200" w:line="260" w:lineRule="atLeast"/>
        <w:ind w:left="400"/>
        <w:jc w:val="both"/>
      </w:pPr>
      <w:bookmarkStart w:id="4710" w:name="Bookmark_para_18_20"/>
      <w:bookmarkEnd w:id="4710"/>
      <w:r>
        <w:rPr>
          <w:rFonts w:ascii="Arial" w:eastAsia="Arial" w:hAnsi="Arial" w:cs="Arial"/>
          <w:color w:val="000000"/>
          <w:sz w:val="20"/>
        </w:rPr>
        <w:t>There is [a] wealth of evidence from both educators and the parent of another child with autism (Parent B) that the recording device actually would be disruptive and detrimental to the education of the Student and would interfere with the learning process. It is also understandable, given the Parents' unusually high level of scrutiny over the actions of the District, that District staff would be concerned about how the [**11]  Parents would use the recordings, and that things could be taken out of context from a recording of a nonverbal child.</w:t>
      </w:r>
    </w:p>
    <w:p w:rsidR="00E456CD" w:rsidRDefault="00000000">
      <w:pPr>
        <w:pStyle w:val="Normal29"/>
        <w:widowControl w:val="0"/>
        <w:spacing w:line="260" w:lineRule="atLeast"/>
        <w:ind w:left="400"/>
        <w:jc w:val="both"/>
      </w:pPr>
      <w:bookmarkStart w:id="4711" w:name="Bookmark_para_19_19"/>
      <w:bookmarkEnd w:id="4711"/>
      <w:r>
        <w:rPr>
          <w:rFonts w:ascii="Arial" w:eastAsia="Arial" w:hAnsi="Arial" w:cs="Arial"/>
          <w:color w:val="000000"/>
          <w:sz w:val="20"/>
        </w:rPr>
        <w:t>Based upon the evidence, I conclude that allowing the Student to wear a device that would record his day at school, either by audio or video means, would interfere with his ability to receive FAPE. The Parent was unable to state how or whether the Parents would use the recordings. There is simply no demonstrable benefit, and there is the potential for harm.</w:t>
      </w:r>
    </w:p>
    <w:p w:rsidR="00E456CD" w:rsidRDefault="00000000">
      <w:pPr>
        <w:pStyle w:val="Normal29"/>
        <w:widowControl w:val="0"/>
        <w:spacing w:line="260" w:lineRule="atLeast"/>
        <w:ind w:left="400"/>
        <w:jc w:val="both"/>
      </w:pPr>
      <w:bookmarkStart w:id="4712" w:name="Bookmark_para_20_18"/>
      <w:bookmarkEnd w:id="4712"/>
      <w:r>
        <w:rPr>
          <w:rFonts w:ascii="Arial" w:eastAsia="Arial" w:hAnsi="Arial" w:cs="Arial"/>
          <w:color w:val="000000"/>
          <w:sz w:val="20"/>
        </w:rPr>
        <w:t>In conclusion, the Parent has failed to provide any evidence that the Student is not receiving FAPE and no evidence to support the assertion that wearing a recording device could benefit him educationally.</w:t>
      </w:r>
    </w:p>
    <w:p w:rsidR="00E456CD" w:rsidRDefault="00000000">
      <w:pPr>
        <w:pStyle w:val="Normal29"/>
        <w:widowControl w:val="0"/>
        <w:spacing w:before="200" w:line="260" w:lineRule="atLeast"/>
        <w:jc w:val="both"/>
      </w:pPr>
      <w:bookmarkStart w:id="4713" w:name="Bookmark_para_21_17"/>
      <w:bookmarkStart w:id="4714" w:name="Bookmark_I5S4V2HH2SF8KJ0040000400"/>
      <w:bookmarkStart w:id="4715" w:name="Bookmark_I5S4V2HH2SF8KK0010000400"/>
      <w:bookmarkEnd w:id="4713"/>
      <w:bookmarkEnd w:id="4714"/>
      <w:bookmarkEnd w:id="4715"/>
      <w:r>
        <w:rPr>
          <w:rFonts w:ascii="Arial" w:eastAsia="Arial" w:hAnsi="Arial" w:cs="Arial"/>
          <w:color w:val="000000"/>
          <w:sz w:val="20"/>
        </w:rPr>
        <w:t xml:space="preserve">Issuance of the hearing officer's ruling resolving plaintiffs' IDEA claims caused this court to dismiss the original appeal of the district court's exhaustion ruling as moot and to vacate the judgment of dismissal, since, if there were an exhaustion requirement, plaintiffs had met it. </w:t>
      </w:r>
      <w:r>
        <w:rPr>
          <w:rFonts w:ascii="Arial" w:eastAsia="Arial" w:hAnsi="Arial" w:cs="Arial"/>
          <w:color w:val="000000"/>
          <w:sz w:val="20"/>
          <w:u w:val="single"/>
        </w:rPr>
        <w:t xml:space="preserve">See </w:t>
      </w:r>
      <w:bookmarkStart w:id="4716" w:name="Bookmark_I5S4V2HH2SF8KJ0030000400"/>
      <w:bookmarkEnd w:id="4716"/>
      <w:r>
        <w:rPr>
          <w:rFonts w:ascii="Arial" w:eastAsia="Arial" w:hAnsi="Arial" w:cs="Arial"/>
          <w:color w:val="000000"/>
          <w:sz w:val="20"/>
          <w:u w:val="single"/>
        </w:rPr>
        <w:t>Pollack</w:t>
      </w:r>
      <w:r>
        <w:rPr>
          <w:rFonts w:ascii="Arial" w:eastAsia="Arial" w:hAnsi="Arial" w:cs="Arial"/>
          <w:color w:val="000000"/>
          <w:sz w:val="20"/>
        </w:rPr>
        <w:t xml:space="preserve"> v. </w:t>
      </w:r>
      <w:r>
        <w:rPr>
          <w:rFonts w:ascii="Arial" w:eastAsia="Arial" w:hAnsi="Arial" w:cs="Arial"/>
          <w:color w:val="000000"/>
          <w:sz w:val="20"/>
          <w:u w:val="single"/>
        </w:rPr>
        <w:t>Reg'l Sch. Unit 75</w:t>
      </w:r>
      <w:r>
        <w:rPr>
          <w:rFonts w:ascii="Arial" w:eastAsia="Arial" w:hAnsi="Arial" w:cs="Arial"/>
          <w:color w:val="000000"/>
          <w:sz w:val="20"/>
        </w:rPr>
        <w:t>, 660 F. App'x 1, 2-3 (1st Cir. 2016) (unpublished).</w:t>
      </w:r>
      <w:r>
        <w:rPr>
          <w:rFonts w:ascii="Arial" w:eastAsia="Arial" w:hAnsi="Arial" w:cs="Arial"/>
          <w:vertAlign w:val="superscript"/>
        </w:rPr>
        <w:footnoteReference w:customMarkFollows="1" w:id="206"/>
        <w:t>6</w:t>
      </w:r>
      <w:r>
        <w:rPr>
          <w:rFonts w:ascii="Arial" w:eastAsia="Arial" w:hAnsi="Arial" w:cs="Arial"/>
          <w:color w:val="000000"/>
          <w:sz w:val="20"/>
        </w:rPr>
        <w:t xml:space="preserve"> On remand, the district court held that the IDEA hearing officer's un-appealed findings collaterally precluded plaintiffs from establishing that the recording device was a required accommodation under the ADA and [**12]  the Rehabilitation Act. The district court also found, on summary judgment, that the effective communications regulation did not apply to communications between B.P. and his parents. After plaintiffs then tried their First Amendment claims to a jury and lost, final judgment entered. Plaintiffs appealed only the dismissal of their disability discrimination claims against the district.</w:t>
      </w:r>
    </w:p>
    <w:p w:rsidR="00E456CD" w:rsidRDefault="00000000">
      <w:pPr>
        <w:pStyle w:val="Normal29"/>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rsidR="00E456CD" w:rsidRDefault="00000000">
      <w:pPr>
        <w:pStyle w:val="Normal29"/>
        <w:widowControl w:val="0"/>
        <w:spacing w:before="200" w:line="260" w:lineRule="atLeast"/>
        <w:jc w:val="both"/>
      </w:pPr>
      <w:bookmarkStart w:id="4720" w:name="Bookmark_para_22_17"/>
      <w:bookmarkStart w:id="4721" w:name="Bookmark_I5S4V2HH2SF8KK0050000400"/>
      <w:bookmarkEnd w:id="4720"/>
      <w:bookmarkEnd w:id="4721"/>
      <w:r>
        <w:rPr>
          <w:rFonts w:ascii="Arial" w:eastAsia="Arial" w:hAnsi="Arial" w:cs="Arial"/>
          <w:color w:val="000000"/>
          <w:sz w:val="20"/>
        </w:rPr>
        <w:t xml:space="preserve">As we described above, the IDEA hearing officer found that allowing B.P. to attend school equipped with a recording device would provide "no demonstrable benefit." So the question arises: To what extent, if any, does that factual finding preclude B.P. from establishing an essential element of his ADA claim; i.e., that the recording device would in fact provide a benefit to him in the form of greater access to the services that the district provides to its students? </w:t>
      </w:r>
      <w:r>
        <w:rPr>
          <w:rFonts w:ascii="Arial" w:eastAsia="Arial" w:hAnsi="Arial" w:cs="Arial"/>
          <w:color w:val="000000"/>
          <w:sz w:val="20"/>
          <w:u w:val="single"/>
        </w:rPr>
        <w:t xml:space="preserve">See </w:t>
      </w:r>
      <w:bookmarkStart w:id="4722" w:name="Bookmark_I5S4V2HH2SF8KK0040000400"/>
      <w:bookmarkEnd w:id="4722"/>
      <w:r>
        <w:rPr>
          <w:rFonts w:ascii="Arial" w:eastAsia="Arial" w:hAnsi="Arial" w:cs="Arial"/>
          <w:color w:val="000000"/>
          <w:sz w:val="20"/>
          <w:u w:val="single"/>
        </w:rPr>
        <w:t>Nunes</w:t>
      </w:r>
      <w:r>
        <w:rPr>
          <w:rFonts w:ascii="Arial" w:eastAsia="Arial" w:hAnsi="Arial" w:cs="Arial"/>
          <w:color w:val="000000"/>
          <w:sz w:val="20"/>
        </w:rPr>
        <w:t>, 766 F.3d at 145.</w:t>
      </w:r>
    </w:p>
    <w:p w:rsidR="00E456CD" w:rsidRDefault="00000000">
      <w:pPr>
        <w:pStyle w:val="Normal29"/>
        <w:widowControl w:val="0"/>
        <w:spacing w:before="200" w:line="260" w:lineRule="atLeast"/>
        <w:jc w:val="both"/>
      </w:pPr>
      <w:bookmarkStart w:id="4723" w:name="Bookmark_para_23_17"/>
      <w:bookmarkStart w:id="4724" w:name="Bookmark_I5S4V2HH2N1RM30020000400"/>
      <w:bookmarkStart w:id="4725" w:name="Bookmark_I5S4V2HH2D6NG70030000400"/>
      <w:bookmarkStart w:id="4726" w:name="Bookmark_I5S4V2HH2D6NG70050000400"/>
      <w:bookmarkEnd w:id="4723"/>
      <w:bookmarkEnd w:id="4724"/>
      <w:bookmarkEnd w:id="4725"/>
      <w:bookmarkEnd w:id="4726"/>
      <w:r>
        <w:rPr>
          <w:rFonts w:ascii="Arial" w:eastAsia="Arial" w:hAnsi="Arial" w:cs="Arial"/>
          <w:color w:val="000000"/>
          <w:sz w:val="20"/>
        </w:rPr>
        <w:t xml:space="preserve">The parties agree, and we therefore assume, that </w:t>
      </w:r>
      <w:bookmarkStart w:id="4727" w:name="Bookmark_LNHNREFclscc5_20"/>
      <w:bookmarkEnd w:id="4727"/>
      <w:r>
        <w:rPr>
          <w:rFonts w:ascii="Arial" w:eastAsia="Arial" w:hAnsi="Arial" w:cs="Arial"/>
          <w:color w:val="000000"/>
          <w:sz w:val="20"/>
        </w:rPr>
        <w:t xml:space="preserve">we afford the findings at issue, which were the product of an adjudicatory proceeding in a Maine administrative agency, "the same preclusive effect to which [they] would be entitled in the State's courts." </w:t>
      </w:r>
      <w:bookmarkStart w:id="4728" w:name="Bookmark_I5S4V2HH2N1RM30010000400"/>
      <w:bookmarkEnd w:id="4728"/>
      <w:r>
        <w:rPr>
          <w:rFonts w:ascii="Arial" w:eastAsia="Arial" w:hAnsi="Arial" w:cs="Arial"/>
          <w:color w:val="000000"/>
          <w:sz w:val="20"/>
          <w:u w:val="single"/>
        </w:rPr>
        <w:t>Univ. of Tenn.</w:t>
      </w:r>
      <w:r>
        <w:rPr>
          <w:rFonts w:ascii="Arial" w:eastAsia="Arial" w:hAnsi="Arial" w:cs="Arial"/>
          <w:color w:val="000000"/>
          <w:sz w:val="20"/>
        </w:rPr>
        <w:t xml:space="preserve"> v. </w:t>
      </w:r>
      <w:r>
        <w:rPr>
          <w:rFonts w:ascii="Arial" w:eastAsia="Arial" w:hAnsi="Arial" w:cs="Arial"/>
          <w:color w:val="000000"/>
          <w:sz w:val="20"/>
          <w:u w:val="single"/>
        </w:rPr>
        <w:t>Elliott</w:t>
      </w:r>
      <w:r>
        <w:rPr>
          <w:rFonts w:ascii="Arial" w:eastAsia="Arial" w:hAnsi="Arial" w:cs="Arial"/>
          <w:color w:val="000000"/>
          <w:sz w:val="20"/>
        </w:rPr>
        <w:t xml:space="preserve">, 478 U.S. 788, 799, 106 S. Ct. 3220, 92 L. Ed. 2d 635 (1986); </w:t>
      </w:r>
      <w:r>
        <w:rPr>
          <w:rFonts w:ascii="Arial" w:eastAsia="Arial" w:hAnsi="Arial" w:cs="Arial"/>
          <w:color w:val="000000"/>
          <w:sz w:val="20"/>
          <w:u w:val="single"/>
        </w:rPr>
        <w:t xml:space="preserve">see also </w:t>
      </w:r>
      <w:bookmarkStart w:id="4729" w:name="Bookmark_I5S4V2HH2N1RM30030000400"/>
      <w:bookmarkEnd w:id="4729"/>
      <w:r>
        <w:rPr>
          <w:rFonts w:ascii="Arial" w:eastAsia="Arial" w:hAnsi="Arial" w:cs="Arial"/>
          <w:color w:val="000000"/>
          <w:sz w:val="20"/>
          <w:u w:val="single"/>
        </w:rPr>
        <w:t>FPL Energy Me. Hydro LLC</w:t>
      </w:r>
      <w:r>
        <w:rPr>
          <w:rFonts w:ascii="Arial" w:eastAsia="Arial" w:hAnsi="Arial" w:cs="Arial"/>
          <w:color w:val="000000"/>
          <w:sz w:val="20"/>
        </w:rPr>
        <w:t xml:space="preserve"> v. </w:t>
      </w:r>
      <w:r>
        <w:rPr>
          <w:rFonts w:ascii="Arial" w:eastAsia="Arial" w:hAnsi="Arial" w:cs="Arial"/>
          <w:color w:val="000000"/>
          <w:sz w:val="20"/>
          <w:u w:val="single"/>
        </w:rPr>
        <w:t>FERC</w:t>
      </w:r>
      <w:r>
        <w:rPr>
          <w:rFonts w:ascii="Arial" w:eastAsia="Arial" w:hAnsi="Arial" w:cs="Arial"/>
          <w:color w:val="000000"/>
          <w:sz w:val="20"/>
        </w:rPr>
        <w:t xml:space="preserve">, 551 F.3d 58, 63 (1st Cir. 2008) ("A federal court is generally  [*84]  bound under res judicata to give the same preclusive [**13]  effect to a state court judgment as would be given to it by a local court within that state."); </w:t>
      </w:r>
      <w:bookmarkStart w:id="4730" w:name="Bookmark_I5S4V2HH2N1RM30050000400"/>
      <w:bookmarkEnd w:id="4730"/>
      <w:r>
        <w:rPr>
          <w:rFonts w:ascii="Arial" w:eastAsia="Arial" w:hAnsi="Arial" w:cs="Arial"/>
          <w:color w:val="000000"/>
          <w:sz w:val="20"/>
          <w:u w:val="single"/>
        </w:rPr>
        <w:t>Dertz</w:t>
      </w:r>
      <w:r>
        <w:rPr>
          <w:rFonts w:ascii="Arial" w:eastAsia="Arial" w:hAnsi="Arial" w:cs="Arial"/>
          <w:color w:val="000000"/>
          <w:sz w:val="20"/>
        </w:rPr>
        <w:t xml:space="preserve"> v. </w:t>
      </w:r>
      <w:r>
        <w:rPr>
          <w:rFonts w:ascii="Arial" w:eastAsia="Arial" w:hAnsi="Arial" w:cs="Arial"/>
          <w:color w:val="000000"/>
          <w:sz w:val="20"/>
          <w:u w:val="single"/>
        </w:rPr>
        <w:t>City of Chi.</w:t>
      </w:r>
      <w:r>
        <w:rPr>
          <w:rFonts w:ascii="Arial" w:eastAsia="Arial" w:hAnsi="Arial" w:cs="Arial"/>
          <w:color w:val="000000"/>
          <w:sz w:val="20"/>
        </w:rPr>
        <w:t xml:space="preserve">, No. 94 C 542, 1997 U.S. Dist. LEXIS 1956, 1997 WL 85169, at *10 (N.D. Ill. Feb. 24, 1997) (holding that the doctrine of issue preclusion applies to state administrative findings for claims brought under Title II of the ADA). </w:t>
      </w:r>
      <w:bookmarkStart w:id="4731" w:name="Bookmark_I5S4V2HH28T4940040000400"/>
      <w:bookmarkEnd w:id="4731"/>
      <w:r>
        <w:rPr>
          <w:rFonts w:ascii="Arial" w:eastAsia="Arial" w:hAnsi="Arial" w:cs="Arial"/>
          <w:color w:val="000000"/>
          <w:sz w:val="20"/>
        </w:rPr>
        <w:t xml:space="preserve">Maine courts apply issue preclusion, also known as collateral estoppel, "to administrative proceedings as well as to court proceedings." </w:t>
      </w:r>
      <w:bookmarkStart w:id="4732" w:name="Bookmark_I5S4V2HH2D6NG70020000400"/>
      <w:bookmarkEnd w:id="4732"/>
      <w:r>
        <w:rPr>
          <w:rFonts w:ascii="Arial" w:eastAsia="Arial" w:hAnsi="Arial" w:cs="Arial"/>
          <w:color w:val="000000"/>
          <w:sz w:val="20"/>
          <w:u w:val="single"/>
        </w:rPr>
        <w:t>Portland Water Dist</w:t>
      </w:r>
      <w:r>
        <w:rPr>
          <w:rFonts w:ascii="Arial" w:eastAsia="Arial" w:hAnsi="Arial" w:cs="Arial"/>
          <w:color w:val="000000"/>
          <w:sz w:val="20"/>
        </w:rPr>
        <w:t xml:space="preserve">. v. </w:t>
      </w:r>
      <w:r>
        <w:rPr>
          <w:rFonts w:ascii="Arial" w:eastAsia="Arial" w:hAnsi="Arial" w:cs="Arial"/>
          <w:color w:val="000000"/>
          <w:sz w:val="20"/>
          <w:u w:val="single"/>
        </w:rPr>
        <w:t>Town of Standish</w:t>
      </w:r>
      <w:r>
        <w:rPr>
          <w:rFonts w:ascii="Arial" w:eastAsia="Arial" w:hAnsi="Arial" w:cs="Arial"/>
          <w:color w:val="000000"/>
          <w:sz w:val="20"/>
        </w:rPr>
        <w:t xml:space="preserve">, 2008 ME 23, 940 A.2d 1097, 1100 (Me. 2008). Under Maine law, issue preclusion applies when "the identical issue necessarily was determined by a prior final judgment, and the party estopped had a fair opportunity and incentive to litigate the issue in the prior proceeding." </w:t>
      </w:r>
      <w:bookmarkStart w:id="4733" w:name="Bookmark_I5S4V2HH2D6NG70040000400"/>
      <w:bookmarkEnd w:id="4733"/>
      <w:r>
        <w:rPr>
          <w:rFonts w:ascii="Arial" w:eastAsia="Arial" w:hAnsi="Arial" w:cs="Arial"/>
          <w:color w:val="000000"/>
          <w:sz w:val="20"/>
          <w:u w:val="single"/>
        </w:rPr>
        <w:t>Mutual Fire Ins. Co.</w:t>
      </w:r>
      <w:r>
        <w:rPr>
          <w:rFonts w:ascii="Arial" w:eastAsia="Arial" w:hAnsi="Arial" w:cs="Arial"/>
          <w:color w:val="000000"/>
          <w:sz w:val="20"/>
        </w:rPr>
        <w:t xml:space="preserve"> v. </w:t>
      </w:r>
      <w:r>
        <w:rPr>
          <w:rFonts w:ascii="Arial" w:eastAsia="Arial" w:hAnsi="Arial" w:cs="Arial"/>
          <w:color w:val="000000"/>
          <w:sz w:val="20"/>
          <w:u w:val="single"/>
        </w:rPr>
        <w:t>Richardson</w:t>
      </w:r>
      <w:r>
        <w:rPr>
          <w:rFonts w:ascii="Arial" w:eastAsia="Arial" w:hAnsi="Arial" w:cs="Arial"/>
          <w:color w:val="000000"/>
          <w:sz w:val="20"/>
        </w:rPr>
        <w:t xml:space="preserve">, 640 A.2d 205, 208 (Me. 1994) (quoting </w:t>
      </w:r>
      <w:bookmarkStart w:id="4734" w:name="Bookmark_I5S4V2HH28T4940010000400"/>
      <w:bookmarkEnd w:id="4734"/>
      <w:r>
        <w:rPr>
          <w:rFonts w:ascii="Arial" w:eastAsia="Arial" w:hAnsi="Arial" w:cs="Arial"/>
          <w:color w:val="000000"/>
          <w:sz w:val="20"/>
          <w:u w:val="single"/>
        </w:rPr>
        <w:t>State Mutual Ins. Co.</w:t>
      </w:r>
      <w:r>
        <w:rPr>
          <w:rFonts w:ascii="Arial" w:eastAsia="Arial" w:hAnsi="Arial" w:cs="Arial"/>
          <w:color w:val="000000"/>
          <w:sz w:val="20"/>
        </w:rPr>
        <w:t xml:space="preserve"> v. </w:t>
      </w:r>
      <w:r>
        <w:rPr>
          <w:rFonts w:ascii="Arial" w:eastAsia="Arial" w:hAnsi="Arial" w:cs="Arial"/>
          <w:color w:val="000000"/>
          <w:sz w:val="20"/>
          <w:u w:val="single"/>
        </w:rPr>
        <w:t>Bragg</w:t>
      </w:r>
      <w:r>
        <w:rPr>
          <w:rFonts w:ascii="Arial" w:eastAsia="Arial" w:hAnsi="Arial" w:cs="Arial"/>
          <w:color w:val="000000"/>
          <w:sz w:val="20"/>
        </w:rPr>
        <w:t xml:space="preserve">, 589 A.2d 35, 37 (Me. 1991)). </w:t>
      </w:r>
      <w:bookmarkStart w:id="4735" w:name="Bookmark_I5S4V2HH28T4940040000400_2"/>
      <w:bookmarkEnd w:id="4735"/>
      <w:r>
        <w:rPr>
          <w:rFonts w:ascii="Arial" w:eastAsia="Arial" w:hAnsi="Arial" w:cs="Arial"/>
          <w:color w:val="000000"/>
          <w:sz w:val="20"/>
        </w:rPr>
        <w:t xml:space="preserve">The application of issue preclusion "is determined on a case-by-case basis," id., and is "meant to serve the ends of justice not to subvert them," </w:t>
      </w:r>
      <w:r>
        <w:rPr>
          <w:rFonts w:ascii="Arial" w:eastAsia="Arial" w:hAnsi="Arial" w:cs="Arial"/>
          <w:color w:val="000000"/>
          <w:sz w:val="20"/>
          <w:u w:val="single"/>
        </w:rPr>
        <w:t>id.</w:t>
      </w:r>
      <w:r>
        <w:rPr>
          <w:rFonts w:ascii="Arial" w:eastAsia="Arial" w:hAnsi="Arial" w:cs="Arial"/>
          <w:color w:val="000000"/>
          <w:sz w:val="20"/>
        </w:rPr>
        <w:t xml:space="preserve"> (quoting </w:t>
      </w:r>
      <w:bookmarkStart w:id="4736" w:name="Bookmark_I5S4V2HH28T4940030000400"/>
      <w:bookmarkEnd w:id="4736"/>
      <w:r>
        <w:rPr>
          <w:rFonts w:ascii="Arial" w:eastAsia="Arial" w:hAnsi="Arial" w:cs="Arial"/>
          <w:color w:val="000000"/>
          <w:sz w:val="20"/>
          <w:u w:val="single"/>
        </w:rPr>
        <w:t>Pattershall</w:t>
      </w:r>
      <w:r>
        <w:rPr>
          <w:rFonts w:ascii="Arial" w:eastAsia="Arial" w:hAnsi="Arial" w:cs="Arial"/>
          <w:color w:val="000000"/>
          <w:sz w:val="20"/>
        </w:rPr>
        <w:t xml:space="preserve"> v. </w:t>
      </w:r>
      <w:r>
        <w:rPr>
          <w:rFonts w:ascii="Arial" w:eastAsia="Arial" w:hAnsi="Arial" w:cs="Arial"/>
          <w:color w:val="000000"/>
          <w:sz w:val="20"/>
          <w:u w:val="single"/>
        </w:rPr>
        <w:t>Jenness</w:t>
      </w:r>
      <w:r>
        <w:rPr>
          <w:rFonts w:ascii="Arial" w:eastAsia="Arial" w:hAnsi="Arial" w:cs="Arial"/>
          <w:color w:val="000000"/>
          <w:sz w:val="20"/>
        </w:rPr>
        <w:t>, 485 A.2d 980, 983 (Me. 1984)).</w:t>
      </w:r>
    </w:p>
    <w:p w:rsidR="00E456CD" w:rsidRDefault="00000000">
      <w:pPr>
        <w:pStyle w:val="Normal29"/>
        <w:widowControl w:val="0"/>
        <w:spacing w:before="200" w:line="260" w:lineRule="atLeast"/>
        <w:jc w:val="both"/>
      </w:pPr>
      <w:bookmarkStart w:id="4737" w:name="Bookmark_para_24_16"/>
      <w:bookmarkStart w:id="4738" w:name="Bookmark_I5S4V2HH2N1RM40010000400"/>
      <w:bookmarkEnd w:id="4737"/>
      <w:bookmarkEnd w:id="4738"/>
      <w:r>
        <w:rPr>
          <w:rFonts w:ascii="Arial" w:eastAsia="Arial" w:hAnsi="Arial" w:cs="Arial"/>
          <w:color w:val="000000"/>
          <w:sz w:val="20"/>
        </w:rPr>
        <w:t xml:space="preserve">Plaintiffs also concede that the un-appealed decision of the IDEA hearing officer constitutes a final judgment and that they had a full and fair opportunity to litigate the issues necessarily decided in that proceeding. They argue, instead, that: (A) the pertinent factual findings of the hearing officer are not identical to the factual issues germane to their ADA claim, (B) the findings were, in any event, not necessary to [**14]  the agency's judgment, (C) a difference in who had the burden of proof in the two proceedings makes preclusion inapplicable, and (D) events occurring after the agency judgment entered provide a basis for side-stepping the impact of that judgment in this case. Reviewing the district court's application of issue preclusion de novo, </w:t>
      </w:r>
      <w:r>
        <w:rPr>
          <w:rFonts w:ascii="Arial" w:eastAsia="Arial" w:hAnsi="Arial" w:cs="Arial"/>
          <w:color w:val="000000"/>
          <w:sz w:val="20"/>
          <w:u w:val="single"/>
        </w:rPr>
        <w:t xml:space="preserve">see </w:t>
      </w:r>
      <w:bookmarkStart w:id="4739" w:name="Bookmark_I5S4V2HH28T4940050000400"/>
      <w:bookmarkEnd w:id="4739"/>
      <w:r>
        <w:rPr>
          <w:rFonts w:ascii="Arial" w:eastAsia="Arial" w:hAnsi="Arial" w:cs="Arial"/>
          <w:color w:val="000000"/>
          <w:sz w:val="20"/>
          <w:u w:val="single"/>
        </w:rPr>
        <w:t>Vargas-Colón</w:t>
      </w:r>
      <w:r>
        <w:rPr>
          <w:rFonts w:ascii="Arial" w:eastAsia="Arial" w:hAnsi="Arial" w:cs="Arial"/>
          <w:color w:val="000000"/>
          <w:sz w:val="20"/>
        </w:rPr>
        <w:t xml:space="preserve"> v. </w:t>
      </w:r>
      <w:r>
        <w:rPr>
          <w:rFonts w:ascii="Arial" w:eastAsia="Arial" w:hAnsi="Arial" w:cs="Arial"/>
          <w:color w:val="000000"/>
          <w:sz w:val="20"/>
          <w:u w:val="single"/>
        </w:rPr>
        <w:t>Fundación Damas</w:t>
      </w:r>
      <w:r>
        <w:rPr>
          <w:rFonts w:ascii="Arial" w:eastAsia="Arial" w:hAnsi="Arial" w:cs="Arial"/>
          <w:color w:val="000000"/>
          <w:sz w:val="20"/>
        </w:rPr>
        <w:t>, Inc., 864 F.3d 14, 25 (1st Cir. 2017), we address each argument in turn.</w:t>
      </w:r>
    </w:p>
    <w:p w:rsidR="00E456CD" w:rsidRDefault="00000000">
      <w:pPr>
        <w:pStyle w:val="Normal29"/>
        <w:widowControl w:val="0"/>
        <w:spacing w:before="240" w:line="260" w:lineRule="atLeast"/>
      </w:pPr>
      <w:r>
        <w:br/>
      </w:r>
      <w:r>
        <w:rPr>
          <w:rFonts w:ascii="Arial" w:eastAsia="Arial" w:hAnsi="Arial" w:cs="Arial"/>
          <w:b/>
          <w:color w:val="000000"/>
          <w:sz w:val="20"/>
        </w:rPr>
        <w:t>A. Identical Issue</w:t>
      </w:r>
    </w:p>
    <w:p w:rsidR="00E456CD" w:rsidRDefault="00000000">
      <w:pPr>
        <w:pStyle w:val="Normal29"/>
        <w:widowControl w:val="0"/>
        <w:spacing w:before="200" w:line="260" w:lineRule="atLeast"/>
        <w:jc w:val="both"/>
      </w:pPr>
      <w:bookmarkStart w:id="4740" w:name="Bookmark_para_25_16"/>
      <w:bookmarkStart w:id="4741" w:name="Bookmark_I5S4V2HH2N1RM40030000400"/>
      <w:bookmarkStart w:id="4742" w:name="Bookmark_LNHNREFclscc6_19"/>
      <w:bookmarkEnd w:id="4740"/>
      <w:bookmarkEnd w:id="4741"/>
      <w:bookmarkEnd w:id="4742"/>
      <w:r>
        <w:rPr>
          <w:rFonts w:ascii="Arial" w:eastAsia="Arial" w:hAnsi="Arial" w:cs="Arial"/>
          <w:color w:val="000000"/>
          <w:sz w:val="20"/>
        </w:rPr>
        <w:t xml:space="preserve">Under Maine law, issue preclusion "prevents the reopening in a second action of an issue of fact actually litigated and decided in an earlier case." </w:t>
      </w:r>
      <w:bookmarkStart w:id="4743" w:name="Bookmark_I5S4V2HH2N1RM40020000400"/>
      <w:bookmarkEnd w:id="4743"/>
      <w:r>
        <w:rPr>
          <w:rFonts w:ascii="Arial" w:eastAsia="Arial" w:hAnsi="Arial" w:cs="Arial"/>
          <w:color w:val="000000"/>
          <w:sz w:val="20"/>
          <w:u w:val="single"/>
        </w:rPr>
        <w:t>Town of North Berwick</w:t>
      </w:r>
      <w:r>
        <w:rPr>
          <w:rFonts w:ascii="Arial" w:eastAsia="Arial" w:hAnsi="Arial" w:cs="Arial"/>
          <w:color w:val="000000"/>
          <w:sz w:val="20"/>
        </w:rPr>
        <w:t xml:space="preserve"> v. </w:t>
      </w:r>
      <w:r>
        <w:rPr>
          <w:rFonts w:ascii="Arial" w:eastAsia="Arial" w:hAnsi="Arial" w:cs="Arial"/>
          <w:color w:val="000000"/>
          <w:sz w:val="20"/>
          <w:u w:val="single"/>
        </w:rPr>
        <w:t>Jones</w:t>
      </w:r>
      <w:r>
        <w:rPr>
          <w:rFonts w:ascii="Arial" w:eastAsia="Arial" w:hAnsi="Arial" w:cs="Arial"/>
          <w:color w:val="000000"/>
          <w:sz w:val="20"/>
        </w:rPr>
        <w:t xml:space="preserve">, 534 A.2d 667, 669-70 (Me. 1987) (internal quotation marks omitted). Plaintiffs argue that, without reopening any issue of fact found by the hearing officer, they can still demonstrate that allowing B.P. to wear a recording device would be effective in providing him meaningful access to the benefits that the district offers its students. Specifically, plaintiffs argue that we should read the hearing officer's findings as trained solely on an absence of </w:t>
      </w:r>
      <w:r>
        <w:rPr>
          <w:rFonts w:ascii="Arial" w:eastAsia="Arial" w:hAnsi="Arial" w:cs="Arial"/>
          <w:color w:val="000000"/>
          <w:sz w:val="20"/>
          <w:u w:val="single"/>
        </w:rPr>
        <w:t>educational</w:t>
      </w:r>
      <w:r>
        <w:rPr>
          <w:rFonts w:ascii="Arial" w:eastAsia="Arial" w:hAnsi="Arial" w:cs="Arial"/>
          <w:color w:val="000000"/>
          <w:sz w:val="20"/>
        </w:rPr>
        <w:t xml:space="preserve"> benefits to B.P. So limited, plaintiffs contend, the findings are not a bar to proving that the device would provide B.P. greater access to </w:t>
      </w:r>
      <w:r>
        <w:rPr>
          <w:rFonts w:ascii="Arial" w:eastAsia="Arial" w:hAnsi="Arial" w:cs="Arial"/>
          <w:color w:val="000000"/>
          <w:sz w:val="20"/>
          <w:u w:val="single"/>
        </w:rPr>
        <w:t>other</w:t>
      </w:r>
      <w:r>
        <w:rPr>
          <w:rFonts w:ascii="Arial" w:eastAsia="Arial" w:hAnsi="Arial" w:cs="Arial"/>
          <w:color w:val="000000"/>
          <w:sz w:val="20"/>
        </w:rPr>
        <w:t xml:space="preserve"> benefits stemming from keeping his parents informed about his school day so that [**15]  they can better advocate for him, more like the parents of his non-disabled peers. </w:t>
      </w:r>
      <w:bookmarkStart w:id="4744" w:name="Bookmark_I5S4V2HH2N1RM40050000400"/>
      <w:bookmarkEnd w:id="4744"/>
      <w:r>
        <w:rPr>
          <w:rFonts w:ascii="Arial" w:eastAsia="Arial" w:hAnsi="Arial" w:cs="Arial"/>
          <w:color w:val="000000"/>
          <w:sz w:val="20"/>
        </w:rPr>
        <w:t xml:space="preserve">While we are not sure we see the distinction plaintiffs would have us draw (especially since plaintiffs themselves repeatedly portray the benefit of improved communication as facilitating their ability to obtain a better education for B.P.), the simple fact is that plaintiffs never developed this argument in the district court. The argument is therefore waived. </w:t>
      </w:r>
      <w:r>
        <w:rPr>
          <w:rFonts w:ascii="Arial" w:eastAsia="Arial" w:hAnsi="Arial" w:cs="Arial"/>
          <w:color w:val="000000"/>
          <w:sz w:val="20"/>
          <w:u w:val="single"/>
        </w:rPr>
        <w:t xml:space="preserve">See </w:t>
      </w:r>
      <w:bookmarkStart w:id="4745" w:name="Bookmark_I5S4V2HH2N1RM40040000400"/>
      <w:bookmarkEnd w:id="4745"/>
      <w:r>
        <w:rPr>
          <w:rFonts w:ascii="Arial" w:eastAsia="Arial" w:hAnsi="Arial" w:cs="Arial"/>
          <w:color w:val="000000"/>
          <w:sz w:val="20"/>
          <w:u w:val="single"/>
        </w:rPr>
        <w:t>Teamsters, Chauffeurs, Warehousemen and Helpers Union, Local No. 59</w:t>
      </w:r>
      <w:r>
        <w:rPr>
          <w:rFonts w:ascii="Arial" w:eastAsia="Arial" w:hAnsi="Arial" w:cs="Arial"/>
          <w:color w:val="000000"/>
          <w:sz w:val="20"/>
        </w:rPr>
        <w:t xml:space="preserve"> v. </w:t>
      </w:r>
      <w:r>
        <w:rPr>
          <w:rFonts w:ascii="Arial" w:eastAsia="Arial" w:hAnsi="Arial" w:cs="Arial"/>
          <w:color w:val="000000"/>
          <w:sz w:val="20"/>
          <w:u w:val="single"/>
        </w:rPr>
        <w:t>Superline Transp. Co.</w:t>
      </w:r>
      <w:r>
        <w:rPr>
          <w:rFonts w:ascii="Arial" w:eastAsia="Arial" w:hAnsi="Arial" w:cs="Arial"/>
          <w:color w:val="000000"/>
          <w:sz w:val="20"/>
        </w:rPr>
        <w:t xml:space="preserve">, 953 F.2d 17, 21 (1st Cir. 1992) ("If any principle is settled in this circuit, it is that, </w:t>
      </w:r>
      <w:bookmarkStart w:id="4746" w:name="Bookmark_LNHNREFclscc7_19"/>
      <w:bookmarkEnd w:id="4746"/>
      <w:r>
        <w:rPr>
          <w:rFonts w:ascii="Arial" w:eastAsia="Arial" w:hAnsi="Arial" w:cs="Arial"/>
          <w:color w:val="000000"/>
          <w:sz w:val="20"/>
        </w:rPr>
        <w:t>absent the most extraordinary circumstances, legal theories not raised squarely in the lower court cannot be broached for the first time on appeal.").</w:t>
      </w:r>
    </w:p>
    <w:p w:rsidR="00E456CD" w:rsidRDefault="00000000">
      <w:pPr>
        <w:pStyle w:val="Normal29"/>
        <w:widowControl w:val="0"/>
        <w:spacing w:before="200" w:line="260" w:lineRule="atLeast"/>
        <w:jc w:val="both"/>
      </w:pPr>
      <w:bookmarkStart w:id="4747" w:name="Bookmark_para_26_15"/>
      <w:bookmarkStart w:id="4748" w:name="Bookmark_I5S4V2HH2D6NG80020000400"/>
      <w:bookmarkStart w:id="4749" w:name="Bookmark_I5S4V2HH2D6NG80040000400"/>
      <w:bookmarkEnd w:id="4747"/>
      <w:bookmarkEnd w:id="4748"/>
      <w:bookmarkEnd w:id="4749"/>
      <w:r>
        <w:rPr>
          <w:rFonts w:ascii="Arial" w:eastAsia="Arial" w:hAnsi="Arial" w:cs="Arial"/>
          <w:color w:val="000000"/>
          <w:sz w:val="20"/>
        </w:rPr>
        <w:t xml:space="preserve">Plaintiffs did argue below that the right to a FAPE is not necessarily the  [*85]  same as the right to an accommodation under the ADA. We agree. </w:t>
      </w:r>
      <w:r>
        <w:rPr>
          <w:rFonts w:ascii="Arial" w:eastAsia="Arial" w:hAnsi="Arial" w:cs="Arial"/>
          <w:color w:val="000000"/>
          <w:sz w:val="20"/>
          <w:u w:val="single"/>
        </w:rPr>
        <w:t xml:space="preserve">See </w:t>
      </w:r>
      <w:bookmarkStart w:id="4750" w:name="Bookmark_I5S4V2HH2D6NG80010000400"/>
      <w:bookmarkEnd w:id="4750"/>
      <w:r>
        <w:rPr>
          <w:rFonts w:ascii="Arial" w:eastAsia="Arial" w:hAnsi="Arial" w:cs="Arial"/>
          <w:color w:val="000000"/>
          <w:sz w:val="20"/>
          <w:u w:val="single"/>
        </w:rPr>
        <w:t>Fry</w:t>
      </w:r>
      <w:r>
        <w:rPr>
          <w:rFonts w:ascii="Arial" w:eastAsia="Arial" w:hAnsi="Arial" w:cs="Arial"/>
          <w:color w:val="000000"/>
          <w:sz w:val="20"/>
        </w:rPr>
        <w:t xml:space="preserve"> v. </w:t>
      </w:r>
      <w:r>
        <w:rPr>
          <w:rFonts w:ascii="Arial" w:eastAsia="Arial" w:hAnsi="Arial" w:cs="Arial"/>
          <w:color w:val="000000"/>
          <w:sz w:val="20"/>
          <w:u w:val="single"/>
        </w:rPr>
        <w:t>Napoleon Cmty. Sch.</w:t>
      </w:r>
      <w:r>
        <w:rPr>
          <w:rFonts w:ascii="Arial" w:eastAsia="Arial" w:hAnsi="Arial" w:cs="Arial"/>
          <w:color w:val="000000"/>
          <w:sz w:val="20"/>
        </w:rPr>
        <w:t xml:space="preserve">, 137 S. Ct. 743, 755-56, 197 L. Ed. 2d 46 (2017) (noting that the ADA and the IDEA have "diverse means and ends," even though "the same conduct might violate" both statutes). </w:t>
      </w:r>
      <w:bookmarkStart w:id="4751" w:name="Bookmark_I5S4V2HH2HM6620010000400"/>
      <w:bookmarkEnd w:id="4751"/>
      <w:r>
        <w:rPr>
          <w:rFonts w:ascii="Arial" w:eastAsia="Arial" w:hAnsi="Arial" w:cs="Arial"/>
          <w:color w:val="000000"/>
          <w:sz w:val="20"/>
        </w:rPr>
        <w:t xml:space="preserve">This argument, though, overlooks the fact that </w:t>
      </w:r>
      <w:bookmarkStart w:id="4752" w:name="Bookmark_LNHNREFclscc8_17"/>
      <w:bookmarkEnd w:id="4752"/>
      <w:r>
        <w:rPr>
          <w:rFonts w:ascii="Arial" w:eastAsia="Arial" w:hAnsi="Arial" w:cs="Arial"/>
          <w:color w:val="000000"/>
          <w:sz w:val="20"/>
        </w:rPr>
        <w:t xml:space="preserve">issue preclusion applies not only to determinations of law, such as whether the IDEA or the ADA has been violated, but also to determinations of fact made in resolving issues of law. </w:t>
      </w:r>
      <w:r>
        <w:rPr>
          <w:rFonts w:ascii="Arial" w:eastAsia="Arial" w:hAnsi="Arial" w:cs="Arial"/>
          <w:color w:val="000000"/>
          <w:sz w:val="20"/>
          <w:u w:val="single"/>
        </w:rPr>
        <w:t xml:space="preserve">See </w:t>
      </w:r>
      <w:bookmarkStart w:id="4753" w:name="Bookmark_I5S4V2HH2D6NG80030000400"/>
      <w:bookmarkEnd w:id="4753"/>
      <w:r>
        <w:rPr>
          <w:rFonts w:ascii="Arial" w:eastAsia="Arial" w:hAnsi="Arial" w:cs="Arial"/>
          <w:color w:val="000000"/>
          <w:sz w:val="20"/>
          <w:u w:val="single"/>
        </w:rPr>
        <w:t>Godsoe</w:t>
      </w:r>
      <w:r>
        <w:rPr>
          <w:rFonts w:ascii="Arial" w:eastAsia="Arial" w:hAnsi="Arial" w:cs="Arial"/>
          <w:color w:val="000000"/>
          <w:sz w:val="20"/>
        </w:rPr>
        <w:t xml:space="preserve"> v. </w:t>
      </w:r>
      <w:r>
        <w:rPr>
          <w:rFonts w:ascii="Arial" w:eastAsia="Arial" w:hAnsi="Arial" w:cs="Arial"/>
          <w:color w:val="000000"/>
          <w:sz w:val="20"/>
          <w:u w:val="single"/>
        </w:rPr>
        <w:t>Godsoe</w:t>
      </w:r>
      <w:r>
        <w:rPr>
          <w:rFonts w:ascii="Arial" w:eastAsia="Arial" w:hAnsi="Arial" w:cs="Arial"/>
          <w:color w:val="000000"/>
          <w:sz w:val="20"/>
        </w:rPr>
        <w:t xml:space="preserve">, 2010 ME 42, 995 A.2d 232, 237 (Me. 2010) ("A party may be collaterally estopped [**16]  from relitigating a factual issue even if the two proceedings offer substantially different remedies or the second proceeding is based on a different claim than the first."); </w:t>
      </w:r>
      <w:r>
        <w:rPr>
          <w:rFonts w:ascii="Arial" w:eastAsia="Arial" w:hAnsi="Arial" w:cs="Arial"/>
          <w:color w:val="000000"/>
          <w:sz w:val="20"/>
          <w:u w:val="single"/>
        </w:rPr>
        <w:t>see also</w:t>
      </w:r>
      <w:r>
        <w:rPr>
          <w:rFonts w:ascii="Arial" w:eastAsia="Arial" w:hAnsi="Arial" w:cs="Arial"/>
          <w:color w:val="000000"/>
          <w:sz w:val="20"/>
        </w:rPr>
        <w:t xml:space="preserve"> Restatement (Second) of Judgments § 27 cmt. c (1982) ("An issue on which relitigation is foreclosed may be one of evidentiary fact, of 'ultimate fact' (i.e., the application of law to fact), or of law."). </w:t>
      </w:r>
      <w:bookmarkStart w:id="4754" w:name="Bookmark_I5S4V2HH2HM6620010000400_2"/>
      <w:bookmarkEnd w:id="4754"/>
      <w:r>
        <w:rPr>
          <w:rFonts w:ascii="Arial" w:eastAsia="Arial" w:hAnsi="Arial" w:cs="Arial"/>
          <w:color w:val="000000"/>
          <w:sz w:val="20"/>
        </w:rPr>
        <w:t xml:space="preserve">In short, when we consider issue preclusion rather than claim preclusion, it is very often the case that the ultimate question in the earlier proceeding will differ from the ultimate question in the later proceeding. </w:t>
      </w:r>
      <w:bookmarkStart w:id="4755" w:name="Bookmark_I5S4V2HH2HM6620050000400"/>
      <w:bookmarkEnd w:id="4755"/>
      <w:r>
        <w:rPr>
          <w:rFonts w:ascii="Arial" w:eastAsia="Arial" w:hAnsi="Arial" w:cs="Arial"/>
          <w:color w:val="000000"/>
          <w:sz w:val="20"/>
          <w:u w:val="single"/>
        </w:rPr>
        <w:t>See</w:t>
      </w:r>
      <w:r>
        <w:rPr>
          <w:rFonts w:ascii="Arial" w:eastAsia="Arial" w:hAnsi="Arial" w:cs="Arial"/>
          <w:color w:val="000000"/>
          <w:sz w:val="20"/>
        </w:rPr>
        <w:t xml:space="preserve">, e.g., </w:t>
      </w:r>
      <w:bookmarkStart w:id="4756" w:name="Bookmark_I5S4V2HH2D6NG80050000400"/>
      <w:bookmarkEnd w:id="4756"/>
      <w:r>
        <w:rPr>
          <w:rFonts w:ascii="Arial" w:eastAsia="Arial" w:hAnsi="Arial" w:cs="Arial"/>
          <w:color w:val="000000"/>
          <w:sz w:val="20"/>
          <w:u w:val="single"/>
        </w:rPr>
        <w:t>Napier</w:t>
      </w:r>
      <w:r>
        <w:rPr>
          <w:rFonts w:ascii="Arial" w:eastAsia="Arial" w:hAnsi="Arial" w:cs="Arial"/>
          <w:color w:val="000000"/>
          <w:sz w:val="20"/>
        </w:rPr>
        <w:t xml:space="preserve"> v. </w:t>
      </w:r>
      <w:r>
        <w:rPr>
          <w:rFonts w:ascii="Arial" w:eastAsia="Arial" w:hAnsi="Arial" w:cs="Arial"/>
          <w:color w:val="000000"/>
          <w:sz w:val="20"/>
          <w:u w:val="single"/>
        </w:rPr>
        <w:t>Town of Windham</w:t>
      </w:r>
      <w:r>
        <w:rPr>
          <w:rFonts w:ascii="Arial" w:eastAsia="Arial" w:hAnsi="Arial" w:cs="Arial"/>
          <w:color w:val="000000"/>
          <w:sz w:val="20"/>
        </w:rPr>
        <w:t xml:space="preserve">, 187 F.3d 177, 184-85 (1st Cir. 1999) (applying Maine issue preclusion principles and giving preclusive effect to findings from a state criminal case in a subsequent federal civil rights suit); </w:t>
      </w:r>
      <w:bookmarkStart w:id="4757" w:name="Bookmark_I5S4V2HH2HM6620020000400"/>
      <w:bookmarkEnd w:id="4757"/>
      <w:r>
        <w:rPr>
          <w:rFonts w:ascii="Arial" w:eastAsia="Arial" w:hAnsi="Arial" w:cs="Arial"/>
          <w:color w:val="000000"/>
          <w:sz w:val="20"/>
          <w:u w:val="single"/>
        </w:rPr>
        <w:t>Gray</w:t>
      </w:r>
      <w:r>
        <w:rPr>
          <w:rFonts w:ascii="Arial" w:eastAsia="Arial" w:hAnsi="Arial" w:cs="Arial"/>
          <w:color w:val="000000"/>
          <w:sz w:val="20"/>
        </w:rPr>
        <w:t xml:space="preserve"> v. </w:t>
      </w:r>
      <w:r>
        <w:rPr>
          <w:rFonts w:ascii="Arial" w:eastAsia="Arial" w:hAnsi="Arial" w:cs="Arial"/>
          <w:color w:val="000000"/>
          <w:sz w:val="20"/>
          <w:u w:val="single"/>
        </w:rPr>
        <w:t>TD Bank</w:t>
      </w:r>
      <w:r>
        <w:rPr>
          <w:rFonts w:ascii="Arial" w:eastAsia="Arial" w:hAnsi="Arial" w:cs="Arial"/>
          <w:color w:val="000000"/>
          <w:sz w:val="20"/>
        </w:rPr>
        <w:t xml:space="preserve">, N.A., 2012 ME 83, 45 A.3d 735, 737-38, 742 (Me. 2012) (giving preclusive effect to findings from a probate proceeding brought to determine whether certain funds held by a bank were the property of the estate in a subsequent breach of contract case brought against the bank). </w:t>
      </w:r>
      <w:bookmarkStart w:id="4758" w:name="Bookmark_I5S4V2HH2HM6620050000400_2"/>
      <w:bookmarkEnd w:id="4758"/>
      <w:r>
        <w:rPr>
          <w:rFonts w:ascii="Arial" w:eastAsia="Arial" w:hAnsi="Arial" w:cs="Arial"/>
          <w:color w:val="000000"/>
          <w:sz w:val="20"/>
        </w:rPr>
        <w:t xml:space="preserve">That difference does not mean that a predicate factual question in each case cannot be identical. </w:t>
      </w:r>
      <w:r>
        <w:rPr>
          <w:rFonts w:ascii="Arial" w:eastAsia="Arial" w:hAnsi="Arial" w:cs="Arial"/>
          <w:color w:val="000000"/>
          <w:sz w:val="20"/>
          <w:u w:val="single"/>
        </w:rPr>
        <w:t xml:space="preserve">See </w:t>
      </w:r>
      <w:bookmarkStart w:id="4759" w:name="Bookmark_I5S4V2HH2HM6620040000400"/>
      <w:bookmarkEnd w:id="4759"/>
      <w:r>
        <w:rPr>
          <w:rFonts w:ascii="Arial" w:eastAsia="Arial" w:hAnsi="Arial" w:cs="Arial"/>
          <w:color w:val="000000"/>
          <w:sz w:val="20"/>
          <w:u w:val="single"/>
        </w:rPr>
        <w:t>Gray</w:t>
      </w:r>
      <w:r>
        <w:rPr>
          <w:rFonts w:ascii="Arial" w:eastAsia="Arial" w:hAnsi="Arial" w:cs="Arial"/>
          <w:color w:val="000000"/>
          <w:sz w:val="20"/>
        </w:rPr>
        <w:t xml:space="preserve">, 45 A.3d at 742 ("[T]he factual question </w:t>
      </w:r>
      <w:r>
        <w:rPr>
          <w:rFonts w:ascii="Arial" w:eastAsia="Arial" w:hAnsi="Arial" w:cs="Arial"/>
          <w:color w:val="000000"/>
          <w:sz w:val="20"/>
          <w:u w:val="single"/>
        </w:rPr>
        <w:t>at the center of</w:t>
      </w:r>
      <w:r>
        <w:rPr>
          <w:rFonts w:ascii="Arial" w:eastAsia="Arial" w:hAnsi="Arial" w:cs="Arial"/>
          <w:color w:val="000000"/>
          <w:sz w:val="20"/>
        </w:rPr>
        <w:t xml:space="preserve"> Gray's breach of contract claim against the Bank is identical to the question adjudicated and determined [**17]  in the Probate Court . . . ." (emphasis added)). And here, plaintiffs neither dispute that the question whether the recording device would benefit B.P. is at "the center of" their ADA claim, nor offer any properly preserved argument that the claimed ADA benefit is any different from the educational benefit that the hearing officer found was lacking under the IDEA.</w:t>
      </w:r>
    </w:p>
    <w:p w:rsidR="00E456CD" w:rsidRDefault="00000000">
      <w:pPr>
        <w:pStyle w:val="Normal29"/>
        <w:widowControl w:val="0"/>
        <w:spacing w:before="240" w:line="260" w:lineRule="atLeast"/>
      </w:pPr>
      <w:r>
        <w:br/>
      </w:r>
      <w:r>
        <w:rPr>
          <w:rFonts w:ascii="Arial" w:eastAsia="Arial" w:hAnsi="Arial" w:cs="Arial"/>
          <w:b/>
          <w:color w:val="000000"/>
          <w:sz w:val="20"/>
        </w:rPr>
        <w:t>B. Necessary to the Judgment</w:t>
      </w:r>
    </w:p>
    <w:p w:rsidR="00E456CD" w:rsidRDefault="00000000">
      <w:pPr>
        <w:pStyle w:val="Normal29"/>
        <w:widowControl w:val="0"/>
        <w:spacing w:before="200" w:line="260" w:lineRule="atLeast"/>
        <w:jc w:val="both"/>
      </w:pPr>
      <w:bookmarkStart w:id="4760" w:name="Bookmark_para_27_15"/>
      <w:bookmarkEnd w:id="4760"/>
      <w:r>
        <w:rPr>
          <w:rFonts w:ascii="Arial" w:eastAsia="Arial" w:hAnsi="Arial" w:cs="Arial"/>
          <w:color w:val="000000"/>
          <w:sz w:val="20"/>
        </w:rPr>
        <w:t>Plaintiffs' principal argument is that the hearing officer's finding of no demonstrable benefit, even if identical to an issue upon which they need to prevail in order to successfully make out a reasonable accommodation claim, was not necessary to the hearing officer's final decision. They advance two versions of this argument: first, that the hearing officer's finding of "no demonstrable benefit" was an unnecessary alternative ground for her decision, and second, even if considering the effectiveness of the device was necessary, there was no need for the hearing officer to find that the device offered no benefit whatsoever. We address each argument in turn.</w:t>
      </w:r>
    </w:p>
    <w:p w:rsidR="00E456CD" w:rsidRDefault="00000000">
      <w:pPr>
        <w:pStyle w:val="Normal29"/>
        <w:widowControl w:val="0"/>
        <w:spacing w:before="240" w:line="260" w:lineRule="atLeast"/>
      </w:pPr>
      <w:r>
        <w:br/>
      </w:r>
      <w:r>
        <w:rPr>
          <w:rFonts w:ascii="Arial" w:eastAsia="Arial" w:hAnsi="Arial" w:cs="Arial"/>
          <w:b/>
          <w:color w:val="000000"/>
          <w:sz w:val="20"/>
        </w:rPr>
        <w:t>1</w:t>
      </w:r>
      <w:r>
        <w:rPr>
          <w:rFonts w:ascii="Arial" w:eastAsia="Arial" w:hAnsi="Arial" w:cs="Arial"/>
          <w:color w:val="000000"/>
          <w:sz w:val="20"/>
        </w:rPr>
        <w:t>.</w:t>
      </w:r>
    </w:p>
    <w:p w:rsidR="00E456CD" w:rsidRDefault="00000000">
      <w:pPr>
        <w:pStyle w:val="Normal29"/>
        <w:widowControl w:val="0"/>
        <w:spacing w:before="200" w:line="260" w:lineRule="atLeast"/>
        <w:jc w:val="both"/>
      </w:pPr>
      <w:bookmarkStart w:id="4761" w:name="Bookmark_para_28_15"/>
      <w:bookmarkEnd w:id="4761"/>
      <w:r>
        <w:rPr>
          <w:rFonts w:ascii="Arial" w:eastAsia="Arial" w:hAnsi="Arial" w:cs="Arial"/>
          <w:color w:val="000000"/>
          <w:sz w:val="20"/>
        </w:rPr>
        <w:t xml:space="preserve">The hearing officer wrote that "[e]veryone, including the Parents, agrees that the Student has been making good progress in his educational [**18]  program." She went on to state: "That is precisely what FAPE requires. The Student is receiving FAPE." As plaintiffs see it, the hearing officer could have stopped there. Indeed, by plaintiffs' most recently advanced logic, even if the hearing officer had concluded that the recording device would be quite effective and beneficial, she would have been required to rule against the parents if B.P. was nevertheless already receiving a FAPE. And, plaintiffs say, the hearing officer's  [*86]  finding of no demonstrable benefit could not be appealed because the judgment could stand independently on the finding that B.P. was receiving a FAPE. </w:t>
      </w:r>
      <w:r>
        <w:rPr>
          <w:rFonts w:ascii="Arial" w:eastAsia="Arial" w:hAnsi="Arial" w:cs="Arial"/>
          <w:color w:val="000000"/>
          <w:sz w:val="20"/>
          <w:u w:val="single"/>
        </w:rPr>
        <w:t>See</w:t>
      </w:r>
      <w:r>
        <w:rPr>
          <w:rFonts w:ascii="Arial" w:eastAsia="Arial" w:hAnsi="Arial" w:cs="Arial"/>
          <w:color w:val="000000"/>
          <w:sz w:val="20"/>
        </w:rPr>
        <w:t xml:space="preserve"> Restatement, </w:t>
      </w:r>
      <w:r>
        <w:rPr>
          <w:rFonts w:ascii="Arial" w:eastAsia="Arial" w:hAnsi="Arial" w:cs="Arial"/>
          <w:color w:val="000000"/>
          <w:sz w:val="20"/>
          <w:u w:val="single"/>
        </w:rPr>
        <w:t>supra</w:t>
      </w:r>
      <w:r>
        <w:rPr>
          <w:rFonts w:ascii="Arial" w:eastAsia="Arial" w:hAnsi="Arial" w:cs="Arial"/>
          <w:color w:val="000000"/>
          <w:sz w:val="20"/>
        </w:rPr>
        <w:t>, § 28 cmt. a ("[T]he availability of review for the correction of errors has become critical to the application of preclusion doctrine.").</w:t>
      </w:r>
    </w:p>
    <w:p w:rsidR="00E456CD" w:rsidRDefault="00000000">
      <w:pPr>
        <w:pStyle w:val="Normal29"/>
        <w:widowControl w:val="0"/>
        <w:spacing w:before="200" w:line="260" w:lineRule="atLeast"/>
        <w:jc w:val="both"/>
      </w:pPr>
      <w:bookmarkStart w:id="4762" w:name="Bookmark_para_29_15"/>
      <w:bookmarkEnd w:id="4762"/>
      <w:r>
        <w:rPr>
          <w:rFonts w:ascii="Arial" w:eastAsia="Arial" w:hAnsi="Arial" w:cs="Arial"/>
          <w:color w:val="000000"/>
          <w:sz w:val="20"/>
        </w:rPr>
        <w:t>Read as a whole, though, the hearing officer's decision does not invite us to construe the "no demonstrable benefit" finding as only an alternative ground for the decision. The ruling never labels the finding as an unnecessary or alternative part of its reasoning. To the contrary, the hearing officer's statement that B.P. is "receiving FAPE" follows -- and seems to be based on -- a discussion of events belying any need for the recording [**19]  device. Additionally, the decision twice labels its finding regarding the efficacy of the device as its conclusion.</w:t>
      </w:r>
      <w:r>
        <w:rPr>
          <w:rFonts w:ascii="Arial" w:eastAsia="Arial" w:hAnsi="Arial" w:cs="Arial"/>
          <w:vertAlign w:val="superscript"/>
        </w:rPr>
        <w:footnoteReference w:customMarkFollows="1" w:id="207"/>
        <w:t>7</w:t>
      </w:r>
      <w:r>
        <w:rPr>
          <w:rFonts w:ascii="Arial" w:eastAsia="Arial" w:hAnsi="Arial" w:cs="Arial"/>
          <w:color w:val="000000"/>
          <w:sz w:val="20"/>
        </w:rPr>
        <w:t xml:space="preserve"> In this manner, the text invites the reader to see the finding of "no demonstrable benefit" as reinforcement for the legal conclusion that B.P. was receiving a FAPE, rather than as an unnecessary alternative basis for the decision's ultimate conclusion that the device was not required under the IDEA.</w:t>
      </w:r>
    </w:p>
    <w:p w:rsidR="00E456CD" w:rsidRDefault="00000000">
      <w:pPr>
        <w:pStyle w:val="Normal29"/>
        <w:widowControl w:val="0"/>
        <w:spacing w:before="200" w:line="260" w:lineRule="atLeast"/>
        <w:jc w:val="both"/>
      </w:pPr>
      <w:bookmarkStart w:id="4764" w:name="Bookmark_para_30_15"/>
      <w:bookmarkEnd w:id="4764"/>
      <w:r>
        <w:rPr>
          <w:rFonts w:ascii="Arial" w:eastAsia="Arial" w:hAnsi="Arial" w:cs="Arial"/>
          <w:color w:val="000000"/>
          <w:sz w:val="20"/>
        </w:rPr>
        <w:t>The nature of the hearing that gave rise to the finding supports reading the hearing officer's conclusion as standing on two reinforcing -- rather than alternative -- grounds. Regarding the recording device claim, the proceeding was structured to determine, in the words of the district court's initial summary judgment ruling requiring exhaustion under the IDEA, "whether B.P.'s IEP should include his use of supplementary aids to properly protect B.P. at school or allow B.P. to effectively communicate and advocate for himself so that he could best work towards his educational goals." Not surprisingly, therefore, much of the hearing focused on whether and to what extent the recording device would benefit B.P. by allowing him to best pursue his educational goals. All parties, [**20]  especially plaintiffs, treated this as a central question in the IDEA proceeding and they therefore made their best case on this issue. In particular, plaintiffs emphasized that B.P. required the device for safety reasons, to "protect himself," as well as to advocate for himself through his parents. At the hearing, B.P.'s father testified that without the device, "there is no way for [B.P.] to tell us what happens . . . and, therefore, for him to . . . advocate for himself or get our assistance in advocating for him." B.P.'s mother testified similarly. Plaintiffs maintained this position in the written closings they submitted to the hearing officer. Plaintiffs also claimed that the device was necessary to allow them to reinforce at home the programming provided at school. In response, the district elicited testimony from its staff that the device would not support B.P.'s education and could in fact hinder it by increasing his isolation and making staff and his peers uncomfortable. Given this extensive and predominant focus on the potential benefits of the recording device, we decline plaintiffs' invitation to presume that the hearing officer's finding that B.P. was receiving a FAPE [**21]  would have remained unchanged had the parents convinced the officer that B.P. would indeed benefit from wearing the device. We find additional support for our conclusion in the fact that the hearing officer, in her ruling, expressed puzzlement that the parents failed to explain  [*87]  precisely how they would use the recordings.</w:t>
      </w:r>
      <w:r>
        <w:rPr>
          <w:rFonts w:ascii="Arial" w:eastAsia="Arial" w:hAnsi="Arial" w:cs="Arial"/>
          <w:vertAlign w:val="superscript"/>
        </w:rPr>
        <w:footnoteReference w:customMarkFollows="1" w:id="208"/>
        <w:t>8</w:t>
      </w:r>
    </w:p>
    <w:p w:rsidR="00E456CD" w:rsidRDefault="00000000">
      <w:pPr>
        <w:pStyle w:val="Normal29"/>
        <w:widowControl w:val="0"/>
        <w:spacing w:before="200" w:line="260" w:lineRule="atLeast"/>
        <w:jc w:val="both"/>
      </w:pPr>
      <w:bookmarkStart w:id="4766" w:name="Bookmark_para_31_15"/>
      <w:bookmarkStart w:id="4767" w:name="Bookmark_I5S4V2HH2HM6630020000400"/>
      <w:bookmarkStart w:id="4768" w:name="Bookmark_I5S4V2HH2HM6630040000400"/>
      <w:bookmarkEnd w:id="4766"/>
      <w:bookmarkEnd w:id="4767"/>
      <w:bookmarkEnd w:id="4768"/>
      <w:r>
        <w:rPr>
          <w:rFonts w:ascii="Arial" w:eastAsia="Arial" w:hAnsi="Arial" w:cs="Arial"/>
          <w:color w:val="000000"/>
          <w:sz w:val="20"/>
        </w:rPr>
        <w:t xml:space="preserve">Substantive IDEA law buttresses our reading that the hearing officer's "no demonstrable benefit" finding was not an unnecessary addendum, but rather served as an important reinforcement of the decision that B.P. was already receiving a FAPE. It is true that </w:t>
      </w:r>
      <w:bookmarkStart w:id="4769" w:name="Bookmark_LNHNREFclscc9_14"/>
      <w:bookmarkEnd w:id="4769"/>
      <w:r>
        <w:rPr>
          <w:rFonts w:ascii="Arial" w:eastAsia="Arial" w:hAnsi="Arial" w:cs="Arial"/>
          <w:color w:val="000000"/>
          <w:sz w:val="20"/>
        </w:rPr>
        <w:t xml:space="preserve">a school need not maximize the benefits received by a student in order to provide a FAPE. </w:t>
      </w:r>
      <w:r>
        <w:rPr>
          <w:rFonts w:ascii="Arial" w:eastAsia="Arial" w:hAnsi="Arial" w:cs="Arial"/>
          <w:color w:val="000000"/>
          <w:sz w:val="20"/>
          <w:u w:val="single"/>
        </w:rPr>
        <w:t xml:space="preserve">See </w:t>
      </w:r>
      <w:bookmarkStart w:id="4770" w:name="Bookmark_I5S4V2HH2HM6630010000400"/>
      <w:bookmarkEnd w:id="4770"/>
      <w:r>
        <w:rPr>
          <w:rFonts w:ascii="Arial" w:eastAsia="Arial" w:hAnsi="Arial" w:cs="Arial"/>
          <w:color w:val="000000"/>
          <w:sz w:val="20"/>
          <w:u w:val="single"/>
        </w:rPr>
        <w:t>Endrew F. ex rel. Joseph F</w:t>
      </w:r>
      <w:r>
        <w:rPr>
          <w:rFonts w:ascii="Arial" w:eastAsia="Arial" w:hAnsi="Arial" w:cs="Arial"/>
          <w:color w:val="000000"/>
          <w:sz w:val="20"/>
        </w:rPr>
        <w:t xml:space="preserve">. v. </w:t>
      </w:r>
      <w:r>
        <w:rPr>
          <w:rFonts w:ascii="Arial" w:eastAsia="Arial" w:hAnsi="Arial" w:cs="Arial"/>
          <w:color w:val="000000"/>
          <w:sz w:val="20"/>
          <w:u w:val="single"/>
        </w:rPr>
        <w:t>Douglas Cty. Sch. Dist. RE-1</w:t>
      </w:r>
      <w:r>
        <w:rPr>
          <w:rFonts w:ascii="Arial" w:eastAsia="Arial" w:hAnsi="Arial" w:cs="Arial"/>
          <w:color w:val="000000"/>
          <w:sz w:val="20"/>
        </w:rPr>
        <w:t xml:space="preserve">, 137 S. Ct. 988, 1001, 197 L. Ed. 2d 335 (2017) (rejecting an argument that a FAPE must provide students with disabilities "substantially equal" opportunities to those afforded students without disabilities). At the same time, though, the IDEA establishes no objective tool to measure how much of an available benefit the school must provide. </w:t>
      </w:r>
      <w:bookmarkStart w:id="4771" w:name="Bookmark_I5S4V2HH2D6NG90030000400"/>
      <w:bookmarkEnd w:id="4771"/>
      <w:r>
        <w:rPr>
          <w:rFonts w:ascii="Arial" w:eastAsia="Arial" w:hAnsi="Arial" w:cs="Arial"/>
          <w:color w:val="000000"/>
          <w:sz w:val="20"/>
          <w:u w:val="single"/>
        </w:rPr>
        <w:t xml:space="preserve">See </w:t>
      </w:r>
      <w:bookmarkStart w:id="4772" w:name="Bookmark_I5S4V2HH2HM6630030000400"/>
      <w:bookmarkEnd w:id="4772"/>
      <w:r>
        <w:rPr>
          <w:rFonts w:ascii="Arial" w:eastAsia="Arial" w:hAnsi="Arial" w:cs="Arial"/>
          <w:color w:val="000000"/>
          <w:sz w:val="20"/>
          <w:u w:val="single"/>
        </w:rPr>
        <w:t>id.</w:t>
      </w:r>
      <w:r>
        <w:rPr>
          <w:rFonts w:ascii="Arial" w:eastAsia="Arial" w:hAnsi="Arial" w:cs="Arial"/>
          <w:color w:val="000000"/>
          <w:sz w:val="20"/>
        </w:rPr>
        <w:t xml:space="preserve"> at 1000 n.2 ("We declined to hold in </w:t>
      </w:r>
      <w:r>
        <w:rPr>
          <w:rFonts w:ascii="Arial" w:eastAsia="Arial" w:hAnsi="Arial" w:cs="Arial"/>
          <w:color w:val="000000"/>
          <w:sz w:val="20"/>
          <w:u w:val="single"/>
        </w:rPr>
        <w:t>Rowley</w:t>
      </w:r>
      <w:r>
        <w:rPr>
          <w:rFonts w:ascii="Arial" w:eastAsia="Arial" w:hAnsi="Arial" w:cs="Arial"/>
          <w:color w:val="000000"/>
          <w:sz w:val="20"/>
        </w:rPr>
        <w:t xml:space="preserve">, and do not hold today, that 'every handicapped child who is advancing from grade to grade . . . is automatically receiving a [FAPE].'" (alterations in original) (quoting </w:t>
      </w:r>
      <w:bookmarkStart w:id="4773" w:name="Bookmark_I5S4V2HH2HM6630050000400"/>
      <w:bookmarkEnd w:id="4773"/>
      <w:r>
        <w:rPr>
          <w:rFonts w:ascii="Arial" w:eastAsia="Arial" w:hAnsi="Arial" w:cs="Arial"/>
          <w:color w:val="000000"/>
          <w:sz w:val="20"/>
          <w:u w:val="single"/>
        </w:rPr>
        <w:t>Bd. of Ed. of Hendrick Hudson Cent. Sch. Dist., Westchester Cty</w:t>
      </w:r>
      <w:r>
        <w:rPr>
          <w:rFonts w:ascii="Arial" w:eastAsia="Arial" w:hAnsi="Arial" w:cs="Arial"/>
          <w:color w:val="000000"/>
          <w:sz w:val="20"/>
        </w:rPr>
        <w:t xml:space="preserve">. v. </w:t>
      </w:r>
      <w:r>
        <w:rPr>
          <w:rFonts w:ascii="Arial" w:eastAsia="Arial" w:hAnsi="Arial" w:cs="Arial"/>
          <w:color w:val="000000"/>
          <w:sz w:val="20"/>
          <w:u w:val="single"/>
        </w:rPr>
        <w:t>Rowley</w:t>
      </w:r>
      <w:r>
        <w:rPr>
          <w:rFonts w:ascii="Arial" w:eastAsia="Arial" w:hAnsi="Arial" w:cs="Arial"/>
          <w:color w:val="000000"/>
          <w:sz w:val="20"/>
        </w:rPr>
        <w:t xml:space="preserve">, 458 U.S. 176, 203 n.5, 102 S. Ct. 3034, 73 L. Ed. 2d 690 (1982))). </w:t>
      </w:r>
      <w:bookmarkStart w:id="4774" w:name="Bookmark_I5S4V2HH2D6NG90030000400_2"/>
      <w:bookmarkEnd w:id="4774"/>
      <w:r>
        <w:rPr>
          <w:rFonts w:ascii="Arial" w:eastAsia="Arial" w:hAnsi="Arial" w:cs="Arial"/>
          <w:color w:val="000000"/>
          <w:sz w:val="20"/>
        </w:rPr>
        <w:t xml:space="preserve">Rather, the IDEA requires [**22]  a hearing officer to pay heed to the precise circumstances confronting an individual student. </w:t>
      </w:r>
      <w:r>
        <w:rPr>
          <w:rFonts w:ascii="Arial" w:eastAsia="Arial" w:hAnsi="Arial" w:cs="Arial"/>
          <w:color w:val="000000"/>
          <w:sz w:val="20"/>
          <w:u w:val="single"/>
        </w:rPr>
        <w:t xml:space="preserve">See </w:t>
      </w:r>
      <w:bookmarkStart w:id="4775" w:name="Bookmark_I5S4V2HH2D6NG90020000400"/>
      <w:bookmarkEnd w:id="4775"/>
      <w:r>
        <w:rPr>
          <w:rFonts w:ascii="Arial" w:eastAsia="Arial" w:hAnsi="Arial" w:cs="Arial"/>
          <w:color w:val="000000"/>
          <w:sz w:val="20"/>
          <w:u w:val="single"/>
        </w:rPr>
        <w:t>id.</w:t>
      </w:r>
      <w:r>
        <w:rPr>
          <w:rFonts w:ascii="Arial" w:eastAsia="Arial" w:hAnsi="Arial" w:cs="Arial"/>
          <w:color w:val="000000"/>
          <w:sz w:val="20"/>
        </w:rPr>
        <w:t xml:space="preserve"> at 999 ("To meet its substantive obligation under the IDEA, a school must offer an IEP reasonably calculated to enable a child to make progress appropriate </w:t>
      </w:r>
      <w:r>
        <w:rPr>
          <w:rFonts w:ascii="Arial" w:eastAsia="Arial" w:hAnsi="Arial" w:cs="Arial"/>
          <w:color w:val="000000"/>
          <w:sz w:val="20"/>
          <w:u w:val="single"/>
        </w:rPr>
        <w:t>in light of the child's circumstances</w:t>
      </w:r>
      <w:r>
        <w:rPr>
          <w:rFonts w:ascii="Arial" w:eastAsia="Arial" w:hAnsi="Arial" w:cs="Arial"/>
          <w:color w:val="000000"/>
          <w:sz w:val="20"/>
        </w:rPr>
        <w:t>." (emphasis added)). The statute directly calls for consideration of the "unique needs" of each child, 20 U.S.C. § 1400(d)(1)(A), and of the possibility that "supplementary aids" may need to be included in a child's IEP, id. § 1414(d)(1)(A)(i)(IV). A careful hearing examiner confronted with the parents' claim that a recording device would meaningfully benefit B.P. in a manner relevant to his receipt of a FAPE might well have thought it important -- as plaintiffs themselves apparently did -- to assess all the potential benefits of the device before finally reaching a conclusion that B.P. was receiving a FAPE.</w:t>
      </w:r>
    </w:p>
    <w:p w:rsidR="00E456CD" w:rsidRDefault="00000000">
      <w:pPr>
        <w:pStyle w:val="Normal29"/>
        <w:widowControl w:val="0"/>
        <w:spacing w:before="200" w:line="260" w:lineRule="atLeast"/>
        <w:jc w:val="both"/>
      </w:pPr>
      <w:bookmarkStart w:id="4776" w:name="Bookmark_para_32_15"/>
      <w:bookmarkStart w:id="4777" w:name="Bookmark_I5S4V2HH2D6NG90050000400"/>
      <w:bookmarkEnd w:id="4776"/>
      <w:bookmarkEnd w:id="4777"/>
      <w:r>
        <w:rPr>
          <w:rFonts w:ascii="Arial" w:eastAsia="Arial" w:hAnsi="Arial" w:cs="Arial"/>
          <w:color w:val="000000"/>
          <w:sz w:val="20"/>
        </w:rPr>
        <w:t xml:space="preserve">The distinction between a substantive deprivation of a FAPE and a procedural deprivation of a FAPE may also have accounted for the hearing officer's assessment of the extent to which the device would benefit B.P. A substantive inquiry focuses on the "proper content of an IEP." </w:t>
      </w:r>
      <w:r>
        <w:rPr>
          <w:rFonts w:ascii="Arial" w:eastAsia="Arial" w:hAnsi="Arial" w:cs="Arial"/>
          <w:color w:val="000000"/>
          <w:sz w:val="20"/>
          <w:u w:val="single"/>
        </w:rPr>
        <w:t xml:space="preserve">See </w:t>
      </w:r>
      <w:bookmarkStart w:id="4778" w:name="Bookmark_I5S4V2HH2D6NG90040000400"/>
      <w:bookmarkEnd w:id="4778"/>
      <w:r>
        <w:rPr>
          <w:rFonts w:ascii="Arial" w:eastAsia="Arial" w:hAnsi="Arial" w:cs="Arial"/>
          <w:color w:val="000000"/>
          <w:sz w:val="20"/>
          <w:u w:val="single"/>
        </w:rPr>
        <w:t>Lessard</w:t>
      </w:r>
      <w:r>
        <w:rPr>
          <w:rFonts w:ascii="Arial" w:eastAsia="Arial" w:hAnsi="Arial" w:cs="Arial"/>
          <w:color w:val="000000"/>
          <w:sz w:val="20"/>
        </w:rPr>
        <w:t xml:space="preserve"> v. </w:t>
      </w:r>
      <w:r>
        <w:rPr>
          <w:rFonts w:ascii="Arial" w:eastAsia="Arial" w:hAnsi="Arial" w:cs="Arial"/>
          <w:color w:val="000000"/>
          <w:sz w:val="20"/>
          <w:u w:val="single"/>
        </w:rPr>
        <w:t>Wilton-Lyndeborough Coop. Sch. Dist.</w:t>
      </w:r>
      <w:r>
        <w:rPr>
          <w:rFonts w:ascii="Arial" w:eastAsia="Arial" w:hAnsi="Arial" w:cs="Arial"/>
          <w:color w:val="000000"/>
          <w:sz w:val="20"/>
        </w:rPr>
        <w:t xml:space="preserve">, 518 F.3d 18, 23 (1st Cir. 2008). A procedural inquiry instead focuses on the parents' ability to [**23]  participate meaningfully in the IDEA process. </w:t>
      </w:r>
      <w:r>
        <w:rPr>
          <w:rFonts w:ascii="Arial" w:eastAsia="Arial" w:hAnsi="Arial" w:cs="Arial"/>
          <w:color w:val="000000"/>
          <w:sz w:val="20"/>
          <w:u w:val="single"/>
        </w:rPr>
        <w:t>See id.</w:t>
      </w:r>
      <w:r>
        <w:rPr>
          <w:rFonts w:ascii="Arial" w:eastAsia="Arial" w:hAnsi="Arial" w:cs="Arial"/>
          <w:color w:val="000000"/>
          <w:sz w:val="20"/>
        </w:rPr>
        <w:t xml:space="preserve"> (citing the right of parents to be part of the IEP team as an example of the IDEA's procedural requirements). Our review of the IDEA due process record suggests that there was a fair amount of confusion, or at the very least an evolution throughout the proceedings, regarding whether the hearing officer was adjudicating a substantive challenge or a procedural one, or both. </w:t>
      </w:r>
      <w:r>
        <w:rPr>
          <w:rFonts w:ascii="Arial" w:eastAsia="Arial" w:hAnsi="Arial" w:cs="Arial"/>
          <w:color w:val="000000"/>
          <w:sz w:val="20"/>
          <w:u w:val="single"/>
        </w:rPr>
        <w:t>Compare</w:t>
      </w:r>
      <w:r>
        <w:rPr>
          <w:rFonts w:ascii="Arial" w:eastAsia="Arial" w:hAnsi="Arial" w:cs="Arial"/>
          <w:color w:val="000000"/>
          <w:sz w:val="20"/>
        </w:rPr>
        <w:t xml:space="preserve"> 20 U.S.C. § 1415(f)(3)(E)(i) (substantive) </w:t>
      </w:r>
      <w:r>
        <w:rPr>
          <w:rFonts w:ascii="Arial" w:eastAsia="Arial" w:hAnsi="Arial" w:cs="Arial"/>
          <w:color w:val="000000"/>
          <w:sz w:val="20"/>
          <w:u w:val="single"/>
        </w:rPr>
        <w:t>with id.</w:t>
      </w:r>
      <w:r>
        <w:rPr>
          <w:rFonts w:ascii="Arial" w:eastAsia="Arial" w:hAnsi="Arial" w:cs="Arial"/>
          <w:color w:val="000000"/>
          <w:sz w:val="20"/>
        </w:rPr>
        <w:t xml:space="preserve"> § 1415(f)(3)(E)(ii) (procedural). Although the hearing officer initially believed that she was adjudicating a substantive challenge, she ultimately framed the issue in her opinion in the words of a procedural challenge. And between plaintiffs' first closing argument and their reply closing, they seem to have subtly changed from emphasizing the substantive nature of their claim (that B.P. was substantively deprived of a FAPE because  [*88]  he lacked the ability to protect himself and advocate for himself) to emphasizing its procedural nature (that without the device, the parents were deprived of their procedural right to participate in the IDEA decision-making process, which in turn deprived B.P. of the ability to protect himself and advocate for himself). [**24]  In light of this apparent evolution, the hearing officer's analysis (and her multiple conclusions) can reasonably be read as inquiring into both whether B.P. was substantively deprived of a FAPE and whether he was procedurally so deprived. So viewed, the "no demonstrable benefit" finding may have been necessary to rejecting the IDEA claim even if it was not necessary to finding that B.P. was not substantively deprived of a FAPE.</w:t>
      </w:r>
    </w:p>
    <w:p w:rsidR="00E456CD" w:rsidRDefault="00000000">
      <w:pPr>
        <w:pStyle w:val="Normal29"/>
        <w:widowControl w:val="0"/>
        <w:spacing w:before="200" w:line="260" w:lineRule="atLeast"/>
        <w:jc w:val="both"/>
      </w:pPr>
      <w:bookmarkStart w:id="4779" w:name="Bookmark_para_33_14"/>
      <w:bookmarkStart w:id="4780" w:name="Bookmark_I5S4V2HH2SF8KN0020000400"/>
      <w:bookmarkStart w:id="4781" w:name="Bookmark_I5S4V2HH2SF8KN0040000400"/>
      <w:bookmarkEnd w:id="4779"/>
      <w:bookmarkEnd w:id="4780"/>
      <w:bookmarkEnd w:id="4781"/>
      <w:r>
        <w:rPr>
          <w:rFonts w:ascii="Arial" w:eastAsia="Arial" w:hAnsi="Arial" w:cs="Arial"/>
          <w:color w:val="000000"/>
          <w:sz w:val="20"/>
        </w:rPr>
        <w:t xml:space="preserve">For these reasons, and for purposes of considering the preclusive effects of the hearing officer's findings, we are not persuaded that an assessment of the efficacy of the recording device was unnecessary to the FAPE proceeding. </w:t>
      </w:r>
      <w:r>
        <w:rPr>
          <w:rFonts w:ascii="Arial" w:eastAsia="Arial" w:hAnsi="Arial" w:cs="Arial"/>
          <w:color w:val="000000"/>
          <w:sz w:val="20"/>
          <w:u w:val="single"/>
        </w:rPr>
        <w:t xml:space="preserve">See </w:t>
      </w:r>
      <w:bookmarkStart w:id="4782" w:name="Bookmark_I5S4V2HH2SF8KN0010000400"/>
      <w:bookmarkEnd w:id="4782"/>
      <w:r>
        <w:rPr>
          <w:rFonts w:ascii="Arial" w:eastAsia="Arial" w:hAnsi="Arial" w:cs="Arial"/>
          <w:color w:val="000000"/>
          <w:sz w:val="20"/>
          <w:u w:val="single"/>
        </w:rPr>
        <w:t>Manganella</w:t>
      </w:r>
      <w:r>
        <w:rPr>
          <w:rFonts w:ascii="Arial" w:eastAsia="Arial" w:hAnsi="Arial" w:cs="Arial"/>
          <w:color w:val="000000"/>
          <w:sz w:val="20"/>
        </w:rPr>
        <w:t xml:space="preserve"> v. </w:t>
      </w:r>
      <w:r>
        <w:rPr>
          <w:rFonts w:ascii="Arial" w:eastAsia="Arial" w:hAnsi="Arial" w:cs="Arial"/>
          <w:color w:val="000000"/>
          <w:sz w:val="20"/>
          <w:u w:val="single"/>
        </w:rPr>
        <w:t>Evanston Ins. Co.</w:t>
      </w:r>
      <w:r>
        <w:rPr>
          <w:rFonts w:ascii="Arial" w:eastAsia="Arial" w:hAnsi="Arial" w:cs="Arial"/>
          <w:color w:val="000000"/>
          <w:sz w:val="20"/>
        </w:rPr>
        <w:t xml:space="preserve">, 700 F.3d 585, 593-94 (1st Cir. 2012) (rejecting plaintiff's argument against issue preclusion because "although [plaintiff] argues here that the arbitrators could have just assumed the truth of the harassment allegations [and reached the same result], he did not ask them to do so" but rather "vigorously litigated" their truth); Restatement, </w:t>
      </w:r>
      <w:r>
        <w:rPr>
          <w:rFonts w:ascii="Arial" w:eastAsia="Arial" w:hAnsi="Arial" w:cs="Arial"/>
          <w:color w:val="000000"/>
          <w:sz w:val="20"/>
          <w:u w:val="single"/>
        </w:rPr>
        <w:t>supra</w:t>
      </w:r>
      <w:r>
        <w:rPr>
          <w:rFonts w:ascii="Arial" w:eastAsia="Arial" w:hAnsi="Arial" w:cs="Arial"/>
          <w:color w:val="000000"/>
          <w:sz w:val="20"/>
        </w:rPr>
        <w:t>, § 27 cmt. j (</w:t>
      </w:r>
      <w:bookmarkStart w:id="4783" w:name="Bookmark_LNHNREFclscc10_13"/>
      <w:bookmarkEnd w:id="4783"/>
      <w:r>
        <w:rPr>
          <w:rFonts w:ascii="Arial" w:eastAsia="Arial" w:hAnsi="Arial" w:cs="Arial"/>
          <w:color w:val="000000"/>
          <w:sz w:val="20"/>
        </w:rPr>
        <w:t xml:space="preserve">"The appropriate question, then, is whether the issue was actually recognized by the parties as important and by the trier as necessary to the first judgment."). Moreover, a rationale we have cited for the requirement that a finding be necessary [**25]  to the judgment -- that the parties do not have a strong incentive to litigate a peripheral issue, </w:t>
      </w:r>
      <w:r>
        <w:rPr>
          <w:rFonts w:ascii="Arial" w:eastAsia="Arial" w:hAnsi="Arial" w:cs="Arial"/>
          <w:color w:val="000000"/>
          <w:sz w:val="20"/>
          <w:u w:val="single"/>
        </w:rPr>
        <w:t xml:space="preserve">see </w:t>
      </w:r>
      <w:bookmarkStart w:id="4784" w:name="Bookmark_I5S4V2HH2SF8KN0030000400"/>
      <w:bookmarkEnd w:id="4784"/>
      <w:r>
        <w:rPr>
          <w:rFonts w:ascii="Arial" w:eastAsia="Arial" w:hAnsi="Arial" w:cs="Arial"/>
          <w:color w:val="000000"/>
          <w:sz w:val="20"/>
          <w:u w:val="single"/>
        </w:rPr>
        <w:t>Commercial Assocs</w:t>
      </w:r>
      <w:r>
        <w:rPr>
          <w:rFonts w:ascii="Arial" w:eastAsia="Arial" w:hAnsi="Arial" w:cs="Arial"/>
          <w:color w:val="000000"/>
          <w:sz w:val="20"/>
        </w:rPr>
        <w:t xml:space="preserve">. v. </w:t>
      </w:r>
      <w:r>
        <w:rPr>
          <w:rFonts w:ascii="Arial" w:eastAsia="Arial" w:hAnsi="Arial" w:cs="Arial"/>
          <w:color w:val="000000"/>
          <w:sz w:val="20"/>
          <w:u w:val="single"/>
        </w:rPr>
        <w:t>Tilcon Gammino</w:t>
      </w:r>
      <w:r>
        <w:rPr>
          <w:rFonts w:ascii="Arial" w:eastAsia="Arial" w:hAnsi="Arial" w:cs="Arial"/>
          <w:color w:val="000000"/>
          <w:sz w:val="20"/>
        </w:rPr>
        <w:t>, Inc., 998 F.2d 1092, 1097 (1st Cir. 1993) -- shrinks considerably where the parties have vigorously litigated the issue before a tribunal that to all indications viewed the issue as important. Here, the parties and the hearing officer had ample cause to regard a full assessment of the potential benefits of the recording device as relevant to the determination of whether B.P. was receiving a FAPE (and thus as necessary to the overall agency judgment), and appear to have acted accordingly.</w:t>
      </w:r>
    </w:p>
    <w:p w:rsidR="00E456CD" w:rsidRDefault="00000000">
      <w:pPr>
        <w:pStyle w:val="Normal29"/>
        <w:widowControl w:val="0"/>
        <w:spacing w:before="200" w:line="260" w:lineRule="atLeast"/>
        <w:jc w:val="both"/>
      </w:pPr>
      <w:bookmarkStart w:id="4785" w:name="Bookmark_para_34_13"/>
      <w:bookmarkEnd w:id="4785"/>
      <w:r>
        <w:rPr>
          <w:rFonts w:ascii="Arial" w:eastAsia="Arial" w:hAnsi="Arial" w:cs="Arial"/>
          <w:color w:val="000000"/>
          <w:sz w:val="20"/>
        </w:rPr>
        <w:t>Plaintiffs' argument that they had no incentive to appeal the hearing officer's ruling therefore lacks the full force it might have had were it clear that the finding that B.P. was receiving a FAPE stood entirely on its own without any reliance on the "no demonstrable benefit" finding. If a reviewing court agreed with our reading of the hearing officer's decision, then it would have entertained an appeal of the latter finding. And if it disagreed with our reading, plaintiffs' argument on preclusion would have been substantially strengthened. In sum, plaintiffs likely had ample incentive to appeal the hearing officer's judgment if they felt [**26]  that the "no demonstrable benefit" finding was plainly wrong.</w:t>
      </w:r>
    </w:p>
    <w:p w:rsidR="00E456CD" w:rsidRDefault="00000000">
      <w:pPr>
        <w:pStyle w:val="Normal29"/>
        <w:widowControl w:val="0"/>
        <w:spacing w:before="240" w:line="260" w:lineRule="atLeast"/>
      </w:pPr>
      <w:r>
        <w:br/>
      </w:r>
      <w:r>
        <w:rPr>
          <w:rFonts w:ascii="Arial" w:eastAsia="Arial" w:hAnsi="Arial" w:cs="Arial"/>
          <w:b/>
          <w:color w:val="000000"/>
          <w:sz w:val="20"/>
        </w:rPr>
        <w:t>2</w:t>
      </w:r>
      <w:r>
        <w:rPr>
          <w:rFonts w:ascii="Arial" w:eastAsia="Arial" w:hAnsi="Arial" w:cs="Arial"/>
          <w:color w:val="000000"/>
          <w:sz w:val="20"/>
        </w:rPr>
        <w:t>.</w:t>
      </w:r>
    </w:p>
    <w:p w:rsidR="00E456CD" w:rsidRDefault="00000000">
      <w:pPr>
        <w:pStyle w:val="Normal29"/>
        <w:widowControl w:val="0"/>
        <w:spacing w:before="200" w:line="260" w:lineRule="atLeast"/>
        <w:jc w:val="both"/>
      </w:pPr>
      <w:bookmarkStart w:id="4786" w:name="Bookmark_para_35_12"/>
      <w:bookmarkEnd w:id="4786"/>
      <w:r>
        <w:rPr>
          <w:rFonts w:ascii="Arial" w:eastAsia="Arial" w:hAnsi="Arial" w:cs="Arial"/>
          <w:color w:val="000000"/>
          <w:sz w:val="20"/>
        </w:rPr>
        <w:t>This brings us to plaintiffs' closely-related fallback theory: that, even assuming some assessment of the efficacy of the recording device was necessary to the judgment, the hearing officer did not need to decide that the device actually lacked any benefit at all. Rather, all the officer needed to find on this score, say plaintiffs, was that the device was not so effective and important as to be necessary for a FAPE; her additional finding that the device would provide no benefit at all, much less that it would interfere with the provision of a FAPE and could affirmatively cause harm, was simply "not the standard"  [*89]  and was therefore unnecessary to the judgment.</w:t>
      </w:r>
    </w:p>
    <w:p w:rsidR="00E456CD" w:rsidRDefault="00000000">
      <w:pPr>
        <w:pStyle w:val="Normal29"/>
        <w:widowControl w:val="0"/>
        <w:spacing w:before="200" w:line="260" w:lineRule="atLeast"/>
        <w:jc w:val="both"/>
      </w:pPr>
      <w:bookmarkStart w:id="4787" w:name="Bookmark_para_36_11"/>
      <w:bookmarkStart w:id="4788" w:name="Bookmark_I5S4V2HH2N1RM60010000400"/>
      <w:bookmarkEnd w:id="4787"/>
      <w:bookmarkEnd w:id="4788"/>
      <w:r>
        <w:rPr>
          <w:rFonts w:ascii="Arial" w:eastAsia="Arial" w:hAnsi="Arial" w:cs="Arial"/>
          <w:color w:val="000000"/>
          <w:sz w:val="20"/>
        </w:rPr>
        <w:t xml:space="preserve">In rejecting this argument, we do not reject plaintiffs' contention that, in theory, the hearing officer could have concluded that the recording device would provide some benefit, yet not enough that its provision was necessary to provide B.P. with a FAPE, and still have reached the same result. </w:t>
      </w:r>
      <w:bookmarkStart w:id="4789" w:name="Bookmark_I5S4V2HH2N1RM60050000400"/>
      <w:bookmarkEnd w:id="4789"/>
      <w:r>
        <w:rPr>
          <w:rFonts w:ascii="Arial" w:eastAsia="Arial" w:hAnsi="Arial" w:cs="Arial"/>
          <w:color w:val="000000"/>
          <w:sz w:val="20"/>
        </w:rPr>
        <w:t xml:space="preserve">Cf. K.M. ex </w:t>
      </w:r>
      <w:bookmarkStart w:id="4790" w:name="Bookmark_I5S4V2HH2SF8KN0050000400"/>
      <w:bookmarkEnd w:id="4790"/>
      <w:r>
        <w:rPr>
          <w:rFonts w:ascii="Arial" w:eastAsia="Arial" w:hAnsi="Arial" w:cs="Arial"/>
          <w:color w:val="000000"/>
          <w:sz w:val="20"/>
          <w:u w:val="single"/>
        </w:rPr>
        <w:t>rel. Bright</w:t>
      </w:r>
      <w:r>
        <w:rPr>
          <w:rFonts w:ascii="Arial" w:eastAsia="Arial" w:hAnsi="Arial" w:cs="Arial"/>
          <w:color w:val="000000"/>
          <w:sz w:val="20"/>
        </w:rPr>
        <w:t xml:space="preserve">, 725 F.3d at 1101 ("[T]he IDEA does not require schools to provide equal educational opportunities to all students." (internal quotation marks omitted)); </w:t>
      </w:r>
      <w:bookmarkStart w:id="4791" w:name="Bookmark_I5S4V2HH2N1RM60020000400"/>
      <w:bookmarkEnd w:id="4791"/>
      <w:r>
        <w:rPr>
          <w:rFonts w:ascii="Arial" w:eastAsia="Arial" w:hAnsi="Arial" w:cs="Arial"/>
          <w:color w:val="000000"/>
          <w:sz w:val="20"/>
          <w:u w:val="single"/>
        </w:rPr>
        <w:t>Endrew F.</w:t>
      </w:r>
      <w:r>
        <w:rPr>
          <w:rFonts w:ascii="Arial" w:eastAsia="Arial" w:hAnsi="Arial" w:cs="Arial"/>
          <w:color w:val="000000"/>
          <w:sz w:val="20"/>
        </w:rPr>
        <w:t xml:space="preserve">, 137 S. Ct. at 1001. But we resist the temptation [**27]  to "speculate that a prior decision could have been rested on narrower grounds than those actually chosen." Wright &amp; Miller, </w:t>
      </w:r>
      <w:r>
        <w:rPr>
          <w:rFonts w:ascii="Arial" w:eastAsia="Arial" w:hAnsi="Arial" w:cs="Arial"/>
          <w:color w:val="000000"/>
          <w:sz w:val="20"/>
          <w:u w:val="single"/>
        </w:rPr>
        <w:t>supra</w:t>
      </w:r>
      <w:r>
        <w:rPr>
          <w:rFonts w:ascii="Arial" w:eastAsia="Arial" w:hAnsi="Arial" w:cs="Arial"/>
          <w:color w:val="000000"/>
          <w:sz w:val="20"/>
        </w:rPr>
        <w:t xml:space="preserve">, § 4421. </w:t>
      </w:r>
      <w:bookmarkStart w:id="4792" w:name="Bookmark_I5S4V2HH2N1RM60050000400_2"/>
      <w:bookmarkEnd w:id="4792"/>
      <w:r>
        <w:rPr>
          <w:rFonts w:ascii="Arial" w:eastAsia="Arial" w:hAnsi="Arial" w:cs="Arial"/>
          <w:color w:val="000000"/>
          <w:sz w:val="20"/>
        </w:rPr>
        <w:t xml:space="preserve">As we have previously observed, "a factual determination is not inherently untrustworthy just because the result could have been achieved by a different, shorter and more efficient route." </w:t>
      </w:r>
      <w:bookmarkStart w:id="4793" w:name="Bookmark_I5S4V2HH2N1RM60040000400"/>
      <w:bookmarkEnd w:id="4793"/>
      <w:r>
        <w:rPr>
          <w:rFonts w:ascii="Arial" w:eastAsia="Arial" w:hAnsi="Arial" w:cs="Arial"/>
          <w:color w:val="000000"/>
          <w:sz w:val="20"/>
          <w:u w:val="single"/>
        </w:rPr>
        <w:t>Commercial Assocs.</w:t>
      </w:r>
      <w:r>
        <w:rPr>
          <w:rFonts w:ascii="Arial" w:eastAsia="Arial" w:hAnsi="Arial" w:cs="Arial"/>
          <w:color w:val="000000"/>
          <w:sz w:val="20"/>
        </w:rPr>
        <w:t>, 998 F.2d at 1097.</w:t>
      </w:r>
    </w:p>
    <w:p w:rsidR="00E456CD" w:rsidRDefault="00000000">
      <w:pPr>
        <w:pStyle w:val="Normal29"/>
        <w:widowControl w:val="0"/>
        <w:spacing w:before="200" w:line="260" w:lineRule="atLeast"/>
        <w:jc w:val="both"/>
      </w:pPr>
      <w:bookmarkStart w:id="4794" w:name="Bookmark_para_37_10"/>
      <w:bookmarkEnd w:id="4794"/>
      <w:r>
        <w:rPr>
          <w:rFonts w:ascii="Arial" w:eastAsia="Arial" w:hAnsi="Arial" w:cs="Arial"/>
          <w:color w:val="000000"/>
          <w:sz w:val="20"/>
        </w:rPr>
        <w:t xml:space="preserve">Plaintiffs cite no authority for their argument to the contrary. The Restatement is silent on the matter, despite a thorough discussion of the preclusive effects of "evidentiary facts," i.e., those that are not ultimate facts. Restatement, </w:t>
      </w:r>
      <w:r>
        <w:rPr>
          <w:rFonts w:ascii="Arial" w:eastAsia="Arial" w:hAnsi="Arial" w:cs="Arial"/>
          <w:color w:val="000000"/>
          <w:sz w:val="20"/>
          <w:u w:val="single"/>
        </w:rPr>
        <w:t>supra</w:t>
      </w:r>
      <w:r>
        <w:rPr>
          <w:rFonts w:ascii="Arial" w:eastAsia="Arial" w:hAnsi="Arial" w:cs="Arial"/>
          <w:color w:val="000000"/>
          <w:sz w:val="20"/>
        </w:rPr>
        <w:t xml:space="preserve">, § 27 cmt. j; </w:t>
      </w:r>
      <w:r>
        <w:rPr>
          <w:rFonts w:ascii="Arial" w:eastAsia="Arial" w:hAnsi="Arial" w:cs="Arial"/>
          <w:color w:val="000000"/>
          <w:sz w:val="20"/>
          <w:u w:val="single"/>
        </w:rPr>
        <w:t>id.</w:t>
      </w:r>
      <w:r>
        <w:rPr>
          <w:rFonts w:ascii="Arial" w:eastAsia="Arial" w:hAnsi="Arial" w:cs="Arial"/>
          <w:color w:val="000000"/>
          <w:sz w:val="20"/>
        </w:rPr>
        <w:t xml:space="preserve"> § 27 ill. 17. </w:t>
      </w:r>
      <w:bookmarkStart w:id="4795" w:name="Bookmark_I5S4V2HH2N1RM70020000400"/>
      <w:bookmarkStart w:id="4796" w:name="Bookmark_LNHNREFclscc11_12"/>
      <w:bookmarkEnd w:id="4795"/>
      <w:bookmarkEnd w:id="4796"/>
      <w:r>
        <w:rPr>
          <w:rFonts w:ascii="Arial" w:eastAsia="Arial" w:hAnsi="Arial" w:cs="Arial"/>
          <w:color w:val="000000"/>
          <w:sz w:val="20"/>
        </w:rPr>
        <w:t xml:space="preserve">Our survey of Maine case law has revealed no hint that Maine courts would embrace a rule that issue preclusion applies only where a finding on an issue necessary to the judgment is the narrowest possible finding on that question. In fact, several Maine cases suggest the opposite. </w:t>
      </w:r>
      <w:bookmarkStart w:id="4797" w:name="Bookmark_I5S4V2HH2D6NGB0010000400"/>
      <w:bookmarkEnd w:id="4797"/>
      <w:r>
        <w:rPr>
          <w:rFonts w:ascii="Arial" w:eastAsia="Arial" w:hAnsi="Arial" w:cs="Arial"/>
          <w:color w:val="000000"/>
          <w:sz w:val="20"/>
          <w:u w:val="single"/>
        </w:rPr>
        <w:t xml:space="preserve">See </w:t>
      </w:r>
      <w:bookmarkStart w:id="4798" w:name="Bookmark_I5S4V2HH2N1RM70010000400"/>
      <w:bookmarkEnd w:id="4798"/>
      <w:r>
        <w:rPr>
          <w:rFonts w:ascii="Arial" w:eastAsia="Arial" w:hAnsi="Arial" w:cs="Arial"/>
          <w:color w:val="000000"/>
          <w:sz w:val="20"/>
          <w:u w:val="single"/>
        </w:rPr>
        <w:t>Perry</w:t>
      </w:r>
      <w:r>
        <w:rPr>
          <w:rFonts w:ascii="Arial" w:eastAsia="Arial" w:hAnsi="Arial" w:cs="Arial"/>
          <w:color w:val="000000"/>
          <w:sz w:val="20"/>
        </w:rPr>
        <w:t xml:space="preserve"> v. H.O. </w:t>
      </w:r>
      <w:r>
        <w:rPr>
          <w:rFonts w:ascii="Arial" w:eastAsia="Arial" w:hAnsi="Arial" w:cs="Arial"/>
          <w:color w:val="000000"/>
          <w:sz w:val="20"/>
          <w:u w:val="single"/>
        </w:rPr>
        <w:t>Perry &amp; Son Co.</w:t>
      </w:r>
      <w:r>
        <w:rPr>
          <w:rFonts w:ascii="Arial" w:eastAsia="Arial" w:hAnsi="Arial" w:cs="Arial"/>
          <w:color w:val="000000"/>
          <w:sz w:val="20"/>
        </w:rPr>
        <w:t xml:space="preserve">, 1998 ME 131, 711 A.2d 1303, 1305 (Me. 1998) (giving preclusive effect to a finding that "[t]he record is devoid of any evidence" of detrimental reliance); </w:t>
      </w:r>
      <w:bookmarkStart w:id="4799" w:name="Bookmark_I5S4V2HH2N1RM70030000400"/>
      <w:bookmarkEnd w:id="4799"/>
      <w:r>
        <w:rPr>
          <w:rFonts w:ascii="Arial" w:eastAsia="Arial" w:hAnsi="Arial" w:cs="Arial"/>
          <w:color w:val="000000"/>
          <w:sz w:val="20"/>
          <w:u w:val="single"/>
        </w:rPr>
        <w:t>Button</w:t>
      </w:r>
      <w:r>
        <w:rPr>
          <w:rFonts w:ascii="Arial" w:eastAsia="Arial" w:hAnsi="Arial" w:cs="Arial"/>
          <w:color w:val="000000"/>
          <w:sz w:val="20"/>
        </w:rPr>
        <w:t xml:space="preserve"> v. </w:t>
      </w:r>
      <w:r>
        <w:rPr>
          <w:rFonts w:ascii="Arial" w:eastAsia="Arial" w:hAnsi="Arial" w:cs="Arial"/>
          <w:color w:val="000000"/>
          <w:sz w:val="20"/>
          <w:u w:val="single"/>
        </w:rPr>
        <w:t>Peoples Heritage Sav. Bank</w:t>
      </w:r>
      <w:r>
        <w:rPr>
          <w:rFonts w:ascii="Arial" w:eastAsia="Arial" w:hAnsi="Arial" w:cs="Arial"/>
          <w:color w:val="000000"/>
          <w:sz w:val="20"/>
        </w:rPr>
        <w:t xml:space="preserve">, 666 A.2d 120, 121, 123 (Me. 1995) (giving preclusive effect to a finding that "all of [decedent's] actions in arranging her financial affairs were voluntary," where the only relevant action was the redemption of a particular certificate of deposit (internal quotation marks omitted)). </w:t>
      </w:r>
      <w:bookmarkStart w:id="4800" w:name="Bookmark_I5S4V2HH2D6NGB0010000400_2"/>
      <w:bookmarkStart w:id="4801" w:name="Bookmark_I5S4V2HH2D6NGB0050000400"/>
      <w:bookmarkEnd w:id="4800"/>
      <w:bookmarkEnd w:id="4801"/>
      <w:r>
        <w:rPr>
          <w:rFonts w:ascii="Arial" w:eastAsia="Arial" w:hAnsi="Arial" w:cs="Arial"/>
          <w:color w:val="000000"/>
          <w:sz w:val="20"/>
        </w:rPr>
        <w:t xml:space="preserve">So, too, [**28]  does precedent applying the preclusion principles of other states. </w:t>
      </w:r>
      <w:r>
        <w:rPr>
          <w:rFonts w:ascii="Arial" w:eastAsia="Arial" w:hAnsi="Arial" w:cs="Arial"/>
          <w:color w:val="000000"/>
          <w:sz w:val="20"/>
          <w:u w:val="single"/>
        </w:rPr>
        <w:t xml:space="preserve">See </w:t>
      </w:r>
      <w:bookmarkStart w:id="4802" w:name="Bookmark_I5S4V2HH2N1RM70050000400"/>
      <w:bookmarkEnd w:id="4802"/>
      <w:r>
        <w:rPr>
          <w:rFonts w:ascii="Arial" w:eastAsia="Arial" w:hAnsi="Arial" w:cs="Arial"/>
          <w:color w:val="000000"/>
          <w:sz w:val="20"/>
          <w:u w:val="single"/>
        </w:rPr>
        <w:t>Gambino</w:t>
      </w:r>
      <w:r>
        <w:rPr>
          <w:rFonts w:ascii="Arial" w:eastAsia="Arial" w:hAnsi="Arial" w:cs="Arial"/>
          <w:color w:val="000000"/>
          <w:sz w:val="20"/>
        </w:rPr>
        <w:t xml:space="preserve"> v. Koonce, 757 F.3d 604, 609-10 (7th Cir. 2014) (rejecting appellant's argument that the first court's finding of fraudulent intent was not necessary to the judgment because its decision on liability could have rested on a finding of recklessness and its award of punitive damages on a finding of gross negligence); </w:t>
      </w:r>
      <w:r>
        <w:rPr>
          <w:rFonts w:ascii="Arial" w:eastAsia="Arial" w:hAnsi="Arial" w:cs="Arial"/>
          <w:color w:val="000000"/>
          <w:sz w:val="20"/>
          <w:u w:val="single"/>
        </w:rPr>
        <w:t xml:space="preserve">cf. </w:t>
      </w:r>
      <w:bookmarkStart w:id="4803" w:name="Bookmark_I5S4V2HH2D6NGB0020000400"/>
      <w:bookmarkEnd w:id="4803"/>
      <w:r>
        <w:rPr>
          <w:rFonts w:ascii="Arial" w:eastAsia="Arial" w:hAnsi="Arial" w:cs="Arial"/>
          <w:color w:val="000000"/>
          <w:sz w:val="20"/>
          <w:u w:val="single"/>
        </w:rPr>
        <w:t>Stoehr</w:t>
      </w:r>
      <w:r>
        <w:rPr>
          <w:rFonts w:ascii="Arial" w:eastAsia="Arial" w:hAnsi="Arial" w:cs="Arial"/>
          <w:color w:val="000000"/>
          <w:sz w:val="20"/>
        </w:rPr>
        <w:t xml:space="preserve"> v. </w:t>
      </w:r>
      <w:r>
        <w:rPr>
          <w:rFonts w:ascii="Arial" w:eastAsia="Arial" w:hAnsi="Arial" w:cs="Arial"/>
          <w:color w:val="000000"/>
          <w:sz w:val="20"/>
          <w:u w:val="single"/>
        </w:rPr>
        <w:t>Mohamed</w:t>
      </w:r>
      <w:r>
        <w:rPr>
          <w:rFonts w:ascii="Arial" w:eastAsia="Arial" w:hAnsi="Arial" w:cs="Arial"/>
          <w:color w:val="000000"/>
          <w:sz w:val="20"/>
        </w:rPr>
        <w:t xml:space="preserve">, 244 F.3d 206, 209 (1st Cir. 2001) (per curiam) (rejecting an argument against issue preclusion on the grounds that the first court's finding of fraud was not essential because liability under Mass. Gen. Laws 93A need only be premised on unfair conduct). </w:t>
      </w:r>
      <w:bookmarkStart w:id="4804" w:name="Bookmark_I5S4V2HH2D6NGB0050000400_2"/>
      <w:bookmarkEnd w:id="4804"/>
      <w:r>
        <w:rPr>
          <w:rFonts w:ascii="Arial" w:eastAsia="Arial" w:hAnsi="Arial" w:cs="Arial"/>
          <w:color w:val="000000"/>
          <w:sz w:val="20"/>
          <w:u w:val="single"/>
        </w:rPr>
        <w:t xml:space="preserve">But cf. </w:t>
      </w:r>
      <w:bookmarkStart w:id="4805" w:name="Bookmark_I5S4V2HH2D6NGB0040000400"/>
      <w:bookmarkEnd w:id="4805"/>
      <w:r>
        <w:rPr>
          <w:rFonts w:ascii="Arial" w:eastAsia="Arial" w:hAnsi="Arial" w:cs="Arial"/>
          <w:color w:val="000000"/>
          <w:sz w:val="20"/>
          <w:u w:val="single"/>
        </w:rPr>
        <w:t>NLRB</w:t>
      </w:r>
      <w:r>
        <w:rPr>
          <w:rFonts w:ascii="Arial" w:eastAsia="Arial" w:hAnsi="Arial" w:cs="Arial"/>
          <w:color w:val="000000"/>
          <w:sz w:val="20"/>
        </w:rPr>
        <w:t xml:space="preserve"> v. </w:t>
      </w:r>
      <w:r>
        <w:rPr>
          <w:rFonts w:ascii="Arial" w:eastAsia="Arial" w:hAnsi="Arial" w:cs="Arial"/>
          <w:color w:val="000000"/>
          <w:sz w:val="20"/>
          <w:u w:val="single"/>
        </w:rPr>
        <w:t>Thalbo Corp.</w:t>
      </w:r>
      <w:r>
        <w:rPr>
          <w:rFonts w:ascii="Arial" w:eastAsia="Arial" w:hAnsi="Arial" w:cs="Arial"/>
          <w:color w:val="000000"/>
          <w:sz w:val="20"/>
        </w:rPr>
        <w:t>, 171 F.3d 102, 111 (2d Cir. 1999) (noting that, where the magistrate judge believed that a Title VII claimant was required to seek other work "aggressively," a finding that the claimant did not search for other jobs at all would have been "superfluous").</w:t>
      </w:r>
    </w:p>
    <w:p w:rsidR="00E456CD" w:rsidRDefault="00000000">
      <w:pPr>
        <w:pStyle w:val="Normal29"/>
        <w:widowControl w:val="0"/>
        <w:spacing w:before="200" w:line="260" w:lineRule="atLeast"/>
        <w:jc w:val="both"/>
      </w:pPr>
      <w:bookmarkStart w:id="4806" w:name="Bookmark_para_38_10"/>
      <w:bookmarkStart w:id="4807" w:name="Bookmark_I5S4V2HH2D6NGC0020000400"/>
      <w:bookmarkStart w:id="4808" w:name="Bookmark_I5S4V2HH28T4970050000400"/>
      <w:bookmarkEnd w:id="4806"/>
      <w:bookmarkEnd w:id="4807"/>
      <w:bookmarkEnd w:id="4808"/>
      <w:r>
        <w:rPr>
          <w:rFonts w:ascii="Arial" w:eastAsia="Arial" w:hAnsi="Arial" w:cs="Arial"/>
          <w:color w:val="000000"/>
          <w:sz w:val="20"/>
        </w:rPr>
        <w:t xml:space="preserve">In assessing the implications of the foregoing discussion of the necessity requirement in this case, we are guided by Maine's recognition that </w:t>
      </w:r>
      <w:bookmarkStart w:id="4809" w:name="Bookmark_LNHNREFclscc12_10"/>
      <w:bookmarkEnd w:id="4809"/>
      <w:r>
        <w:rPr>
          <w:rFonts w:ascii="Arial" w:eastAsia="Arial" w:hAnsi="Arial" w:cs="Arial"/>
          <w:color w:val="000000"/>
          <w:sz w:val="20"/>
        </w:rPr>
        <w:t xml:space="preserve">"collateral estoppel is, after all, a flexible doctrine," </w:t>
      </w:r>
      <w:bookmarkStart w:id="4810" w:name="Bookmark_I5S4V2HH2D6NGC0010000400"/>
      <w:bookmarkEnd w:id="4810"/>
      <w:r>
        <w:rPr>
          <w:rFonts w:ascii="Arial" w:eastAsia="Arial" w:hAnsi="Arial" w:cs="Arial"/>
          <w:color w:val="000000"/>
          <w:sz w:val="20"/>
          <w:u w:val="single"/>
        </w:rPr>
        <w:t>Pattershall</w:t>
      </w:r>
      <w:r>
        <w:rPr>
          <w:rFonts w:ascii="Arial" w:eastAsia="Arial" w:hAnsi="Arial" w:cs="Arial"/>
          <w:color w:val="000000"/>
          <w:sz w:val="20"/>
        </w:rPr>
        <w:t xml:space="preserve">, 485 A.2d at 983 (quoting </w:t>
      </w:r>
      <w:bookmarkStart w:id="4811" w:name="Bookmark_I5S4V2HH2D6NGC0030000400"/>
      <w:bookmarkEnd w:id="4811"/>
      <w:r>
        <w:rPr>
          <w:rFonts w:ascii="Arial" w:eastAsia="Arial" w:hAnsi="Arial" w:cs="Arial"/>
          <w:color w:val="000000"/>
          <w:sz w:val="20"/>
          <w:u w:val="single"/>
        </w:rPr>
        <w:t>Hossler</w:t>
      </w:r>
      <w:r>
        <w:rPr>
          <w:rFonts w:ascii="Arial" w:eastAsia="Arial" w:hAnsi="Arial" w:cs="Arial"/>
          <w:color w:val="000000"/>
          <w:sz w:val="20"/>
        </w:rPr>
        <w:t xml:space="preserve"> v. </w:t>
      </w:r>
      <w:r>
        <w:rPr>
          <w:rFonts w:ascii="Arial" w:eastAsia="Arial" w:hAnsi="Arial" w:cs="Arial"/>
          <w:color w:val="000000"/>
          <w:sz w:val="20"/>
          <w:u w:val="single"/>
        </w:rPr>
        <w:t>Barry</w:t>
      </w:r>
      <w:r>
        <w:rPr>
          <w:rFonts w:ascii="Arial" w:eastAsia="Arial" w:hAnsi="Arial" w:cs="Arial"/>
          <w:color w:val="000000"/>
          <w:sz w:val="20"/>
        </w:rPr>
        <w:t xml:space="preserve">, 403 A.2d 762, 769 (Me. 1979)), and its understanding that the doctrine "is 'meant to serve the ends of justice not to subvert them,'" </w:t>
      </w:r>
      <w:bookmarkStart w:id="4812" w:name="Bookmark_I5S4V2HH2D6NGC0050000400"/>
      <w:bookmarkEnd w:id="4812"/>
      <w:r>
        <w:rPr>
          <w:rFonts w:ascii="Arial" w:eastAsia="Arial" w:hAnsi="Arial" w:cs="Arial"/>
          <w:color w:val="000000"/>
          <w:sz w:val="20"/>
          <w:u w:val="single"/>
        </w:rPr>
        <w:t>Mutual Fire</w:t>
      </w:r>
      <w:r>
        <w:rPr>
          <w:rFonts w:ascii="Arial" w:eastAsia="Arial" w:hAnsi="Arial" w:cs="Arial"/>
          <w:color w:val="000000"/>
          <w:sz w:val="20"/>
        </w:rPr>
        <w:t xml:space="preserve">, 640 A.2d at 208 (quoting </w:t>
      </w:r>
      <w:bookmarkStart w:id="4813" w:name="Bookmark_I5S4V2HH28T4970020000400"/>
      <w:bookmarkEnd w:id="4813"/>
      <w:r>
        <w:rPr>
          <w:rFonts w:ascii="Arial" w:eastAsia="Arial" w:hAnsi="Arial" w:cs="Arial"/>
          <w:color w:val="000000"/>
          <w:sz w:val="20"/>
          <w:u w:val="single"/>
        </w:rPr>
        <w:t>Pattershall</w:t>
      </w:r>
      <w:r>
        <w:rPr>
          <w:rFonts w:ascii="Arial" w:eastAsia="Arial" w:hAnsi="Arial" w:cs="Arial"/>
          <w:color w:val="000000"/>
          <w:sz w:val="20"/>
        </w:rPr>
        <w:t xml:space="preserve">, 485 A.2d at 983). We have previously taken a pragmatic approach in applying issue preclusion principles. [**29]  </w:t>
      </w:r>
      <w:r>
        <w:rPr>
          <w:rFonts w:ascii="Arial" w:eastAsia="Arial" w:hAnsi="Arial" w:cs="Arial"/>
          <w:color w:val="000000"/>
          <w:sz w:val="20"/>
          <w:u w:val="single"/>
        </w:rPr>
        <w:t xml:space="preserve">See </w:t>
      </w:r>
      <w:bookmarkStart w:id="4814" w:name="Bookmark_I5S4V2HH28T4970040000400"/>
      <w:bookmarkEnd w:id="4814"/>
      <w:r>
        <w:rPr>
          <w:rFonts w:ascii="Arial" w:eastAsia="Arial" w:hAnsi="Arial" w:cs="Arial"/>
          <w:color w:val="000000"/>
          <w:sz w:val="20"/>
          <w:u w:val="single"/>
        </w:rPr>
        <w:t>Miller</w:t>
      </w:r>
      <w:r>
        <w:rPr>
          <w:rFonts w:ascii="Arial" w:eastAsia="Arial" w:hAnsi="Arial" w:cs="Arial"/>
          <w:color w:val="000000"/>
          <w:sz w:val="20"/>
        </w:rPr>
        <w:t xml:space="preserve"> v. </w:t>
      </w:r>
      <w:r>
        <w:rPr>
          <w:rFonts w:ascii="Arial" w:eastAsia="Arial" w:hAnsi="Arial" w:cs="Arial"/>
          <w:color w:val="000000"/>
          <w:sz w:val="20"/>
          <w:u w:val="single"/>
        </w:rPr>
        <w:t>Nichols</w:t>
      </w:r>
      <w:r>
        <w:rPr>
          <w:rFonts w:ascii="Arial" w:eastAsia="Arial" w:hAnsi="Arial" w:cs="Arial"/>
          <w:color w:val="000000"/>
          <w:sz w:val="20"/>
        </w:rPr>
        <w:t xml:space="preserve">, 586 F.3d 53, 62 (1st Cir. 2009) (applying Maine law and rejecting an argument against issue preclusion in part because it "ignores . . . what actually happened in the state court proceedings"); </w:t>
      </w:r>
      <w:bookmarkStart w:id="4815" w:name="Bookmark_I5S4V2HJ2HM6650010000400"/>
      <w:bookmarkEnd w:id="4815"/>
      <w:r>
        <w:rPr>
          <w:rFonts w:ascii="Arial" w:eastAsia="Arial" w:hAnsi="Arial" w:cs="Arial"/>
          <w:color w:val="000000"/>
          <w:sz w:val="20"/>
          <w:u w:val="single"/>
        </w:rPr>
        <w:t>Commercial Assocs.</w:t>
      </w:r>
      <w:r>
        <w:rPr>
          <w:rFonts w:ascii="Arial" w:eastAsia="Arial" w:hAnsi="Arial" w:cs="Arial"/>
          <w:color w:val="000000"/>
          <w:sz w:val="20"/>
        </w:rPr>
        <w:t xml:space="preserve">, 998  [*90]  F.2d at 1096 (noting that Rhode Island courts "allow themselves a good deal of latitude in applying the rule [of collateral estoppel], observing the spirit of it rather than the letter" (alteration in original) (quoting </w:t>
      </w:r>
      <w:bookmarkStart w:id="4816" w:name="Bookmark_I5S4V2HJ2HM6650030000400"/>
      <w:bookmarkEnd w:id="4816"/>
      <w:r>
        <w:rPr>
          <w:rFonts w:ascii="Arial" w:eastAsia="Arial" w:hAnsi="Arial" w:cs="Arial"/>
          <w:color w:val="000000"/>
          <w:sz w:val="20"/>
          <w:u w:val="single"/>
        </w:rPr>
        <w:t>Hill</w:t>
      </w:r>
      <w:r>
        <w:rPr>
          <w:rFonts w:ascii="Arial" w:eastAsia="Arial" w:hAnsi="Arial" w:cs="Arial"/>
          <w:color w:val="000000"/>
          <w:sz w:val="20"/>
        </w:rPr>
        <w:t xml:space="preserve"> v. </w:t>
      </w:r>
      <w:r>
        <w:rPr>
          <w:rFonts w:ascii="Arial" w:eastAsia="Arial" w:hAnsi="Arial" w:cs="Arial"/>
          <w:color w:val="000000"/>
          <w:sz w:val="20"/>
          <w:u w:val="single"/>
        </w:rPr>
        <w:t>Bain</w:t>
      </w:r>
      <w:r>
        <w:rPr>
          <w:rFonts w:ascii="Arial" w:eastAsia="Arial" w:hAnsi="Arial" w:cs="Arial"/>
          <w:color w:val="000000"/>
          <w:sz w:val="20"/>
        </w:rPr>
        <w:t>, 15 R.I. 75, 23 A. 44, 44 (R.I. 1885))). We do the same here, and decline to adopt the unbending application of the necessity requirement urged by plaintiffs. The parties to the prior proceeding litigated a factual issue as if it were the essential issue in the case, the applicable law provided no clear sign that resolution of the issue was a frolic, and there is nothing about the substance of the resulting finding to cause one to think that it was not the product of a seriously undertaken decision by the adjudicator. In this context, we conclude that the purposes underlying the necessity requirement are adequately satisfied.</w:t>
      </w:r>
    </w:p>
    <w:p w:rsidR="00E456CD" w:rsidRDefault="00000000">
      <w:pPr>
        <w:pStyle w:val="Normal29"/>
        <w:widowControl w:val="0"/>
        <w:spacing w:before="240" w:line="260" w:lineRule="atLeast"/>
      </w:pPr>
      <w:r>
        <w:br/>
      </w:r>
      <w:r>
        <w:rPr>
          <w:rFonts w:ascii="Arial" w:eastAsia="Arial" w:hAnsi="Arial" w:cs="Arial"/>
          <w:b/>
          <w:color w:val="000000"/>
          <w:sz w:val="20"/>
        </w:rPr>
        <w:t>C. Burden of Proof</w:t>
      </w:r>
    </w:p>
    <w:p w:rsidR="00E456CD" w:rsidRDefault="00000000">
      <w:pPr>
        <w:pStyle w:val="Normal29"/>
        <w:widowControl w:val="0"/>
        <w:spacing w:before="200" w:line="260" w:lineRule="atLeast"/>
        <w:jc w:val="both"/>
      </w:pPr>
      <w:bookmarkStart w:id="4817" w:name="Bookmark_para_39_10"/>
      <w:bookmarkStart w:id="4818" w:name="Bookmark_I5S4V2HJ2SF8KR0010000400"/>
      <w:bookmarkEnd w:id="4817"/>
      <w:bookmarkEnd w:id="4818"/>
      <w:r>
        <w:rPr>
          <w:rFonts w:ascii="Arial" w:eastAsia="Arial" w:hAnsi="Arial" w:cs="Arial"/>
          <w:color w:val="000000"/>
          <w:sz w:val="20"/>
        </w:rPr>
        <w:t xml:space="preserve">We turn now to plaintiffs' third argument: that, under Maine law, when the party against whom preclusion is sought bears the burden of proof in the first proceeding but not in the second, findings of fact in the first [**30]  proceeding are often not given preclusive effect in the second proceeding. </w:t>
      </w:r>
      <w:bookmarkStart w:id="4819" w:name="Bookmark_I5S4V2HJ2SF8KR0030000400"/>
      <w:bookmarkEnd w:id="4819"/>
      <w:r>
        <w:rPr>
          <w:rFonts w:ascii="Arial" w:eastAsia="Arial" w:hAnsi="Arial" w:cs="Arial"/>
          <w:color w:val="000000"/>
          <w:sz w:val="20"/>
          <w:u w:val="single"/>
        </w:rPr>
        <w:t xml:space="preserve">See </w:t>
      </w:r>
      <w:bookmarkStart w:id="4820" w:name="Bookmark_I5S4V2HJ2HM6650050000400"/>
      <w:bookmarkEnd w:id="4820"/>
      <w:r>
        <w:rPr>
          <w:rFonts w:ascii="Arial" w:eastAsia="Arial" w:hAnsi="Arial" w:cs="Arial"/>
          <w:color w:val="000000"/>
          <w:sz w:val="20"/>
          <w:u w:val="single"/>
        </w:rPr>
        <w:t>Crawford</w:t>
      </w:r>
      <w:r>
        <w:rPr>
          <w:rFonts w:ascii="Arial" w:eastAsia="Arial" w:hAnsi="Arial" w:cs="Arial"/>
          <w:color w:val="000000"/>
          <w:sz w:val="20"/>
        </w:rPr>
        <w:t xml:space="preserve"> v. </w:t>
      </w:r>
      <w:r>
        <w:rPr>
          <w:rFonts w:ascii="Arial" w:eastAsia="Arial" w:hAnsi="Arial" w:cs="Arial"/>
          <w:color w:val="000000"/>
          <w:sz w:val="20"/>
          <w:u w:val="single"/>
        </w:rPr>
        <w:t>Allied Container Corp.</w:t>
      </w:r>
      <w:r>
        <w:rPr>
          <w:rFonts w:ascii="Arial" w:eastAsia="Arial" w:hAnsi="Arial" w:cs="Arial"/>
          <w:color w:val="000000"/>
          <w:sz w:val="20"/>
        </w:rPr>
        <w:t xml:space="preserve">, 561 A.2d 1027, 1028 (Me. 1989); </w:t>
      </w:r>
      <w:r>
        <w:rPr>
          <w:rFonts w:ascii="Arial" w:eastAsia="Arial" w:hAnsi="Arial" w:cs="Arial"/>
          <w:color w:val="000000"/>
          <w:sz w:val="20"/>
          <w:u w:val="single"/>
        </w:rPr>
        <w:t>see also</w:t>
      </w:r>
      <w:r>
        <w:rPr>
          <w:rFonts w:ascii="Arial" w:eastAsia="Arial" w:hAnsi="Arial" w:cs="Arial"/>
          <w:color w:val="000000"/>
          <w:sz w:val="20"/>
        </w:rPr>
        <w:t xml:space="preserve"> Restatement, </w:t>
      </w:r>
      <w:r>
        <w:rPr>
          <w:rFonts w:ascii="Arial" w:eastAsia="Arial" w:hAnsi="Arial" w:cs="Arial"/>
          <w:color w:val="000000"/>
          <w:sz w:val="20"/>
          <w:u w:val="single"/>
        </w:rPr>
        <w:t>supra</w:t>
      </w:r>
      <w:r>
        <w:rPr>
          <w:rFonts w:ascii="Arial" w:eastAsia="Arial" w:hAnsi="Arial" w:cs="Arial"/>
          <w:color w:val="000000"/>
          <w:sz w:val="20"/>
        </w:rPr>
        <w:t xml:space="preserve">, § 28(4). But that is not the case here. Rather, as ADA claimants, plaintiffs must carry in this second proceeding the burden of proving that the proposed accommodation -- the recording device -- will be beneficial, i.e., will provide some increased access to a public service. </w:t>
      </w:r>
      <w:bookmarkStart w:id="4821" w:name="Bookmark_I5S4V2HJ2SF8KR0030000400_2"/>
      <w:bookmarkEnd w:id="4821"/>
      <w:r>
        <w:rPr>
          <w:rFonts w:ascii="Arial" w:eastAsia="Arial" w:hAnsi="Arial" w:cs="Arial"/>
          <w:color w:val="000000"/>
          <w:sz w:val="20"/>
          <w:u w:val="single"/>
        </w:rPr>
        <w:t xml:space="preserve">See </w:t>
      </w:r>
      <w:bookmarkStart w:id="4822" w:name="Bookmark_I5S4V2HJ2SF8KR0020000400"/>
      <w:bookmarkEnd w:id="4822"/>
      <w:r>
        <w:rPr>
          <w:rFonts w:ascii="Arial" w:eastAsia="Arial" w:hAnsi="Arial" w:cs="Arial"/>
          <w:color w:val="000000"/>
          <w:sz w:val="20"/>
          <w:u w:val="single"/>
        </w:rPr>
        <w:t>Reed</w:t>
      </w:r>
      <w:r>
        <w:rPr>
          <w:rFonts w:ascii="Arial" w:eastAsia="Arial" w:hAnsi="Arial" w:cs="Arial"/>
          <w:color w:val="000000"/>
          <w:sz w:val="20"/>
        </w:rPr>
        <w:t>, 244 F.3d at 258-59. Similarly, they bore the burden in the IDEA proceeding of showing that the device was necessary for B.P. to receive a FAPE. In short, on de novo review we find that there was no relevant shifting of the burden.</w:t>
      </w:r>
    </w:p>
    <w:p w:rsidR="00E456CD" w:rsidRDefault="00000000">
      <w:pPr>
        <w:pStyle w:val="Normal29"/>
        <w:widowControl w:val="0"/>
        <w:spacing w:before="240" w:line="260" w:lineRule="atLeast"/>
      </w:pPr>
      <w:r>
        <w:br/>
      </w:r>
      <w:r>
        <w:rPr>
          <w:rFonts w:ascii="Arial" w:eastAsia="Arial" w:hAnsi="Arial" w:cs="Arial"/>
          <w:b/>
          <w:color w:val="000000"/>
          <w:sz w:val="20"/>
        </w:rPr>
        <w:t>D. New Evidence of Pretext</w:t>
      </w:r>
    </w:p>
    <w:p w:rsidR="00E456CD" w:rsidRDefault="00000000">
      <w:pPr>
        <w:pStyle w:val="Normal29"/>
        <w:widowControl w:val="0"/>
        <w:spacing w:before="200" w:line="260" w:lineRule="atLeast"/>
        <w:jc w:val="both"/>
      </w:pPr>
      <w:bookmarkStart w:id="4823" w:name="Bookmark_para_40_9"/>
      <w:bookmarkEnd w:id="4823"/>
      <w:r>
        <w:rPr>
          <w:rFonts w:ascii="Arial" w:eastAsia="Arial" w:hAnsi="Arial" w:cs="Arial"/>
          <w:color w:val="000000"/>
          <w:sz w:val="20"/>
        </w:rPr>
        <w:t>Plaintiffs argue, finally, that evidence that has come to light since the IDEA hearing suggests that the district's refusal to allow the recording device was pretextual. This evidence, plaintiffs contend, creates an issue of material fact "concerning the validity of the very finding the district court deemed preclusive." Plaintiffs point specifically to evidence that the district's special education director agreed to allow them to view video recordings of B.P.'s speech-language therapy only if they promised not to use the recordings as a basis for a complaint against the therapist. They also [**31]  rely on evidence that the director prohibited them from visiting B.P.'s school unannounced because they were solely focused on seeking out wrongs by school staff.</w:t>
      </w:r>
    </w:p>
    <w:p w:rsidR="00E456CD" w:rsidRDefault="00000000">
      <w:pPr>
        <w:pStyle w:val="Normal29"/>
        <w:widowControl w:val="0"/>
        <w:spacing w:before="200" w:line="260" w:lineRule="atLeast"/>
        <w:jc w:val="both"/>
      </w:pPr>
      <w:bookmarkStart w:id="4824" w:name="Bookmark_para_41_8"/>
      <w:bookmarkStart w:id="4825" w:name="Bookmark_I5S4V2HJ2SF8KR0050000400"/>
      <w:bookmarkEnd w:id="4824"/>
      <w:bookmarkEnd w:id="4825"/>
      <w:r>
        <w:rPr>
          <w:rFonts w:ascii="Arial" w:eastAsia="Arial" w:hAnsi="Arial" w:cs="Arial"/>
          <w:color w:val="000000"/>
          <w:sz w:val="20"/>
        </w:rPr>
        <w:t xml:space="preserve">Even if, as plaintiffs suggest, the new evidence establishes an issue of material fact as to whether the district's refusal to allow the device was pretextual, it has no impact on this case. </w:t>
      </w:r>
      <w:bookmarkStart w:id="4826" w:name="Bookmark_LNHNREFclscc13_7"/>
      <w:bookmarkEnd w:id="4826"/>
      <w:r>
        <w:rPr>
          <w:rFonts w:ascii="Arial" w:eastAsia="Arial" w:hAnsi="Arial" w:cs="Arial"/>
          <w:color w:val="000000"/>
          <w:sz w:val="20"/>
        </w:rPr>
        <w:t xml:space="preserve">Pretext is only relevant to the final stage of the ADA analysis. Once the plaintiff has shown that the accommodation sought is reasonable and effective and the defendant has claimed undue hardship, then the plaintiff has the opportunity to prove that the defendant's claimed hardship is pretextual. </w:t>
      </w:r>
      <w:r>
        <w:rPr>
          <w:rFonts w:ascii="Arial" w:eastAsia="Arial" w:hAnsi="Arial" w:cs="Arial"/>
          <w:color w:val="000000"/>
          <w:sz w:val="20"/>
          <w:u w:val="single"/>
        </w:rPr>
        <w:t xml:space="preserve">See </w:t>
      </w:r>
      <w:bookmarkStart w:id="4827" w:name="Bookmark_I5S4V2HJ2SF8KR0040000400"/>
      <w:bookmarkEnd w:id="4827"/>
      <w:r>
        <w:rPr>
          <w:rFonts w:ascii="Arial" w:eastAsia="Arial" w:hAnsi="Arial" w:cs="Arial"/>
          <w:color w:val="000000"/>
          <w:sz w:val="20"/>
          <w:u w:val="single"/>
        </w:rPr>
        <w:t>Wynne</w:t>
      </w:r>
      <w:r>
        <w:rPr>
          <w:rFonts w:ascii="Arial" w:eastAsia="Arial" w:hAnsi="Arial" w:cs="Arial"/>
          <w:color w:val="000000"/>
          <w:sz w:val="20"/>
        </w:rPr>
        <w:t xml:space="preserve"> v. </w:t>
      </w:r>
      <w:r>
        <w:rPr>
          <w:rFonts w:ascii="Arial" w:eastAsia="Arial" w:hAnsi="Arial" w:cs="Arial"/>
          <w:color w:val="000000"/>
          <w:sz w:val="20"/>
          <w:u w:val="single"/>
        </w:rPr>
        <w:t>Tufts Univ. Sch. of Med.</w:t>
      </w:r>
      <w:r>
        <w:rPr>
          <w:rFonts w:ascii="Arial" w:eastAsia="Arial" w:hAnsi="Arial" w:cs="Arial"/>
          <w:color w:val="000000"/>
          <w:sz w:val="20"/>
        </w:rPr>
        <w:t>, 976 F.2d 791, 796 (1st Cir. 1992) (explaining that, when pretext is at issue, plaintiff must produce specific facts that undercut the defendant's position). Here, the analysis does not even get past the very first step. Because of the hearing officer's factual findings, plaintiffs cannot make the preliminary showing that the device would benefit B.P. in some manner. And because plaintiffs do not dispute that proving that the device would benefit B.P. is essential to sustaining their reasonable accommodation  [*91]  claim, they cannot prevail.</w:t>
      </w:r>
      <w:r>
        <w:rPr>
          <w:rFonts w:ascii="Arial" w:eastAsia="Arial" w:hAnsi="Arial" w:cs="Arial"/>
          <w:vertAlign w:val="superscript"/>
        </w:rPr>
        <w:footnoteReference w:customMarkFollows="1" w:id="209"/>
        <w:t>9</w:t>
      </w:r>
      <w:r>
        <w:rPr>
          <w:rFonts w:ascii="Arial" w:eastAsia="Arial" w:hAnsi="Arial" w:cs="Arial"/>
          <w:color w:val="000000"/>
          <w:sz w:val="20"/>
        </w:rPr>
        <w:t xml:space="preserve"> No amount of pretext evidence can change [**32]  that result.</w:t>
      </w:r>
    </w:p>
    <w:p w:rsidR="00E456CD" w:rsidRDefault="00000000">
      <w:pPr>
        <w:pStyle w:val="Normal29"/>
        <w:widowControl w:val="0"/>
        <w:spacing w:before="240" w:line="260" w:lineRule="atLeast"/>
      </w:pPr>
      <w:r>
        <w:br/>
      </w:r>
      <w:r>
        <w:rPr>
          <w:rFonts w:ascii="Arial" w:eastAsia="Arial" w:hAnsi="Arial" w:cs="Arial"/>
          <w:b/>
          <w:color w:val="000000"/>
          <w:sz w:val="20"/>
        </w:rPr>
        <w:t>IV</w:t>
      </w:r>
      <w:r>
        <w:rPr>
          <w:rFonts w:ascii="Arial" w:eastAsia="Arial" w:hAnsi="Arial" w:cs="Arial"/>
          <w:color w:val="000000"/>
          <w:sz w:val="20"/>
        </w:rPr>
        <w:t>.</w:t>
      </w:r>
    </w:p>
    <w:p w:rsidR="00E456CD" w:rsidRDefault="00000000">
      <w:pPr>
        <w:pStyle w:val="Normal29"/>
        <w:widowControl w:val="0"/>
        <w:spacing w:before="200" w:line="260" w:lineRule="atLeast"/>
        <w:jc w:val="both"/>
      </w:pPr>
      <w:bookmarkStart w:id="4829" w:name="Bookmark_para_42_7"/>
      <w:bookmarkEnd w:id="4829"/>
      <w:r>
        <w:rPr>
          <w:rFonts w:ascii="Arial" w:eastAsia="Arial" w:hAnsi="Arial" w:cs="Arial"/>
          <w:color w:val="000000"/>
          <w:sz w:val="20"/>
        </w:rPr>
        <w:t xml:space="preserve">For the foregoing reasons, we </w:t>
      </w:r>
      <w:r>
        <w:rPr>
          <w:rFonts w:ascii="Arial" w:eastAsia="Arial" w:hAnsi="Arial" w:cs="Arial"/>
          <w:color w:val="000000"/>
          <w:sz w:val="20"/>
          <w:u w:val="single"/>
        </w:rPr>
        <w:t>affirm</w:t>
      </w:r>
      <w:r>
        <w:rPr>
          <w:rFonts w:ascii="Arial" w:eastAsia="Arial" w:hAnsi="Arial" w:cs="Arial"/>
          <w:color w:val="000000"/>
          <w:sz w:val="20"/>
        </w:rPr>
        <w:t>.</w:t>
      </w:r>
    </w:p>
    <w:p w:rsidR="00E456CD" w:rsidRDefault="00E456CD">
      <w:pPr>
        <w:pStyle w:val="Normal29"/>
      </w:pPr>
    </w:p>
    <w:p w:rsidR="00E456CD" w:rsidRDefault="00000000">
      <w:pPr>
        <w:pStyle w:val="Normal29"/>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2275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883708000"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298D8D" id="Line 66"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0"/>
        <w:sectPr w:rsidR="00E456CD">
          <w:headerReference w:type="even" r:id="rId187"/>
          <w:headerReference w:type="default" r:id="rId188"/>
          <w:footerReference w:type="even" r:id="rId189"/>
          <w:footerReference w:type="default" r:id="rId190"/>
          <w:headerReference w:type="first" r:id="rId191"/>
          <w:footerReference w:type="first" r:id="rId192"/>
          <w:pgSz w:w="12240" w:h="15840"/>
          <w:pgMar w:top="840" w:right="1000" w:bottom="840" w:left="1000" w:header="400" w:footer="400" w:gutter="0"/>
          <w:cols w:space="720"/>
          <w:titlePg/>
        </w:sectPr>
      </w:pPr>
    </w:p>
    <w:p w:rsidR="00E456CD" w:rsidRDefault="00E456CD">
      <w:pPr>
        <w:pStyle w:val="Normal30"/>
      </w:pPr>
    </w:p>
    <w:p w:rsidR="00E456CD" w:rsidRDefault="00000000">
      <w:pPr>
        <w:pStyle w:val="Heading129"/>
        <w:keepNext w:val="0"/>
        <w:widowControl w:val="0"/>
        <w:spacing w:after="200" w:line="340" w:lineRule="atLeast"/>
        <w:jc w:val="center"/>
      </w:pPr>
      <w:r>
        <w:rPr>
          <w:rFonts w:eastAsia="Arial"/>
          <w:color w:val="000000"/>
          <w:sz w:val="28"/>
        </w:rPr>
        <w:t>Disability Support Alliance v. Heartwood Enters., LLC</w:t>
      </w:r>
    </w:p>
    <w:p w:rsidR="00E456CD" w:rsidRDefault="00000000">
      <w:pPr>
        <w:pStyle w:val="Normal30"/>
        <w:widowControl w:val="0"/>
        <w:spacing w:before="120" w:line="260" w:lineRule="atLeast"/>
        <w:jc w:val="center"/>
      </w:pPr>
      <w:r>
        <w:rPr>
          <w:rFonts w:ascii="Arial" w:eastAsia="Arial" w:hAnsi="Arial" w:cs="Arial"/>
          <w:color w:val="000000"/>
          <w:sz w:val="20"/>
        </w:rPr>
        <w:t>United States Court of Appeals for the Eighth Circuit</w:t>
      </w:r>
    </w:p>
    <w:p w:rsidR="00E456CD" w:rsidRDefault="00000000">
      <w:pPr>
        <w:pStyle w:val="Normal30"/>
        <w:widowControl w:val="0"/>
        <w:spacing w:before="120" w:line="260" w:lineRule="atLeast"/>
        <w:jc w:val="center"/>
      </w:pPr>
      <w:r>
        <w:rPr>
          <w:rFonts w:ascii="Arial" w:eastAsia="Arial" w:hAnsi="Arial" w:cs="Arial"/>
          <w:color w:val="000000"/>
          <w:sz w:val="20"/>
        </w:rPr>
        <w:t>September 29, 2017, Submitted; March 21, 2018, Filed</w:t>
      </w:r>
    </w:p>
    <w:p w:rsidR="00E456CD" w:rsidRDefault="00000000">
      <w:pPr>
        <w:pStyle w:val="Normal30"/>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16-1759</w:t>
      </w:r>
    </w:p>
    <w:p w:rsidR="00E456CD" w:rsidRDefault="00E456CD">
      <w:pPr>
        <w:pStyle w:val="Normal30"/>
        <w:widowControl w:val="0"/>
        <w:spacing w:line="240" w:lineRule="atLeast"/>
        <w:jc w:val="both"/>
      </w:pPr>
      <w:bookmarkStart w:id="4830" w:name="Bookmark_31"/>
      <w:bookmarkEnd w:id="4830"/>
    </w:p>
    <w:p w:rsidR="00E456CD" w:rsidRDefault="00000000">
      <w:pPr>
        <w:pStyle w:val="Normal30"/>
        <w:widowControl w:val="0"/>
        <w:spacing w:before="200" w:line="240" w:lineRule="atLeast"/>
      </w:pPr>
      <w:bookmarkStart w:id="4831" w:name="Reporter_29"/>
      <w:bookmarkEnd w:id="4831"/>
      <w:r>
        <w:rPr>
          <w:rFonts w:ascii="Arial" w:eastAsia="Arial" w:hAnsi="Arial" w:cs="Arial"/>
          <w:b/>
          <w:color w:val="000000"/>
          <w:sz w:val="18"/>
        </w:rPr>
        <w:t>Reporter</w:t>
      </w:r>
    </w:p>
    <w:p w:rsidR="00E456CD" w:rsidRDefault="00000000">
      <w:pPr>
        <w:pStyle w:val="Normal30"/>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885 F.3d 543 *; 2018 U.S. App. LEXIS 7045 **; 2018 WL 1403574</w:t>
      </w:r>
    </w:p>
    <w:p w:rsidR="00E456CD" w:rsidRDefault="00000000">
      <w:pPr>
        <w:pStyle w:val="Normal30"/>
        <w:widowControl w:val="0"/>
        <w:spacing w:before="120" w:line="260" w:lineRule="atLeast"/>
      </w:pPr>
      <w:r>
        <w:rPr>
          <w:rFonts w:ascii="Arial" w:eastAsia="Arial" w:hAnsi="Arial" w:cs="Arial"/>
          <w:color w:val="000000"/>
          <w:sz w:val="20"/>
        </w:rPr>
        <w:t>Disability Support Alliance; Eric Wong, Plaintiffs - Appellants v. Heartwood Enterprises, LLC, Defendant - Appellee</w:t>
      </w:r>
    </w:p>
    <w:p w:rsidR="00E456CD" w:rsidRDefault="00000000">
      <w:pPr>
        <w:pStyle w:val="Normal30"/>
        <w:widowControl w:val="0"/>
        <w:spacing w:before="240" w:line="260" w:lineRule="atLeast"/>
        <w:jc w:val="both"/>
      </w:pPr>
      <w:bookmarkStart w:id="4832" w:name="Prior_History_29"/>
      <w:bookmarkEnd w:id="4832"/>
      <w:r>
        <w:rPr>
          <w:rFonts w:ascii="Arial" w:eastAsia="Arial" w:hAnsi="Arial" w:cs="Arial"/>
          <w:b/>
          <w:color w:val="000000"/>
          <w:sz w:val="20"/>
        </w:rPr>
        <w:t>Prior History:</w:t>
      </w:r>
      <w:r>
        <w:rPr>
          <w:rFonts w:ascii="Arial" w:eastAsia="Arial" w:hAnsi="Arial" w:cs="Arial"/>
          <w:color w:val="000000"/>
          <w:sz w:val="20"/>
        </w:rPr>
        <w:t> </w:t>
      </w:r>
      <w:bookmarkStart w:id="4833" w:name="Bookmark_para_1_29"/>
      <w:bookmarkEnd w:id="4833"/>
      <w:r>
        <w:rPr>
          <w:rFonts w:ascii="Arial" w:eastAsia="Arial" w:hAnsi="Arial" w:cs="Arial"/>
          <w:color w:val="000000"/>
          <w:sz w:val="20"/>
        </w:rPr>
        <w:t> [**1] Appeal from United States District Court for the District of Minnesota - Minneapolis.</w:t>
      </w:r>
    </w:p>
    <w:p w:rsidR="00E456CD" w:rsidRDefault="00000000">
      <w:pPr>
        <w:pStyle w:val="Normal30"/>
        <w:widowControl w:val="0"/>
        <w:spacing w:before="120" w:line="260" w:lineRule="atLeast"/>
      </w:pPr>
      <w:r>
        <w:rPr>
          <w:rFonts w:ascii="Arial" w:eastAsia="Arial" w:hAnsi="Arial" w:cs="Arial"/>
          <w:color w:val="000000"/>
          <w:sz w:val="20"/>
        </w:rPr>
        <w:t>Disability Support Alliance v. Heartwood Enters., 2016 U.S. Dist. LEXIS 23072 (D. Minn., Feb. 24, 2016)</w:t>
      </w:r>
    </w:p>
    <w:p w:rsidR="00E456CD" w:rsidRDefault="00000000">
      <w:pPr>
        <w:pStyle w:val="Normal30"/>
        <w:widowControl w:val="0"/>
        <w:spacing w:before="240" w:line="260" w:lineRule="atLeast"/>
      </w:pPr>
      <w:bookmarkStart w:id="4834" w:name="Counsel_29"/>
      <w:bookmarkEnd w:id="4834"/>
      <w:r>
        <w:rPr>
          <w:rFonts w:ascii="Arial" w:eastAsia="Arial" w:hAnsi="Arial" w:cs="Arial"/>
          <w:b/>
          <w:color w:val="000000"/>
          <w:sz w:val="20"/>
        </w:rPr>
        <w:t>Counsel:</w:t>
      </w:r>
      <w:r>
        <w:rPr>
          <w:rFonts w:ascii="Arial" w:eastAsia="Arial" w:hAnsi="Arial" w:cs="Arial"/>
          <w:color w:val="000000"/>
          <w:sz w:val="20"/>
        </w:rPr>
        <w:t> Eric Wong, Plaintiff - Appellant, Pro se, Minneapolis, MN.</w:t>
      </w:r>
    </w:p>
    <w:p w:rsidR="00E456CD" w:rsidRDefault="00000000">
      <w:pPr>
        <w:pStyle w:val="Normal30"/>
        <w:widowControl w:val="0"/>
        <w:spacing w:before="120" w:line="260" w:lineRule="atLeast"/>
      </w:pPr>
      <w:r>
        <w:rPr>
          <w:rFonts w:ascii="Arial" w:eastAsia="Arial" w:hAnsi="Arial" w:cs="Arial"/>
          <w:color w:val="000000"/>
          <w:sz w:val="20"/>
        </w:rPr>
        <w:t>For Heartwood Enterprises, LLC, Defendant - Appellee: Thomas Henry Boyd, Joseph Michael Windler, WINTHROP &amp; WEINSTINE, Minneapolis, MN.</w:t>
      </w:r>
    </w:p>
    <w:p w:rsidR="00E456CD" w:rsidRDefault="00000000">
      <w:pPr>
        <w:pStyle w:val="Normal30"/>
        <w:widowControl w:val="0"/>
        <w:spacing w:before="240" w:line="260" w:lineRule="atLeast"/>
      </w:pPr>
      <w:bookmarkStart w:id="4835" w:name="Judges_29"/>
      <w:bookmarkEnd w:id="4835"/>
      <w:r>
        <w:rPr>
          <w:rFonts w:ascii="Arial" w:eastAsia="Arial" w:hAnsi="Arial" w:cs="Arial"/>
          <w:b/>
          <w:color w:val="000000"/>
          <w:sz w:val="20"/>
        </w:rPr>
        <w:t>Judges:</w:t>
      </w:r>
      <w:r>
        <w:rPr>
          <w:rFonts w:ascii="Arial" w:eastAsia="Arial" w:hAnsi="Arial" w:cs="Arial"/>
          <w:color w:val="000000"/>
          <w:sz w:val="20"/>
        </w:rPr>
        <w:t> Before LOKEN, MURPHY, and SHEPHERD, Circuit Judges.</w:t>
      </w:r>
    </w:p>
    <w:p w:rsidR="00E456CD" w:rsidRDefault="00000000">
      <w:pPr>
        <w:pStyle w:val="Normal30"/>
        <w:widowControl w:val="0"/>
        <w:spacing w:before="240" w:line="260" w:lineRule="atLeast"/>
      </w:pPr>
      <w:bookmarkStart w:id="4836" w:name="Opinion_by_18"/>
      <w:bookmarkEnd w:id="4836"/>
      <w:r>
        <w:rPr>
          <w:rFonts w:ascii="Arial" w:eastAsia="Arial" w:hAnsi="Arial" w:cs="Arial"/>
          <w:b/>
          <w:color w:val="000000"/>
          <w:sz w:val="20"/>
        </w:rPr>
        <w:t>Opinion by:</w:t>
      </w:r>
      <w:r>
        <w:rPr>
          <w:rFonts w:ascii="Arial" w:eastAsia="Arial" w:hAnsi="Arial" w:cs="Arial"/>
          <w:color w:val="000000"/>
          <w:sz w:val="20"/>
        </w:rPr>
        <w:t> LOKEN</w:t>
      </w:r>
    </w:p>
    <w:p w:rsidR="00E456CD" w:rsidRDefault="00000000">
      <w:pPr>
        <w:pStyle w:val="Normal30"/>
        <w:keepNext/>
        <w:widowControl w:val="0"/>
        <w:spacing w:before="240" w:line="340" w:lineRule="atLeast"/>
      </w:pPr>
      <w:bookmarkStart w:id="4837" w:name="Opinion_29"/>
      <w:bookmarkEnd w:id="4837"/>
      <w:r>
        <w:rPr>
          <w:rFonts w:ascii="Arial" w:eastAsia="Arial" w:hAnsi="Arial" w:cs="Arial"/>
          <w:b/>
          <w:color w:val="000000"/>
          <w:sz w:val="28"/>
        </w:rPr>
        <w:t>Opinion</w:t>
      </w:r>
    </w:p>
    <w:p w:rsidR="00E456CD" w:rsidRDefault="00E22289">
      <w:pPr>
        <w:pStyle w:val="Normal30"/>
        <w:spacing w:line="60" w:lineRule="exact"/>
      </w:pPr>
      <w:r>
        <w:rPr>
          <w:noProof/>
        </w:rPr>
        <mc:AlternateContent>
          <mc:Choice Requires="wps">
            <w:drawing>
              <wp:anchor distT="0" distB="0" distL="114300" distR="114300" simplePos="0" relativeHeight="25172377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14216029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A9A48" id="Line 67"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0"/>
      </w:pPr>
    </w:p>
    <w:p w:rsidR="00E456CD" w:rsidRDefault="00000000">
      <w:pPr>
        <w:pStyle w:val="Normal30"/>
        <w:widowControl w:val="0"/>
        <w:spacing w:before="200" w:line="260" w:lineRule="atLeast"/>
        <w:jc w:val="both"/>
      </w:pPr>
      <w:bookmarkStart w:id="4838" w:name="Bookmark_para_2_29"/>
      <w:bookmarkEnd w:id="4838"/>
      <w:r>
        <w:rPr>
          <w:rFonts w:ascii="Arial" w:eastAsia="Arial" w:hAnsi="Arial" w:cs="Arial"/>
          <w:color w:val="000000"/>
          <w:sz w:val="20"/>
        </w:rPr>
        <w:t> [*544]  LOKEN, Circuit Judge.</w:t>
      </w:r>
    </w:p>
    <w:p w:rsidR="00E456CD" w:rsidRDefault="00000000">
      <w:pPr>
        <w:pStyle w:val="Normal30"/>
        <w:widowControl w:val="0"/>
        <w:spacing w:before="200" w:line="260" w:lineRule="atLeast"/>
        <w:jc w:val="both"/>
      </w:pPr>
      <w:bookmarkStart w:id="4839" w:name="Bookmark_para_3_29"/>
      <w:bookmarkEnd w:id="4839"/>
      <w:r>
        <w:rPr>
          <w:rFonts w:ascii="Arial" w:eastAsia="Arial" w:hAnsi="Arial" w:cs="Arial"/>
          <w:color w:val="000000"/>
          <w:sz w:val="20"/>
        </w:rPr>
        <w:t xml:space="preserve">Eric Wong has Ehlers-Danlos syndrome, a genetic condition causing instability and chronic musculoskeletal pain that requires him to use a wheelchair. Wong is chairman of Disability Support Alliance (DSA), a nonprofit organization. Wong and DSA brought this action in Minnesota state court against Heartwood Enterprises, LLC, alleging public accommodation violations of Title III of the Americans with Disabilities Act (ADA), 42 U.S.C. §§ 12181, </w:t>
      </w:r>
      <w:r>
        <w:rPr>
          <w:rFonts w:ascii="Arial" w:eastAsia="Arial" w:hAnsi="Arial" w:cs="Arial"/>
          <w:color w:val="000000"/>
          <w:sz w:val="20"/>
          <w:u w:val="single"/>
        </w:rPr>
        <w:t>et seq.</w:t>
      </w:r>
      <w:r>
        <w:rPr>
          <w:rFonts w:ascii="Arial" w:eastAsia="Arial" w:hAnsi="Arial" w:cs="Arial"/>
          <w:color w:val="000000"/>
          <w:sz w:val="20"/>
        </w:rPr>
        <w:t xml:space="preserve">, and the Minnesota Human Rights Act (MHRA), Minn. Stat. §§ 363A.01, </w:t>
      </w:r>
      <w:r>
        <w:rPr>
          <w:rFonts w:ascii="Arial" w:eastAsia="Arial" w:hAnsi="Arial" w:cs="Arial"/>
          <w:color w:val="000000"/>
          <w:sz w:val="20"/>
          <w:u w:val="single"/>
        </w:rPr>
        <w:t>et seq.</w:t>
      </w:r>
      <w:r>
        <w:rPr>
          <w:rFonts w:ascii="Arial" w:eastAsia="Arial" w:hAnsi="Arial" w:cs="Arial"/>
          <w:color w:val="000000"/>
          <w:sz w:val="20"/>
        </w:rPr>
        <w:t>, and a "bias offense" that entitles them to recover damages and injunctive relief under Minnesota Statutes § 611A.79. After Heartwood removed the  [*545]  action, the district court</w:t>
      </w:r>
      <w:r>
        <w:rPr>
          <w:rFonts w:ascii="Arial" w:eastAsia="Arial" w:hAnsi="Arial" w:cs="Arial"/>
          <w:vertAlign w:val="superscript"/>
        </w:rPr>
        <w:footnoteReference w:customMarkFollows="1" w:id="210"/>
        <w:t>1</w:t>
      </w:r>
      <w:r>
        <w:rPr>
          <w:rFonts w:ascii="Arial" w:eastAsia="Arial" w:hAnsi="Arial" w:cs="Arial"/>
          <w:color w:val="000000"/>
          <w:sz w:val="20"/>
        </w:rPr>
        <w:t xml:space="preserve"> granted summary judgment, concluding that DSA lacks Article III standing and Wong's claims fail on the merits. Wong and DSA appeal. Reviewing the district court's grant of summary judgment </w:t>
      </w:r>
      <w:r>
        <w:rPr>
          <w:rFonts w:ascii="Arial" w:eastAsia="Arial" w:hAnsi="Arial" w:cs="Arial"/>
          <w:i/>
          <w:color w:val="000000"/>
          <w:sz w:val="20"/>
        </w:rPr>
        <w:t>de novo</w:t>
      </w:r>
      <w:r>
        <w:rPr>
          <w:rFonts w:ascii="Arial" w:eastAsia="Arial" w:hAnsi="Arial" w:cs="Arial"/>
          <w:color w:val="000000"/>
          <w:sz w:val="20"/>
        </w:rPr>
        <w:t>, we affirm.</w:t>
      </w:r>
    </w:p>
    <w:p w:rsidR="00E456CD" w:rsidRDefault="00000000">
      <w:pPr>
        <w:pStyle w:val="Normal30"/>
        <w:widowControl w:val="0"/>
        <w:spacing w:before="240" w:line="260" w:lineRule="atLeast"/>
      </w:pPr>
      <w:r>
        <w:br/>
      </w:r>
      <w:r>
        <w:rPr>
          <w:rFonts w:ascii="Arial" w:eastAsia="Arial" w:hAnsi="Arial" w:cs="Arial"/>
          <w:b/>
          <w:color w:val="000000"/>
          <w:sz w:val="20"/>
        </w:rPr>
        <w:t>I. Background</w:t>
      </w:r>
    </w:p>
    <w:p w:rsidR="00E456CD" w:rsidRDefault="00000000">
      <w:pPr>
        <w:pStyle w:val="Normal30"/>
        <w:widowControl w:val="0"/>
        <w:spacing w:before="200" w:line="260" w:lineRule="atLeast"/>
        <w:jc w:val="both"/>
      </w:pPr>
      <w:bookmarkStart w:id="4841" w:name="Bookmark_para_4_29"/>
      <w:bookmarkStart w:id="4842" w:name="Bookmark_LNHNREFclscc1_25"/>
      <w:bookmarkEnd w:id="4841"/>
      <w:bookmarkEnd w:id="4842"/>
      <w:r>
        <w:rPr>
          <w:rFonts w:ascii="Arial" w:eastAsia="Arial" w:hAnsi="Arial" w:cs="Arial"/>
          <w:color w:val="000000"/>
          <w:sz w:val="20"/>
        </w:rPr>
        <w:t>Title III [**2]  of the ADA prohibits discrimination on the basis of disability in a place of "public accommodation." 42 U.S.C. § 12182(a). "Discrimination" includes "failure to remove architectural barriers . . . in existing facilities . . . where such removal is readily achievable." § 12182(b)(2)(A)(iv). The statute defines "readily achievable" as "easily accomplishable and able to be carried out without much difficulty or expense." § 12181(9).</w:t>
      </w:r>
    </w:p>
    <w:p w:rsidR="00E456CD" w:rsidRDefault="00000000">
      <w:pPr>
        <w:pStyle w:val="Normal30"/>
        <w:widowControl w:val="0"/>
        <w:spacing w:before="200" w:line="260" w:lineRule="atLeast"/>
        <w:jc w:val="both"/>
      </w:pPr>
      <w:bookmarkStart w:id="4843" w:name="Bookmark_para_5_29"/>
      <w:bookmarkEnd w:id="4843"/>
      <w:r>
        <w:rPr>
          <w:rFonts w:ascii="Arial" w:eastAsia="Arial" w:hAnsi="Arial" w:cs="Arial"/>
          <w:color w:val="000000"/>
          <w:sz w:val="20"/>
        </w:rPr>
        <w:t>Heartwood is the owner and landlord of Heartwood Offices, a former residence converted to a small office building located at 889 Grand Avenue in St. Paul, Minnesota. Its business tenants are visited by appointment only. The front door to the building is locked; visitors with scheduled appointments gain access if a tenant admits them. On December 3, 2014, Wong was driven to Heartwood Offices, without an appointment, intending to see Dr. Jeffrey Raich, a mental health professional leasing an office on the first floor.</w:t>
      </w:r>
      <w:r>
        <w:rPr>
          <w:rFonts w:ascii="Arial" w:eastAsia="Arial" w:hAnsi="Arial" w:cs="Arial"/>
          <w:vertAlign w:val="superscript"/>
        </w:rPr>
        <w:footnoteReference w:customMarkFollows="1" w:id="211"/>
        <w:t>2</w:t>
      </w:r>
      <w:r>
        <w:rPr>
          <w:rFonts w:ascii="Arial" w:eastAsia="Arial" w:hAnsi="Arial" w:cs="Arial"/>
          <w:color w:val="000000"/>
          <w:sz w:val="20"/>
        </w:rPr>
        <w:t xml:space="preserve"> From the car, Wong could see that the building has a seven-inch step between its path and the sidewalk and four more steps from the private path to the front door. Concluding he would be unable to traverse these steps in his wheelchair, Wong left and commenced this lawsuit, alleging that exterior [**3]  barriers at Heartwood Offices violate the ADA and MHRA and constitute a bias offense under Minnesota Statutes § 611A.79. Wong and DSA sought injunctive relief under the ADA, injunctive relief and civil penalties under the MHRA, and damages under Minnesota Statutes § 611A.79.</w:t>
      </w:r>
    </w:p>
    <w:p w:rsidR="00E456CD" w:rsidRDefault="00000000">
      <w:pPr>
        <w:pStyle w:val="Normal30"/>
        <w:widowControl w:val="0"/>
        <w:spacing w:before="240" w:line="260" w:lineRule="atLeast"/>
      </w:pPr>
      <w:r>
        <w:br/>
      </w:r>
      <w:r>
        <w:rPr>
          <w:rFonts w:ascii="Arial" w:eastAsia="Arial" w:hAnsi="Arial" w:cs="Arial"/>
          <w:b/>
          <w:color w:val="000000"/>
          <w:sz w:val="20"/>
        </w:rPr>
        <w:t>II. Standing</w:t>
      </w:r>
    </w:p>
    <w:p w:rsidR="00E456CD" w:rsidRDefault="00000000">
      <w:pPr>
        <w:pStyle w:val="Normal30"/>
        <w:widowControl w:val="0"/>
        <w:spacing w:before="200" w:line="260" w:lineRule="atLeast"/>
        <w:jc w:val="both"/>
      </w:pPr>
      <w:bookmarkStart w:id="4845" w:name="Bookmark_para_6_29"/>
      <w:bookmarkStart w:id="4846" w:name="Bookmark_I5S4052K2N1PT40020000400"/>
      <w:bookmarkEnd w:id="4845"/>
      <w:bookmarkEnd w:id="4846"/>
      <w:r>
        <w:rPr>
          <w:rFonts w:ascii="Arial" w:eastAsia="Arial" w:hAnsi="Arial" w:cs="Arial"/>
          <w:color w:val="000000"/>
          <w:sz w:val="20"/>
        </w:rPr>
        <w:t xml:space="preserve">Heartwood argues on appeal, as it did in the district court, that Wong and DSA lack Article III standing to bring their discrimination claims. </w:t>
      </w:r>
      <w:bookmarkStart w:id="4847" w:name="Bookmark_I5S4052K2N1PT40040000400"/>
      <w:bookmarkEnd w:id="4847"/>
      <w:r>
        <w:rPr>
          <w:rFonts w:ascii="Arial" w:eastAsia="Arial" w:hAnsi="Arial" w:cs="Arial"/>
          <w:color w:val="000000"/>
          <w:sz w:val="20"/>
        </w:rPr>
        <w:t xml:space="preserve">As DSA does not challenge the district court's ruling that it lacked standing, we dismiss its appeal for lack of jurisdiction. </w:t>
      </w:r>
      <w:bookmarkStart w:id="4848" w:name="Bookmark_I0BH7HXC41H000VXMJ7003JS"/>
      <w:bookmarkStart w:id="4849" w:name="Bookmark_I5S4052K2D6NXX0010000400"/>
      <w:bookmarkEnd w:id="4848"/>
      <w:bookmarkEnd w:id="4849"/>
      <w:r>
        <w:rPr>
          <w:rFonts w:ascii="Arial" w:eastAsia="Arial" w:hAnsi="Arial" w:cs="Arial"/>
          <w:color w:val="000000"/>
          <w:sz w:val="20"/>
          <w:u w:val="single"/>
        </w:rPr>
        <w:t xml:space="preserve">See </w:t>
      </w:r>
      <w:bookmarkStart w:id="4850" w:name="Bookmark_I5S4052K2N1PT40010000400"/>
      <w:bookmarkEnd w:id="4850"/>
      <w:r>
        <w:rPr>
          <w:rFonts w:ascii="Arial" w:eastAsia="Arial" w:hAnsi="Arial" w:cs="Arial"/>
          <w:color w:val="000000"/>
          <w:sz w:val="20"/>
          <w:u w:val="single"/>
        </w:rPr>
        <w:t>Arizonans for Official English v. Arizona</w:t>
      </w:r>
      <w:r>
        <w:rPr>
          <w:rFonts w:ascii="Arial" w:eastAsia="Arial" w:hAnsi="Arial" w:cs="Arial"/>
          <w:color w:val="000000"/>
          <w:sz w:val="20"/>
        </w:rPr>
        <w:t xml:space="preserve">, 520 U.S. 43, 64, 117 S. Ct. 1055, 137 L. Ed. 2d 170 (1997). </w:t>
      </w:r>
      <w:bookmarkStart w:id="4851" w:name="Bookmark_I5S4052K2D6NXX0010000400_2"/>
      <w:bookmarkStart w:id="4852" w:name="Bookmark_I5S4052K2N1PT40040000400_2"/>
      <w:bookmarkStart w:id="4853" w:name="Bookmark_I0BH7HXCCNT000VXMJ7003JV"/>
      <w:bookmarkStart w:id="4854" w:name="Bookmark_I5S4052K2D6NXX0030000400"/>
      <w:bookmarkStart w:id="4855" w:name="Bookmark_LNHNREFclscc2_25"/>
      <w:bookmarkEnd w:id="4851"/>
      <w:bookmarkEnd w:id="4852"/>
      <w:bookmarkEnd w:id="4853"/>
      <w:bookmarkEnd w:id="4854"/>
      <w:bookmarkEnd w:id="4855"/>
      <w:r>
        <w:rPr>
          <w:rFonts w:ascii="Arial" w:eastAsia="Arial" w:hAnsi="Arial" w:cs="Arial"/>
          <w:color w:val="000000"/>
          <w:sz w:val="20"/>
        </w:rPr>
        <w:t xml:space="preserve">We review the district court's determination that Wong did have individual standing </w:t>
      </w:r>
      <w:r>
        <w:rPr>
          <w:rFonts w:ascii="Arial" w:eastAsia="Arial" w:hAnsi="Arial" w:cs="Arial"/>
          <w:i/>
          <w:color w:val="000000"/>
          <w:sz w:val="20"/>
        </w:rPr>
        <w:t>de novo</w:t>
      </w:r>
      <w:r>
        <w:rPr>
          <w:rFonts w:ascii="Arial" w:eastAsia="Arial" w:hAnsi="Arial" w:cs="Arial"/>
          <w:color w:val="000000"/>
          <w:sz w:val="20"/>
        </w:rPr>
        <w:t xml:space="preserve">. </w:t>
      </w:r>
      <w:bookmarkStart w:id="4856" w:name="Bookmark_I5S4052K2N1PT40030000400"/>
      <w:bookmarkEnd w:id="4856"/>
      <w:r>
        <w:rPr>
          <w:rFonts w:ascii="Arial" w:eastAsia="Arial" w:hAnsi="Arial" w:cs="Arial"/>
          <w:color w:val="000000"/>
          <w:sz w:val="20"/>
          <w:u w:val="single"/>
        </w:rPr>
        <w:t>Park v. Forest Serv. of U.S.</w:t>
      </w:r>
      <w:r>
        <w:rPr>
          <w:rFonts w:ascii="Arial" w:eastAsia="Arial" w:hAnsi="Arial" w:cs="Arial"/>
          <w:color w:val="000000"/>
          <w:sz w:val="20"/>
        </w:rPr>
        <w:t xml:space="preserve">, 205 F.3d 1034, 1036 (8th Cir. 2000). </w:t>
      </w:r>
      <w:bookmarkStart w:id="4857" w:name="Bookmark_I5S4052K2D6NXX0030000400_2"/>
      <w:bookmarkEnd w:id="4857"/>
      <w:r>
        <w:rPr>
          <w:rFonts w:ascii="Arial" w:eastAsia="Arial" w:hAnsi="Arial" w:cs="Arial"/>
          <w:color w:val="000000"/>
          <w:sz w:val="20"/>
        </w:rPr>
        <w:t xml:space="preserve">To demonstrate Article III standing, a plaintiff must prove (1) "injury in fact," (2) a "causal connection between the injury and the conduct complained of," and (3) that the injury will be "redressed by a favorable decision." </w:t>
      </w:r>
      <w:bookmarkStart w:id="4858" w:name="Bookmark_I5S4052K2N1PT40050000400"/>
      <w:bookmarkEnd w:id="4858"/>
      <w:r>
        <w:rPr>
          <w:rFonts w:ascii="Arial" w:eastAsia="Arial" w:hAnsi="Arial" w:cs="Arial"/>
          <w:color w:val="000000"/>
          <w:sz w:val="20"/>
          <w:u w:val="single"/>
        </w:rPr>
        <w:t>Lujan v. Defs. of Wildlife</w:t>
      </w:r>
      <w:r>
        <w:rPr>
          <w:rFonts w:ascii="Arial" w:eastAsia="Arial" w:hAnsi="Arial" w:cs="Arial"/>
          <w:color w:val="000000"/>
          <w:sz w:val="20"/>
        </w:rPr>
        <w:t xml:space="preserve">, 504 U.S. 555, 560-61, 112 S. Ct. 2130, 119 L. Ed. 2d 351 (1992) (quotations omitted). </w:t>
      </w:r>
      <w:bookmarkStart w:id="4859" w:name="Bookmark_I5S4052K2D6NXX0030000400_3"/>
      <w:bookmarkStart w:id="4860" w:name="Bookmark_I5S4052K2D6NXX0050000400"/>
      <w:bookmarkEnd w:id="4859"/>
      <w:bookmarkEnd w:id="4860"/>
      <w:r>
        <w:rPr>
          <w:rFonts w:ascii="Arial" w:eastAsia="Arial" w:hAnsi="Arial" w:cs="Arial"/>
          <w:color w:val="000000"/>
          <w:sz w:val="20"/>
        </w:rPr>
        <w:t xml:space="preserve">An injury in fact is the "invasion of a legally protected interest" that is "concrete and particularized" and "actual or imminent, not conjectural or hypothetical." </w:t>
      </w:r>
      <w:bookmarkStart w:id="4861" w:name="Bookmark_I5S4052K2D6NXX0020000400"/>
      <w:bookmarkEnd w:id="4861"/>
      <w:r>
        <w:rPr>
          <w:rFonts w:ascii="Arial" w:eastAsia="Arial" w:hAnsi="Arial" w:cs="Arial"/>
          <w:color w:val="000000"/>
          <w:sz w:val="20"/>
          <w:u w:val="single"/>
        </w:rPr>
        <w:t>Id.</w:t>
      </w:r>
      <w:r>
        <w:rPr>
          <w:rFonts w:ascii="Arial" w:eastAsia="Arial" w:hAnsi="Arial" w:cs="Arial"/>
          <w:color w:val="000000"/>
          <w:sz w:val="20"/>
        </w:rPr>
        <w:t xml:space="preserve"> at 560 (quotations omitted). </w:t>
      </w:r>
      <w:bookmarkStart w:id="4862" w:name="Bookmark_I5S4052K2D6NXX0050000400_2"/>
      <w:bookmarkEnd w:id="4862"/>
      <w:r>
        <w:rPr>
          <w:rFonts w:ascii="Arial" w:eastAsia="Arial" w:hAnsi="Arial" w:cs="Arial"/>
          <w:color w:val="000000"/>
          <w:sz w:val="20"/>
        </w:rPr>
        <w:t xml:space="preserve">Standing is determined as of the commencement of the lawsuit. </w:t>
      </w:r>
      <w:bookmarkStart w:id="4863" w:name="Bookmark_I5S4052K2SF7SN0020000400"/>
      <w:bookmarkStart w:id="4864" w:name="Bookmark_I5S4052K2D6NXX0040000400"/>
      <w:bookmarkEnd w:id="4863"/>
      <w:bookmarkEnd w:id="4864"/>
      <w:r>
        <w:rPr>
          <w:rFonts w:ascii="Arial" w:eastAsia="Arial" w:hAnsi="Arial" w:cs="Arial"/>
          <w:color w:val="000000"/>
          <w:sz w:val="20"/>
          <w:u w:val="single"/>
        </w:rPr>
        <w:t>Park</w:t>
      </w:r>
      <w:r>
        <w:rPr>
          <w:rFonts w:ascii="Arial" w:eastAsia="Arial" w:hAnsi="Arial" w:cs="Arial"/>
          <w:color w:val="000000"/>
          <w:sz w:val="20"/>
        </w:rPr>
        <w:t xml:space="preserve">, 205 F.3d at 1038. </w:t>
      </w:r>
      <w:bookmarkStart w:id="4865" w:name="Bookmark_I5S4052K2SF7SN0020000400_2"/>
      <w:bookmarkStart w:id="4866" w:name="Bookmark_LNHNREFclscc3_23"/>
      <w:bookmarkEnd w:id="4865"/>
      <w:bookmarkEnd w:id="4866"/>
      <w:r>
        <w:rPr>
          <w:rFonts w:ascii="Arial" w:eastAsia="Arial" w:hAnsi="Arial" w:cs="Arial"/>
          <w:color w:val="000000"/>
          <w:sz w:val="20"/>
        </w:rPr>
        <w:t xml:space="preserve">To survive a motion for summary judgment on this ground, a plaintiff must support his claim by " [**4] set[ting] forth by affidavit or other evidence specific facts," which are taken as true by the reviewing court. </w:t>
      </w:r>
      <w:bookmarkStart w:id="4867" w:name="Bookmark_I5S4052K2SF7SN0010000400"/>
      <w:bookmarkEnd w:id="4867"/>
      <w:r>
        <w:rPr>
          <w:rFonts w:ascii="Arial" w:eastAsia="Arial" w:hAnsi="Arial" w:cs="Arial"/>
          <w:color w:val="000000"/>
          <w:sz w:val="20"/>
          <w:u w:val="single"/>
        </w:rPr>
        <w:t>Lujan</w:t>
      </w:r>
      <w:r>
        <w:rPr>
          <w:rFonts w:ascii="Arial" w:eastAsia="Arial" w:hAnsi="Arial" w:cs="Arial"/>
          <w:color w:val="000000"/>
          <w:sz w:val="20"/>
        </w:rPr>
        <w:t>, 504 U.S. at 561 (quotation omitted).</w:t>
      </w:r>
    </w:p>
    <w:p w:rsidR="00E456CD" w:rsidRDefault="00000000">
      <w:pPr>
        <w:pStyle w:val="Normal30"/>
        <w:widowControl w:val="0"/>
        <w:spacing w:before="200" w:line="260" w:lineRule="atLeast"/>
        <w:jc w:val="both"/>
      </w:pPr>
      <w:bookmarkStart w:id="4868" w:name="Bookmark_para_7_28"/>
      <w:bookmarkEnd w:id="4868"/>
      <w:r>
        <w:rPr>
          <w:rFonts w:ascii="Arial" w:eastAsia="Arial" w:hAnsi="Arial" w:cs="Arial"/>
          <w:color w:val="000000"/>
          <w:sz w:val="20"/>
        </w:rPr>
        <w:t xml:space="preserve"> [*546]  </w:t>
      </w:r>
      <w:bookmarkStart w:id="4869" w:name="Bookmark_I0BH7HXCY0C000VXMJ7003K0"/>
      <w:bookmarkStart w:id="4870" w:name="Bookmark_I5S4052K2SF7SN0040000400"/>
      <w:bookmarkStart w:id="4871" w:name="Bookmark_LNHNREFclscc4_22"/>
      <w:bookmarkEnd w:id="4869"/>
      <w:bookmarkEnd w:id="4870"/>
      <w:bookmarkEnd w:id="4871"/>
      <w:r>
        <w:rPr>
          <w:rFonts w:ascii="Arial" w:eastAsia="Arial" w:hAnsi="Arial" w:cs="Arial"/>
          <w:color w:val="000000"/>
          <w:sz w:val="20"/>
        </w:rPr>
        <w:t xml:space="preserve">Title III limits a person subjected to public accommodation discrimination to "preventive relief," typically, a temporary or permanent injunction. 42 U.S.C. § 2000a-3(a), incorporated by reference in § 12188(a). Therefore, to have Article III standing, Wong must prove that architectural barriers at Heartwood Offices both caused him actual injury at the time he commenced this action, and "that [he] would visit the building in the imminent future but for those barriers." </w:t>
      </w:r>
      <w:bookmarkStart w:id="4872" w:name="Bookmark_I5S4052K2SF7SN0030000400"/>
      <w:bookmarkEnd w:id="4872"/>
      <w:r>
        <w:rPr>
          <w:rFonts w:ascii="Arial" w:eastAsia="Arial" w:hAnsi="Arial" w:cs="Arial"/>
          <w:color w:val="000000"/>
          <w:sz w:val="20"/>
          <w:u w:val="single"/>
        </w:rPr>
        <w:t>Steger v. Franco, Inc.</w:t>
      </w:r>
      <w:r>
        <w:rPr>
          <w:rFonts w:ascii="Arial" w:eastAsia="Arial" w:hAnsi="Arial" w:cs="Arial"/>
          <w:color w:val="000000"/>
          <w:sz w:val="20"/>
        </w:rPr>
        <w:t xml:space="preserve">, 228 F.3d 889, 892 (8th Cir. 2000). In </w:t>
      </w:r>
      <w:r>
        <w:rPr>
          <w:rFonts w:ascii="Arial" w:eastAsia="Arial" w:hAnsi="Arial" w:cs="Arial"/>
          <w:color w:val="000000"/>
          <w:sz w:val="20"/>
          <w:u w:val="single"/>
        </w:rPr>
        <w:t>Steger</w:t>
      </w:r>
      <w:r>
        <w:rPr>
          <w:rFonts w:ascii="Arial" w:eastAsia="Arial" w:hAnsi="Arial" w:cs="Arial"/>
          <w:color w:val="000000"/>
          <w:sz w:val="20"/>
        </w:rPr>
        <w:t xml:space="preserve">, five plaintiffs with various disabilities filed a Title III action and sought a preliminary injunction to bring a building into compliance. </w:t>
      </w:r>
      <w:bookmarkStart w:id="4873" w:name="Bookmark_I5S4052K2N1PT50010000400"/>
      <w:bookmarkEnd w:id="4873"/>
      <w:r>
        <w:rPr>
          <w:rFonts w:ascii="Arial" w:eastAsia="Arial" w:hAnsi="Arial" w:cs="Arial"/>
          <w:color w:val="000000"/>
          <w:sz w:val="20"/>
        </w:rPr>
        <w:t xml:space="preserve">After a hearing at which three plaintiffs testified, the district court concluded the five lacked standing and dismissed the action. On appeal, we affirmed the dismissal as to four plaintiffs because, at the time the suit was filed, they had not accessed or attempted to access the building and therefore had not suffered injury in fact. However, the fifth plaintiff, who was blind, had dined at the building's coffee shop, was unable to access the men's restroom because it lacked [**5]  ADA-compliant signage, and made a showing that he would likely use the building in the immediate future if barriers to access were removed. We concluded that this plaintiff's preliminary showing of actual injury and imminent future injury was sufficient to confer "standing to seek relief for any ADA violations . . . affecting his specific disability." </w:t>
      </w:r>
      <w:bookmarkStart w:id="4874" w:name="Bookmark_I5S4052K2SF7SN0050000400"/>
      <w:bookmarkEnd w:id="4874"/>
      <w:r>
        <w:rPr>
          <w:rFonts w:ascii="Arial" w:eastAsia="Arial" w:hAnsi="Arial" w:cs="Arial"/>
          <w:color w:val="000000"/>
          <w:sz w:val="20"/>
          <w:u w:val="single"/>
        </w:rPr>
        <w:t>Id.</w:t>
      </w:r>
      <w:r>
        <w:rPr>
          <w:rFonts w:ascii="Arial" w:eastAsia="Arial" w:hAnsi="Arial" w:cs="Arial"/>
          <w:color w:val="000000"/>
          <w:sz w:val="20"/>
        </w:rPr>
        <w:t xml:space="preserve"> at 894. Accordingly, we remanded for further proceedings.</w:t>
      </w:r>
    </w:p>
    <w:p w:rsidR="00E456CD" w:rsidRDefault="00000000">
      <w:pPr>
        <w:pStyle w:val="Normal30"/>
        <w:widowControl w:val="0"/>
        <w:spacing w:before="200" w:line="260" w:lineRule="atLeast"/>
        <w:jc w:val="both"/>
      </w:pPr>
      <w:bookmarkStart w:id="4875" w:name="Bookmark_para_8_28"/>
      <w:bookmarkEnd w:id="4875"/>
      <w:r>
        <w:rPr>
          <w:rFonts w:ascii="Arial" w:eastAsia="Arial" w:hAnsi="Arial" w:cs="Arial"/>
          <w:color w:val="000000"/>
          <w:sz w:val="20"/>
        </w:rPr>
        <w:t xml:space="preserve">In this case, in response to Heartwood's motion for summary judgment, Wong submitted a sworn declaration stating that he "visited the 889 Grand Building to visit Dr. Raich" and that he has "an extremely strong interest in revisiting the 889 Grand Building once it attempts to bring itself into compliance with the law in order to determine that Heartwood is no longer discriminating against me and other people with disabilities." In an earlier deposition, Wong testified that he was interested in talking to Dr. Raich because Raich appeared to advertise "integrated therapies" that may be helpful to persons with "my particular brand of [Ehlers-Danlos Syndrome]." Heartwood argues that Wong did not suffer injury in fact because he did not have an appointment with Dr. Raich and left after viewing [**6]  the outside of the Heartwood Offices premises without attempting to gain access. The district court concluded that Wong was not required to "engage in a futile gesture" of attempting to access an obviously inaccessible building, </w:t>
      </w:r>
      <w:r>
        <w:rPr>
          <w:rFonts w:ascii="Arial" w:eastAsia="Arial" w:hAnsi="Arial" w:cs="Arial"/>
          <w:color w:val="000000"/>
          <w:sz w:val="20"/>
          <w:u w:val="single"/>
        </w:rPr>
        <w:t>see</w:t>
      </w:r>
      <w:r>
        <w:rPr>
          <w:rFonts w:ascii="Arial" w:eastAsia="Arial" w:hAnsi="Arial" w:cs="Arial"/>
          <w:color w:val="000000"/>
          <w:sz w:val="20"/>
        </w:rPr>
        <w:t xml:space="preserve"> 42 U.S.C. § 12188(a)(1); "because he testified that he wishes to visit the building in the future," the court concluded, "he has suffered an injury in fact."</w:t>
      </w:r>
    </w:p>
    <w:p w:rsidR="00E456CD" w:rsidRDefault="00000000">
      <w:pPr>
        <w:pStyle w:val="Normal30"/>
        <w:widowControl w:val="0"/>
        <w:spacing w:before="200" w:line="260" w:lineRule="atLeast"/>
        <w:jc w:val="both"/>
      </w:pPr>
      <w:bookmarkStart w:id="4876" w:name="Bookmark_para_9_28"/>
      <w:bookmarkEnd w:id="4876"/>
      <w:r>
        <w:rPr>
          <w:rFonts w:ascii="Arial" w:eastAsia="Arial" w:hAnsi="Arial" w:cs="Arial"/>
          <w:color w:val="000000"/>
          <w:sz w:val="20"/>
        </w:rPr>
        <w:t xml:space="preserve">On appeal, Heartwood argues that Wong is not entitled to injunctive relief because he cannot demonstrate he would visit Heartwood Offices in the imminent future, and that Wong's claims are moot because Dr. Raich no longer rents space in Heartwood Offices. These contentions fail because we are reviewing the district court's summary judgment ruling. </w:t>
      </w:r>
      <w:bookmarkStart w:id="4877" w:name="Bookmark_I5S4052K2N1PT50030000400"/>
      <w:bookmarkEnd w:id="4877"/>
      <w:r>
        <w:rPr>
          <w:rFonts w:ascii="Arial" w:eastAsia="Arial" w:hAnsi="Arial" w:cs="Arial"/>
          <w:color w:val="000000"/>
          <w:sz w:val="20"/>
        </w:rPr>
        <w:t xml:space="preserve">There is evidence in the record suggesting that Wong personally suffered no injury in fact because his professed intentions to consult Dr. Raich on December 3, 2014, and to visit Heartwood Offices in the imminent future are not credible. However, Wong averred that he "plan[s] to return to the . . . [b]uilding when [he] learn[s] that it has made improvements by way of removing discriminatory barriers." In ruling on a motion for summary judgment, the district court properly took this statement as true. </w:t>
      </w:r>
      <w:r>
        <w:rPr>
          <w:rFonts w:ascii="Arial" w:eastAsia="Arial" w:hAnsi="Arial" w:cs="Arial"/>
          <w:color w:val="000000"/>
          <w:sz w:val="20"/>
          <w:u w:val="single"/>
        </w:rPr>
        <w:t xml:space="preserve">See [**7]  </w:t>
      </w:r>
      <w:bookmarkStart w:id="4878" w:name="Bookmark_I5S4052K2N1PT50020000400"/>
      <w:bookmarkEnd w:id="4878"/>
      <w:r>
        <w:rPr>
          <w:rFonts w:ascii="Arial" w:eastAsia="Arial" w:hAnsi="Arial" w:cs="Arial"/>
          <w:color w:val="000000"/>
          <w:sz w:val="20"/>
          <w:u w:val="single"/>
        </w:rPr>
        <w:t>Lujan</w:t>
      </w:r>
      <w:r>
        <w:rPr>
          <w:rFonts w:ascii="Arial" w:eastAsia="Arial" w:hAnsi="Arial" w:cs="Arial"/>
          <w:color w:val="000000"/>
          <w:sz w:val="20"/>
        </w:rPr>
        <w:t xml:space="preserve">, 504 U.S. at 561; </w:t>
      </w:r>
      <w:bookmarkStart w:id="4879" w:name="Bookmark_I5S4052K2N1PT50040000400"/>
      <w:bookmarkEnd w:id="4879"/>
      <w:r>
        <w:rPr>
          <w:rFonts w:ascii="Arial" w:eastAsia="Arial" w:hAnsi="Arial" w:cs="Arial"/>
          <w:color w:val="000000"/>
          <w:sz w:val="20"/>
          <w:u w:val="single"/>
        </w:rPr>
        <w:t>Anderson v. Liberty Lobby</w:t>
      </w:r>
      <w:r>
        <w:rPr>
          <w:rFonts w:ascii="Arial" w:eastAsia="Arial" w:hAnsi="Arial" w:cs="Arial"/>
          <w:color w:val="000000"/>
          <w:sz w:val="20"/>
        </w:rPr>
        <w:t>, 477 U.S. 242, 255, 106 S. Ct. 2505, 91 L. Ed. 2d 202 (1986).</w:t>
      </w:r>
    </w:p>
    <w:p w:rsidR="00E456CD" w:rsidRDefault="00000000">
      <w:pPr>
        <w:pStyle w:val="Normal30"/>
        <w:widowControl w:val="0"/>
        <w:spacing w:before="200" w:line="260" w:lineRule="atLeast"/>
        <w:jc w:val="both"/>
      </w:pPr>
      <w:bookmarkStart w:id="4880" w:name="Bookmark_para_10_27"/>
      <w:bookmarkEnd w:id="4880"/>
      <w:r>
        <w:rPr>
          <w:rFonts w:ascii="Arial" w:eastAsia="Arial" w:hAnsi="Arial" w:cs="Arial"/>
          <w:color w:val="000000"/>
          <w:sz w:val="20"/>
        </w:rPr>
        <w:t xml:space="preserve"> [*547]  </w:t>
      </w:r>
      <w:bookmarkStart w:id="4881" w:name="Bookmark_LNHNREFclscc5_21"/>
      <w:bookmarkEnd w:id="4881"/>
      <w:r>
        <w:rPr>
          <w:rFonts w:ascii="Arial" w:eastAsia="Arial" w:hAnsi="Arial" w:cs="Arial"/>
          <w:color w:val="000000"/>
          <w:sz w:val="20"/>
        </w:rPr>
        <w:t xml:space="preserve">Standing is a jurisdictional issue. </w:t>
      </w:r>
      <w:bookmarkStart w:id="4882" w:name="Bookmark_I5S4052K28T4RX0020000400"/>
      <w:bookmarkEnd w:id="4882"/>
      <w:r>
        <w:rPr>
          <w:rFonts w:ascii="Arial" w:eastAsia="Arial" w:hAnsi="Arial" w:cs="Arial"/>
          <w:color w:val="000000"/>
          <w:sz w:val="20"/>
        </w:rPr>
        <w:t xml:space="preserve">Heartwood could have raised this issue by moving to dismiss for lack of jurisdiction under Rule 12(b)(1) of the Federal Rules of Civil Procedure. </w:t>
      </w:r>
      <w:bookmarkStart w:id="4883" w:name="Bookmark_LNHNREFclscc6_20"/>
      <w:bookmarkEnd w:id="4883"/>
      <w:r>
        <w:rPr>
          <w:rFonts w:ascii="Arial" w:eastAsia="Arial" w:hAnsi="Arial" w:cs="Arial"/>
          <w:color w:val="000000"/>
          <w:sz w:val="20"/>
        </w:rPr>
        <w:t xml:space="preserve">In a fact-based Rule 12(b)(1) challenge to subject matter jurisdiction, the district court has discretion to hold an evidentiary hearing, weigh the evidence, and make findings to resolve disputed fact issues that we review for clear error. </w:t>
      </w:r>
      <w:bookmarkStart w:id="4884" w:name="Bookmark_I5S4052K28T4RX0040000400"/>
      <w:bookmarkEnd w:id="4884"/>
      <w:r>
        <w:rPr>
          <w:rFonts w:ascii="Arial" w:eastAsia="Arial" w:hAnsi="Arial" w:cs="Arial"/>
          <w:color w:val="000000"/>
          <w:sz w:val="20"/>
          <w:u w:val="single"/>
        </w:rPr>
        <w:t xml:space="preserve">See </w:t>
      </w:r>
      <w:bookmarkStart w:id="4885" w:name="Bookmark_I5S4052K28T4RX0010000400"/>
      <w:bookmarkEnd w:id="4885"/>
      <w:r>
        <w:rPr>
          <w:rFonts w:ascii="Arial" w:eastAsia="Arial" w:hAnsi="Arial" w:cs="Arial"/>
          <w:color w:val="000000"/>
          <w:sz w:val="20"/>
          <w:u w:val="single"/>
        </w:rPr>
        <w:t>Osborn v. United States</w:t>
      </w:r>
      <w:r>
        <w:rPr>
          <w:rFonts w:ascii="Arial" w:eastAsia="Arial" w:hAnsi="Arial" w:cs="Arial"/>
          <w:color w:val="000000"/>
          <w:sz w:val="20"/>
        </w:rPr>
        <w:t xml:space="preserve">, 918 F.2d 724, 730 (8th Cir. 1990). </w:t>
      </w:r>
      <w:bookmarkStart w:id="4886" w:name="Bookmark_I5S4052K28T4RX0040000400_2"/>
      <w:bookmarkStart w:id="4887" w:name="Bookmark_I5S4052K2SF7SP0010000400"/>
      <w:bookmarkEnd w:id="4886"/>
      <w:bookmarkEnd w:id="4887"/>
      <w:r>
        <w:rPr>
          <w:rFonts w:ascii="Arial" w:eastAsia="Arial" w:hAnsi="Arial" w:cs="Arial"/>
          <w:color w:val="000000"/>
          <w:sz w:val="20"/>
        </w:rPr>
        <w:t xml:space="preserve">In ruling on this type of Rule 12(b)(1) motion, the district court need not accept "bare allegations" in a plaintiff's pleadings. </w:t>
      </w:r>
      <w:bookmarkStart w:id="4888" w:name="Bookmark_I5S4052K28T4RX0030000400"/>
      <w:bookmarkEnd w:id="4888"/>
      <w:r>
        <w:rPr>
          <w:rFonts w:ascii="Arial" w:eastAsia="Arial" w:hAnsi="Arial" w:cs="Arial"/>
          <w:color w:val="000000"/>
          <w:sz w:val="20"/>
          <w:u w:val="single"/>
        </w:rPr>
        <w:t>McClain v. Am. Econ. Ins. Co.</w:t>
      </w:r>
      <w:r>
        <w:rPr>
          <w:rFonts w:ascii="Arial" w:eastAsia="Arial" w:hAnsi="Arial" w:cs="Arial"/>
          <w:color w:val="000000"/>
          <w:sz w:val="20"/>
        </w:rPr>
        <w:t xml:space="preserve">, 424 F.3d 728, 734 (8th Cir. 2005). </w:t>
      </w:r>
      <w:bookmarkStart w:id="4889" w:name="Bookmark_I5S4052K2SF7SP0010000400_2"/>
      <w:bookmarkEnd w:id="4889"/>
      <w:r>
        <w:rPr>
          <w:rFonts w:ascii="Arial" w:eastAsia="Arial" w:hAnsi="Arial" w:cs="Arial"/>
          <w:color w:val="000000"/>
          <w:sz w:val="20"/>
        </w:rPr>
        <w:t xml:space="preserve">Thus, the Rule 12(b)(1) procedure enables the court to resolve a threshold jurisdictional issue without the need for trial, unless the issue is "so bound up with the merits that a full trial on the merits may be necessary to resolve the issue." </w:t>
      </w:r>
      <w:bookmarkStart w:id="4890" w:name="Bookmark_I5S4052K28T4RX0050000400"/>
      <w:bookmarkEnd w:id="4890"/>
      <w:r>
        <w:rPr>
          <w:rFonts w:ascii="Arial" w:eastAsia="Arial" w:hAnsi="Arial" w:cs="Arial"/>
          <w:color w:val="000000"/>
          <w:sz w:val="20"/>
          <w:u w:val="single"/>
        </w:rPr>
        <w:t>Crawford v. United States</w:t>
      </w:r>
      <w:r>
        <w:rPr>
          <w:rFonts w:ascii="Arial" w:eastAsia="Arial" w:hAnsi="Arial" w:cs="Arial"/>
          <w:color w:val="000000"/>
          <w:sz w:val="20"/>
        </w:rPr>
        <w:t>, 796 F.2d 924, 929 (7th Cir. 1986).</w:t>
      </w:r>
    </w:p>
    <w:p w:rsidR="00E456CD" w:rsidRDefault="00000000">
      <w:pPr>
        <w:pStyle w:val="Normal30"/>
        <w:widowControl w:val="0"/>
        <w:spacing w:before="200" w:line="260" w:lineRule="atLeast"/>
        <w:jc w:val="both"/>
      </w:pPr>
      <w:bookmarkStart w:id="4891" w:name="Bookmark_para_11_27"/>
      <w:bookmarkEnd w:id="4891"/>
      <w:r>
        <w:rPr>
          <w:rFonts w:ascii="Arial" w:eastAsia="Arial" w:hAnsi="Arial" w:cs="Arial"/>
          <w:color w:val="000000"/>
          <w:sz w:val="20"/>
        </w:rPr>
        <w:t>Here, Heartwood did not file a Rule 12(b)(1) motion. Correctly viewing the facts in the light most favorable to the non-moving party, the district court determined that Wong had made a sufficient showing of actual injury to establish standing at the summary judgment stage, and granted Heartwood summary judgment on the merits. This was the proper way to proceed. Whether Wong would have established standing to seek Title III injunctive relief had the case proceeded to a full trial on the merits [**8]  is an issue that is not before us and we do not address.</w:t>
      </w:r>
    </w:p>
    <w:p w:rsidR="00E456CD" w:rsidRDefault="00000000">
      <w:pPr>
        <w:pStyle w:val="Normal30"/>
        <w:widowControl w:val="0"/>
        <w:spacing w:before="240" w:line="260" w:lineRule="atLeast"/>
      </w:pPr>
      <w:r>
        <w:br/>
      </w:r>
      <w:r>
        <w:rPr>
          <w:rFonts w:ascii="Arial" w:eastAsia="Arial" w:hAnsi="Arial" w:cs="Arial"/>
          <w:b/>
          <w:color w:val="000000"/>
          <w:sz w:val="20"/>
        </w:rPr>
        <w:t>III. Disability Discrimination Claims</w:t>
      </w:r>
    </w:p>
    <w:p w:rsidR="00E456CD" w:rsidRDefault="00000000">
      <w:pPr>
        <w:pStyle w:val="Normal30"/>
        <w:widowControl w:val="0"/>
        <w:spacing w:before="200" w:line="260" w:lineRule="atLeast"/>
        <w:jc w:val="both"/>
      </w:pPr>
      <w:bookmarkStart w:id="4892" w:name="Bookmark_para_12_26"/>
      <w:bookmarkEnd w:id="4892"/>
      <w:r>
        <w:rPr>
          <w:rFonts w:ascii="Arial" w:eastAsia="Arial" w:hAnsi="Arial" w:cs="Arial"/>
          <w:color w:val="000000"/>
          <w:sz w:val="20"/>
        </w:rPr>
        <w:t>After the close of discovery, Heartwood moved for summary judgment on the ground that removal of the allegedly discriminatory architectural barriers at Heartwood Offices would not be "readily achievable." 42 U.S.C. § 12182(b)(2)(A)(iv). Heartwood submitted evidence and sworn declarations that it had received three bids for installation of a wheelchair accessible ramp ranging from $11,987 to $22,621; that the estimated cost to provide an exterior accessible route to the main entrance ramp is $35,000 from the back of the building and over $100,000 from the front sidewalk; that the entry space is too small for wheelchair access and there is no elevator to the restroom on the second floor; and that it would cost more than $300,000 to make the entire building accessible.</w:t>
      </w:r>
    </w:p>
    <w:p w:rsidR="00E456CD" w:rsidRDefault="00000000">
      <w:pPr>
        <w:pStyle w:val="Normal30"/>
        <w:widowControl w:val="0"/>
        <w:spacing w:before="200" w:line="260" w:lineRule="atLeast"/>
        <w:jc w:val="both"/>
      </w:pPr>
      <w:bookmarkStart w:id="4893" w:name="Bookmark_para_13_24"/>
      <w:bookmarkEnd w:id="4893"/>
      <w:r>
        <w:rPr>
          <w:rFonts w:ascii="Arial" w:eastAsia="Arial" w:hAnsi="Arial" w:cs="Arial"/>
          <w:color w:val="000000"/>
          <w:sz w:val="20"/>
        </w:rPr>
        <w:t xml:space="preserve">In response to Heartwood's earlier discovery requests, Wong stated that the architectural modifications he proposed would cost $10,000 but disclosed no supporting evidence. </w:t>
      </w:r>
      <w:bookmarkStart w:id="4894" w:name="Bookmark_I5S4052K2SF7SP0030000400"/>
      <w:bookmarkEnd w:id="4894"/>
      <w:r>
        <w:rPr>
          <w:rFonts w:ascii="Arial" w:eastAsia="Arial" w:hAnsi="Arial" w:cs="Arial"/>
          <w:color w:val="000000"/>
          <w:sz w:val="20"/>
        </w:rPr>
        <w:t xml:space="preserve">After Heartwood filed its motion, Wong submitted a declaration and supporting documents addressing the issue. The district court granted Heartwood's motion to strike this untimely evidence [**9]  and undisclosed witness. The court then ruled that Heartwood bears the burden of persuasion on the readily achievable issue but granted Heartwood summary judgment because Wong has not "presented any specific plans, cost estimates, or evidence regarding Heartwood's financial position or the effects that the modifications might have on Heartwood's operations." </w:t>
      </w:r>
      <w:r>
        <w:rPr>
          <w:rFonts w:ascii="Arial" w:eastAsia="Arial" w:hAnsi="Arial" w:cs="Arial"/>
          <w:color w:val="000000"/>
          <w:sz w:val="20"/>
          <w:u w:val="single"/>
        </w:rPr>
        <w:t xml:space="preserve">See </w:t>
      </w:r>
      <w:bookmarkStart w:id="4895" w:name="Bookmark_I5S4052K2SF7SP0020000400"/>
      <w:bookmarkEnd w:id="4895"/>
      <w:r>
        <w:rPr>
          <w:rFonts w:ascii="Arial" w:eastAsia="Arial" w:hAnsi="Arial" w:cs="Arial"/>
          <w:color w:val="000000"/>
          <w:sz w:val="20"/>
          <w:u w:val="single"/>
        </w:rPr>
        <w:t>Colo. Cross Disability Coal. v. Hermanson Family Ltd. P'ship I</w:t>
      </w:r>
      <w:r>
        <w:rPr>
          <w:rFonts w:ascii="Arial" w:eastAsia="Arial" w:hAnsi="Arial" w:cs="Arial"/>
          <w:color w:val="000000"/>
          <w:sz w:val="20"/>
        </w:rPr>
        <w:t>, 264 F.3d 999, 1002-07 (10th Cir. 2001).</w:t>
      </w:r>
    </w:p>
    <w:p w:rsidR="00E456CD" w:rsidRDefault="00000000">
      <w:pPr>
        <w:pStyle w:val="Normal30"/>
        <w:widowControl w:val="0"/>
        <w:spacing w:before="200" w:line="260" w:lineRule="atLeast"/>
        <w:jc w:val="both"/>
      </w:pPr>
      <w:bookmarkStart w:id="4896" w:name="Bookmark_para_14_23"/>
      <w:bookmarkEnd w:id="4896"/>
      <w:r>
        <w:rPr>
          <w:rFonts w:ascii="Arial" w:eastAsia="Arial" w:hAnsi="Arial" w:cs="Arial"/>
          <w:color w:val="000000"/>
          <w:sz w:val="20"/>
        </w:rPr>
        <w:t>On appeal, Wong first argues the district court improperly placed on him the burden of production to show that modifications to Heartwood Offices would be readily achievable. He did not raise this issue in the district court; indeed, he conceded that plaintiffs bore the burden of production on the readily achievable issue. Moreover, Heartwood more than satisfied any applicable burden of production when it submitted with its motion for summary judgment detailed evidence showing that  [*548]  removal of its access barriers was not readily achievable, evidence Wong completely failed to refute. Thus, the district court committed no plain procedural error.</w:t>
      </w:r>
    </w:p>
    <w:p w:rsidR="00E456CD" w:rsidRDefault="00000000">
      <w:pPr>
        <w:pStyle w:val="Normal30"/>
        <w:widowControl w:val="0"/>
        <w:spacing w:before="200" w:line="260" w:lineRule="atLeast"/>
        <w:jc w:val="both"/>
      </w:pPr>
      <w:bookmarkStart w:id="4897" w:name="Bookmark_para_15_23"/>
      <w:bookmarkStart w:id="4898" w:name="Bookmark_I5S4052K2SF7SP0050000400"/>
      <w:bookmarkEnd w:id="4897"/>
      <w:bookmarkEnd w:id="4898"/>
      <w:r>
        <w:rPr>
          <w:rFonts w:ascii="Arial" w:eastAsia="Arial" w:hAnsi="Arial" w:cs="Arial"/>
          <w:color w:val="000000"/>
          <w:sz w:val="20"/>
        </w:rPr>
        <w:t xml:space="preserve">Wong next argues there are genuine issues of material fact whether external ramp installation would be readily achievable -- whether Heartwood could obtain departures from exterior accessible [**10]  route requirements and tax benefits to defray the cost of ramp installation, and whether Heartwood's financial position would make the $11,987 cost of ramp installation readily achievable. We disagree. </w:t>
      </w:r>
      <w:bookmarkStart w:id="4899" w:name="Bookmark_LNHNREFclscc7_20"/>
      <w:bookmarkEnd w:id="4899"/>
      <w:r>
        <w:rPr>
          <w:rFonts w:ascii="Arial" w:eastAsia="Arial" w:hAnsi="Arial" w:cs="Arial"/>
          <w:color w:val="000000"/>
          <w:sz w:val="20"/>
        </w:rPr>
        <w:t xml:space="preserve">Although the Department of Justice regulations list ramp installation as an example of readily achievable barrier removal, 28 C.F.R. § 36.304(b)(1), "the regulations also state that whether removal of a barrier is readily achievable is subject to a case by case inquiry." </w:t>
      </w:r>
      <w:bookmarkStart w:id="4900" w:name="Bookmark_I5S4052K2SF7SP0040000400"/>
      <w:bookmarkEnd w:id="4900"/>
      <w:r>
        <w:rPr>
          <w:rFonts w:ascii="Arial" w:eastAsia="Arial" w:hAnsi="Arial" w:cs="Arial"/>
          <w:color w:val="000000"/>
          <w:sz w:val="20"/>
          <w:u w:val="single"/>
        </w:rPr>
        <w:t>Colo. Cross</w:t>
      </w:r>
      <w:r>
        <w:rPr>
          <w:rFonts w:ascii="Arial" w:eastAsia="Arial" w:hAnsi="Arial" w:cs="Arial"/>
          <w:color w:val="000000"/>
          <w:sz w:val="20"/>
        </w:rPr>
        <w:t xml:space="preserve">, 264 F.3d at 1009 (citation omitted). </w:t>
      </w:r>
      <w:bookmarkStart w:id="4901" w:name="Bookmark_I5S4052K28T4RY0020000400"/>
      <w:bookmarkEnd w:id="4901"/>
      <w:r>
        <w:rPr>
          <w:rFonts w:ascii="Arial" w:eastAsia="Arial" w:hAnsi="Arial" w:cs="Arial"/>
          <w:color w:val="000000"/>
          <w:sz w:val="20"/>
        </w:rPr>
        <w:t xml:space="preserve">Here, Heartwood submitted substantial, unrefuted evidence that removal of the barriers in question would not be "easily accomplishable and able to be carried out without much difficulty or expense." 42 U.S.C. § 12181(9). On this record, the district court did not err in granting Heartwood summary judgment dismissing Wong's Title III claim on the merits. </w:t>
      </w:r>
      <w:r>
        <w:rPr>
          <w:rFonts w:ascii="Arial" w:eastAsia="Arial" w:hAnsi="Arial" w:cs="Arial"/>
          <w:color w:val="000000"/>
          <w:sz w:val="20"/>
          <w:u w:val="single"/>
        </w:rPr>
        <w:t xml:space="preserve">Cf. </w:t>
      </w:r>
      <w:bookmarkStart w:id="4902" w:name="Bookmark_I5S4052K28T4RY0010000400"/>
      <w:bookmarkEnd w:id="4902"/>
      <w:r>
        <w:rPr>
          <w:rFonts w:ascii="Arial" w:eastAsia="Arial" w:hAnsi="Arial" w:cs="Arial"/>
          <w:color w:val="000000"/>
          <w:sz w:val="20"/>
          <w:u w:val="single"/>
        </w:rPr>
        <w:t>Garthright-Dietrich v. Atlanta Landmarks, Inc.</w:t>
      </w:r>
      <w:r>
        <w:rPr>
          <w:rFonts w:ascii="Arial" w:eastAsia="Arial" w:hAnsi="Arial" w:cs="Arial"/>
          <w:color w:val="000000"/>
          <w:sz w:val="20"/>
        </w:rPr>
        <w:t>, 452 F.3d 1269, 1274-75 (11th Cir. 2006).</w:t>
      </w:r>
    </w:p>
    <w:p w:rsidR="00E456CD" w:rsidRDefault="00000000">
      <w:pPr>
        <w:pStyle w:val="Normal30"/>
        <w:widowControl w:val="0"/>
        <w:spacing w:before="200" w:line="260" w:lineRule="atLeast"/>
        <w:jc w:val="both"/>
      </w:pPr>
      <w:bookmarkStart w:id="4903" w:name="Bookmark_para_16_22"/>
      <w:bookmarkStart w:id="4904" w:name="Bookmark_I5S4052K28T4RY0040000400"/>
      <w:bookmarkEnd w:id="4903"/>
      <w:bookmarkEnd w:id="4904"/>
      <w:r>
        <w:rPr>
          <w:rFonts w:ascii="Arial" w:eastAsia="Arial" w:hAnsi="Arial" w:cs="Arial"/>
          <w:color w:val="000000"/>
          <w:sz w:val="20"/>
        </w:rPr>
        <w:t xml:space="preserve">Turning to Wong's state law claims, the parties agree that, in determining liability, </w:t>
      </w:r>
      <w:bookmarkStart w:id="4905" w:name="Bookmark_LNHNREFclscc8_18"/>
      <w:bookmarkEnd w:id="4905"/>
      <w:r>
        <w:rPr>
          <w:rFonts w:ascii="Arial" w:eastAsia="Arial" w:hAnsi="Arial" w:cs="Arial"/>
          <w:color w:val="000000"/>
          <w:sz w:val="20"/>
        </w:rPr>
        <w:t xml:space="preserve">"[c]laims under the MHRA are analyzed the same as claims under the ADA." </w:t>
      </w:r>
      <w:bookmarkStart w:id="4906" w:name="Bookmark_I5S4052K28T4RY0030000400"/>
      <w:bookmarkEnd w:id="4906"/>
      <w:r>
        <w:rPr>
          <w:rFonts w:ascii="Arial" w:eastAsia="Arial" w:hAnsi="Arial" w:cs="Arial"/>
          <w:color w:val="000000"/>
          <w:sz w:val="20"/>
          <w:u w:val="single"/>
        </w:rPr>
        <w:t>Somers v. City of Minneapolis</w:t>
      </w:r>
      <w:r>
        <w:rPr>
          <w:rFonts w:ascii="Arial" w:eastAsia="Arial" w:hAnsi="Arial" w:cs="Arial"/>
          <w:color w:val="000000"/>
          <w:sz w:val="20"/>
        </w:rPr>
        <w:t>, 245 F.3d 782, 788 (8th Cir. 2001). Thus, the district court properly granted summary judgment dismissing Wong's MHRA claim, even if the MHRA affords a successful plaintiff additional remedies, as he alleges. Wong's "bias offense" claim for damages under Minnesota Statutes § 611A.79 is based upon the [**11]  MHRA provision declaring that disability discrimination is a misdemeanor. Minn. Stat. 363A.30, subd. 4. As Heartwood did not violate the MHRA, the district court properly dismissed this claim as well.</w:t>
      </w:r>
    </w:p>
    <w:p w:rsidR="00E456CD" w:rsidRDefault="00000000">
      <w:pPr>
        <w:pStyle w:val="Normal30"/>
        <w:widowControl w:val="0"/>
        <w:spacing w:before="200" w:line="260" w:lineRule="atLeast"/>
        <w:jc w:val="both"/>
      </w:pPr>
      <w:bookmarkStart w:id="4907" w:name="Bookmark_para_17_21"/>
      <w:bookmarkEnd w:id="4907"/>
      <w:r>
        <w:rPr>
          <w:rFonts w:ascii="Arial" w:eastAsia="Arial" w:hAnsi="Arial" w:cs="Arial"/>
          <w:color w:val="000000"/>
          <w:sz w:val="20"/>
        </w:rPr>
        <w:t>The judgment of the district court is affirmed.</w:t>
      </w:r>
    </w:p>
    <w:p w:rsidR="00E456CD" w:rsidRDefault="00E456CD">
      <w:pPr>
        <w:pStyle w:val="Normal30"/>
      </w:pPr>
    </w:p>
    <w:p w:rsidR="00E456CD" w:rsidRDefault="00000000">
      <w:pPr>
        <w:pStyle w:val="Normal30"/>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2480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93965444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23029" id="Line 68"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1"/>
        <w:sectPr w:rsidR="00E456CD">
          <w:headerReference w:type="even" r:id="rId193"/>
          <w:headerReference w:type="default" r:id="rId194"/>
          <w:footerReference w:type="even" r:id="rId195"/>
          <w:footerReference w:type="default" r:id="rId196"/>
          <w:headerReference w:type="first" r:id="rId197"/>
          <w:footerReference w:type="first" r:id="rId198"/>
          <w:pgSz w:w="12240" w:h="15840"/>
          <w:pgMar w:top="840" w:right="1000" w:bottom="840" w:left="1000" w:header="400" w:footer="400" w:gutter="0"/>
          <w:cols w:space="720"/>
          <w:titlePg/>
        </w:sectPr>
      </w:pPr>
    </w:p>
    <w:p w:rsidR="00E456CD" w:rsidRDefault="00E456CD">
      <w:pPr>
        <w:pStyle w:val="Normal31"/>
      </w:pPr>
    </w:p>
    <w:p w:rsidR="00E456CD" w:rsidRDefault="00000000">
      <w:pPr>
        <w:pStyle w:val="Heading130"/>
        <w:keepNext w:val="0"/>
        <w:widowControl w:val="0"/>
        <w:spacing w:after="200" w:line="340" w:lineRule="atLeast"/>
        <w:jc w:val="center"/>
      </w:pPr>
      <w:r>
        <w:rPr>
          <w:rFonts w:eastAsia="Arial"/>
          <w:color w:val="000000"/>
          <w:sz w:val="28"/>
        </w:rPr>
        <w:t>Tri-Cities Holdings LLC v. Tenn. Admin. Procedures Div.</w:t>
      </w:r>
    </w:p>
    <w:p w:rsidR="00E456CD" w:rsidRDefault="00000000">
      <w:pPr>
        <w:pStyle w:val="Normal31"/>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31"/>
        <w:widowControl w:val="0"/>
        <w:spacing w:before="120" w:line="260" w:lineRule="atLeast"/>
        <w:jc w:val="center"/>
      </w:pPr>
      <w:r>
        <w:rPr>
          <w:rFonts w:ascii="Arial" w:eastAsia="Arial" w:hAnsi="Arial" w:cs="Arial"/>
          <w:color w:val="000000"/>
          <w:sz w:val="20"/>
        </w:rPr>
        <w:t>February 28, 2018, Filed</w:t>
      </w:r>
    </w:p>
    <w:p w:rsidR="00E456CD" w:rsidRDefault="00000000">
      <w:pPr>
        <w:pStyle w:val="Normal31"/>
        <w:widowControl w:val="0"/>
        <w:spacing w:before="120" w:line="260" w:lineRule="atLeast"/>
        <w:jc w:val="center"/>
      </w:pPr>
      <w:r>
        <w:rPr>
          <w:rFonts w:ascii="Arial" w:eastAsia="Arial" w:hAnsi="Arial" w:cs="Arial"/>
          <w:color w:val="000000"/>
          <w:sz w:val="20"/>
        </w:rPr>
        <w:t>File Name: 18a0097n.06</w:t>
      </w:r>
    </w:p>
    <w:p w:rsidR="00E456CD" w:rsidRDefault="00000000">
      <w:pPr>
        <w:pStyle w:val="Normal31"/>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Nos. 17-5628/6046</w:t>
      </w:r>
    </w:p>
    <w:p w:rsidR="00E456CD" w:rsidRDefault="00E456CD">
      <w:pPr>
        <w:pStyle w:val="Normal31"/>
        <w:widowControl w:val="0"/>
        <w:spacing w:line="240" w:lineRule="atLeast"/>
        <w:jc w:val="both"/>
      </w:pPr>
      <w:bookmarkStart w:id="4908" w:name="Bookmark_32"/>
      <w:bookmarkEnd w:id="4908"/>
    </w:p>
    <w:p w:rsidR="00E456CD" w:rsidRDefault="00000000">
      <w:pPr>
        <w:pStyle w:val="Normal31"/>
        <w:widowControl w:val="0"/>
        <w:spacing w:before="200" w:line="240" w:lineRule="atLeast"/>
      </w:pPr>
      <w:bookmarkStart w:id="4909" w:name="Reporter_30"/>
      <w:bookmarkEnd w:id="4909"/>
      <w:r>
        <w:rPr>
          <w:rFonts w:ascii="Arial" w:eastAsia="Arial" w:hAnsi="Arial" w:cs="Arial"/>
          <w:b/>
          <w:color w:val="000000"/>
          <w:sz w:val="18"/>
        </w:rPr>
        <w:t>Reporter</w:t>
      </w:r>
    </w:p>
    <w:p w:rsidR="00E456CD" w:rsidRDefault="00000000">
      <w:pPr>
        <w:pStyle w:val="Normal31"/>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726 Fed. Appx. 298 *; 2018 U.S. App. LEXIS 5463 **; 2018 FED App. 0097N (6th Cir.); 2018 WL 1100316</w:t>
      </w:r>
    </w:p>
    <w:p w:rsidR="00E456CD" w:rsidRDefault="00000000">
      <w:pPr>
        <w:pStyle w:val="Normal31"/>
        <w:widowControl w:val="0"/>
        <w:spacing w:before="120" w:line="260" w:lineRule="atLeast"/>
      </w:pPr>
      <w:r>
        <w:rPr>
          <w:rFonts w:ascii="Arial" w:eastAsia="Arial" w:hAnsi="Arial" w:cs="Arial"/>
          <w:color w:val="000000"/>
          <w:sz w:val="20"/>
        </w:rPr>
        <w:t>TRI-CITIES HOLDINGS LLC et al., Plaintiffs-Appellants, v. TENNESSEE ADMINISTRATIVE PROCEDURES DIVISION et al. (17-5628); TENNESSEE HEALTH SERVICES AND DEVELOPMENT AGENCY et al. (17-6046), Defendants-Appellees.</w:t>
      </w:r>
    </w:p>
    <w:p w:rsidR="00E456CD" w:rsidRDefault="00000000">
      <w:pPr>
        <w:pStyle w:val="Normal31"/>
        <w:widowControl w:val="0"/>
        <w:spacing w:before="240" w:line="260" w:lineRule="atLeast"/>
        <w:jc w:val="both"/>
      </w:pPr>
      <w:bookmarkStart w:id="4910" w:name="Notice_14"/>
      <w:bookmarkEnd w:id="4910"/>
      <w:r>
        <w:rPr>
          <w:rFonts w:ascii="Arial" w:eastAsia="Arial" w:hAnsi="Arial" w:cs="Arial"/>
          <w:b/>
          <w:color w:val="000000"/>
          <w:sz w:val="20"/>
        </w:rPr>
        <w:t>Notice:</w:t>
      </w:r>
      <w:r>
        <w:rPr>
          <w:rFonts w:ascii="Arial" w:eastAsia="Arial" w:hAnsi="Arial" w:cs="Arial"/>
          <w:color w:val="000000"/>
          <w:sz w:val="20"/>
        </w:rPr>
        <w:t> </w:t>
      </w:r>
      <w:bookmarkStart w:id="4911" w:name="Bookmark_para_1_30"/>
      <w:bookmarkEnd w:id="4911"/>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31"/>
        <w:widowControl w:val="0"/>
        <w:spacing w:before="240" w:line="260" w:lineRule="atLeast"/>
      </w:pPr>
      <w:bookmarkStart w:id="4912" w:name="Subsequent_History_12"/>
      <w:bookmarkEnd w:id="4912"/>
      <w:r>
        <w:rPr>
          <w:rFonts w:ascii="Arial" w:eastAsia="Arial" w:hAnsi="Arial" w:cs="Arial"/>
          <w:b/>
          <w:color w:val="000000"/>
          <w:sz w:val="20"/>
        </w:rPr>
        <w:t>Subsequent History:</w:t>
      </w:r>
      <w:r>
        <w:rPr>
          <w:rFonts w:ascii="Arial" w:eastAsia="Arial" w:hAnsi="Arial" w:cs="Arial"/>
          <w:color w:val="000000"/>
          <w:sz w:val="20"/>
        </w:rPr>
        <w:t> Rehearing, en banc, denied by Tri-Cities Holdings LLC v. Tenn. Admin. Procedures Div., 2018 U.S. App. LEXIS 8536 (6th Cir., Apr. 3, 2018)</w:t>
      </w:r>
    </w:p>
    <w:p w:rsidR="00E456CD" w:rsidRDefault="00000000">
      <w:pPr>
        <w:pStyle w:val="Normal31"/>
        <w:widowControl w:val="0"/>
        <w:spacing w:before="120" w:line="260" w:lineRule="atLeast"/>
      </w:pPr>
      <w:r>
        <w:rPr>
          <w:rFonts w:ascii="Arial" w:eastAsia="Arial" w:hAnsi="Arial" w:cs="Arial"/>
          <w:color w:val="000000"/>
          <w:sz w:val="20"/>
        </w:rPr>
        <w:t>US Supreme Court certiorari denied by Tri-Cities Holdings Llc v. Tn Admin. Div., 2018 U.S. LEXIS 4268 (U.S., Oct. 1, 2018)</w:t>
      </w:r>
    </w:p>
    <w:p w:rsidR="00E456CD" w:rsidRDefault="00000000">
      <w:pPr>
        <w:pStyle w:val="Normal31"/>
        <w:widowControl w:val="0"/>
        <w:spacing w:before="240" w:line="260" w:lineRule="atLeast"/>
        <w:jc w:val="both"/>
      </w:pPr>
      <w:bookmarkStart w:id="4913" w:name="Prior_History_30"/>
      <w:bookmarkEnd w:id="4913"/>
      <w:r>
        <w:rPr>
          <w:rFonts w:ascii="Arial" w:eastAsia="Arial" w:hAnsi="Arial" w:cs="Arial"/>
          <w:b/>
          <w:color w:val="000000"/>
          <w:sz w:val="20"/>
        </w:rPr>
        <w:t>Prior History:</w:t>
      </w:r>
      <w:r>
        <w:rPr>
          <w:rFonts w:ascii="Arial" w:eastAsia="Arial" w:hAnsi="Arial" w:cs="Arial"/>
          <w:color w:val="000000"/>
          <w:sz w:val="20"/>
        </w:rPr>
        <w:t> </w:t>
      </w:r>
      <w:bookmarkStart w:id="4914" w:name="Bookmark_para_2_30"/>
      <w:bookmarkEnd w:id="4914"/>
      <w:r>
        <w:rPr>
          <w:rFonts w:ascii="Arial" w:eastAsia="Arial" w:hAnsi="Arial" w:cs="Arial"/>
          <w:color w:val="000000"/>
          <w:sz w:val="20"/>
        </w:rPr>
        <w:t> [**1] ON APPEAL FROM THE UNITED STATES DISTRICT COURT FOR THE EASTERN DISTRICT OF TENNESSEE.</w:t>
      </w:r>
    </w:p>
    <w:p w:rsidR="00E456CD" w:rsidRDefault="00000000">
      <w:pPr>
        <w:pStyle w:val="Normal31"/>
        <w:widowControl w:val="0"/>
        <w:spacing w:before="120" w:line="260" w:lineRule="atLeast"/>
      </w:pPr>
      <w:r>
        <w:rPr>
          <w:rFonts w:ascii="Arial" w:eastAsia="Arial" w:hAnsi="Arial" w:cs="Arial"/>
          <w:color w:val="000000"/>
          <w:sz w:val="20"/>
        </w:rPr>
        <w:t>Tri-Cities Holdings LLC v. Tenn. Health Servs. &amp; Dev. Agency, 2017 U.S. Dist. LEXIS 136536 (E.D. Tenn., Aug. 25, 2017)</w:t>
      </w:r>
    </w:p>
    <w:p w:rsidR="00E456CD" w:rsidRDefault="00000000">
      <w:pPr>
        <w:pStyle w:val="Normal31"/>
        <w:widowControl w:val="0"/>
        <w:spacing w:before="240" w:line="260" w:lineRule="atLeast"/>
      </w:pPr>
      <w:bookmarkStart w:id="4915" w:name="Counsel_30"/>
      <w:bookmarkEnd w:id="4915"/>
      <w:r>
        <w:rPr>
          <w:rFonts w:ascii="Arial" w:eastAsia="Arial" w:hAnsi="Arial" w:cs="Arial"/>
          <w:b/>
          <w:color w:val="000000"/>
          <w:sz w:val="20"/>
        </w:rPr>
        <w:t>Counsel:</w:t>
      </w:r>
      <w:r>
        <w:rPr>
          <w:rFonts w:ascii="Arial" w:eastAsia="Arial" w:hAnsi="Arial" w:cs="Arial"/>
          <w:color w:val="000000"/>
          <w:sz w:val="20"/>
        </w:rPr>
        <w:t> For TRI-CITIES HOLDINGS LLC, JANE DOE NO. 3, Nos. 1-2, JOHN DOE NOS. 1-6, Nos. 1-6 (17-5628, 17-6046), Plaintiffs - Appellants: James Anderson Dunlap, Jr., James A. Dunlap Jr. &amp; Associates, Atlanta, GA; Benjamin James Miller, Higgins Firm, Nashville, TN.</w:t>
      </w:r>
    </w:p>
    <w:p w:rsidR="00E456CD" w:rsidRDefault="00000000">
      <w:pPr>
        <w:pStyle w:val="Normal31"/>
        <w:widowControl w:val="0"/>
        <w:spacing w:before="120" w:line="260" w:lineRule="atLeast"/>
      </w:pPr>
      <w:r>
        <w:rPr>
          <w:rFonts w:ascii="Arial" w:eastAsia="Arial" w:hAnsi="Arial" w:cs="Arial"/>
          <w:color w:val="000000"/>
          <w:sz w:val="20"/>
        </w:rPr>
        <w:t>For TENNESSEE ADMINISTRATIVE PROCEDURES DIVISION, D. KIM SUMMERS, in her official capacity as Administrative Law Judge, Tennessee Administrative Procedures Division, TENNESSEE DEPARTMENT OF STATE, TRE HARGETT, in his official capacity as Tennessee Secretary of State, TENNESSEE DEPARTMENT OF MENTAL HEALTH AND SUBSTANCE ABUSE SERVICES, E. DOUGLAS VARNEY, in his offical capacity as Commissioner of the Tennessee Department of Mental Health and Substance Abuse Services, Defendants - Appellees (17-5628): Sue Ann Sheldon, Sara E. Sedgwick, Office of the Attorney General of Tennessee, Nashville, TN.</w:t>
      </w:r>
    </w:p>
    <w:p w:rsidR="00E456CD" w:rsidRDefault="00000000">
      <w:pPr>
        <w:pStyle w:val="Normal31"/>
        <w:widowControl w:val="0"/>
        <w:spacing w:before="120" w:line="260" w:lineRule="atLeast"/>
      </w:pPr>
      <w:r>
        <w:rPr>
          <w:rFonts w:ascii="Arial" w:eastAsia="Arial" w:hAnsi="Arial" w:cs="Arial"/>
          <w:color w:val="000000"/>
          <w:sz w:val="20"/>
        </w:rPr>
        <w:t>For JANE DOE NO. 3, Intervenor - Appellant (17-6046): James Anderson Dunlap, Jr., James A. Dunlap Jr. &amp; Associates, Atlanta, GA; Benjamin James Miller, Higgins Firm, Nashville, TN.</w:t>
      </w:r>
    </w:p>
    <w:p w:rsidR="00E456CD" w:rsidRDefault="00000000">
      <w:pPr>
        <w:pStyle w:val="Normal31"/>
        <w:widowControl w:val="0"/>
        <w:spacing w:before="120" w:line="260" w:lineRule="atLeast"/>
      </w:pPr>
      <w:r>
        <w:rPr>
          <w:rFonts w:ascii="Arial" w:eastAsia="Arial" w:hAnsi="Arial" w:cs="Arial"/>
          <w:color w:val="000000"/>
          <w:sz w:val="20"/>
        </w:rPr>
        <w:t>For TENNESSEE HEALTH SERVICES AND DEVELOPMENT AGENCY, MELANIE M. HILL, in [**2]  her official capacity as Executive Director of the Tennessee Health Services and Development Agency, KEITH GAITHER, in his official capacity as a member of the Board of the Tennessee Health Services and Development Agency, ELISHA HODGE, in her official capacity as a member of the Board of the Tennessee Health Services and Development Agency, LISA JORDAN, in her official capacity as member of the Board of the Tennessee Health Services and Development Agency, D. LYNN JOHNSON, in her official capacity as member of the Board of the Tennessee Health Services and Development Agency, JAMES L. WRIGHT, in his official capacity as member of the Board of the Tennessee Health Services and Development Agency, CHARLOTTE C. BURNS, in her official capacity as member of the Board of the Tennessee Health Services and Development Agency, CLAUDIA H. BYRD, in her official capacity as member of the Board of the Tennessee Health Services and Development Agency, ROBERT S. DOOLITTLE, in his official capacity as member of the Board of the Tennessee Health Services and Development Agency, MARK D. FLORA, M.D., in his official capacity as member of the Board of the Tennessee Health Services and Development Agency, [**3]  BARRETT G. HAIK, M.D., in his official capacity as member of the Board of the Tennessee Health Services and Development Agency, FACS, in their official capacity as members of the Board of the Tennessee Health Services and Development Agency, THOM MILLS, in his official capacity as member of the Board of the Tennessee Health Services and Development Agency, Defendants - Appellees (17-6046) Sue Ann Sheldon, Sara E. Sedgwick, Office of the Attorney General of Tennessee, Nashville, TN.</w:t>
      </w:r>
    </w:p>
    <w:p w:rsidR="00E456CD" w:rsidRDefault="00000000">
      <w:pPr>
        <w:pStyle w:val="Normal31"/>
        <w:widowControl w:val="0"/>
        <w:spacing w:before="120" w:line="260" w:lineRule="atLeast"/>
      </w:pPr>
      <w:r>
        <w:rPr>
          <w:rFonts w:ascii="Arial" w:eastAsia="Arial" w:hAnsi="Arial" w:cs="Arial"/>
          <w:color w:val="000000"/>
          <w:sz w:val="20"/>
        </w:rPr>
        <w:t>For CITY OF JOHNSON CITY, JOHNSON CITY BOARD OF COMMISSIONERS, JOHNSON CITY BOARD OF ZONING APPEALS, Defendants - Appellees (17-6046) Kent E. Herrin, Herrin, Booze &amp; McPeak, Johnson City, TN; Thomas J. Garland, Jr., Milligan &amp; Coleman, Greeneville, TN.</w:t>
      </w:r>
    </w:p>
    <w:p w:rsidR="00E456CD" w:rsidRDefault="00000000">
      <w:pPr>
        <w:pStyle w:val="Normal31"/>
        <w:widowControl w:val="0"/>
        <w:spacing w:before="240" w:line="260" w:lineRule="atLeast"/>
      </w:pPr>
      <w:bookmarkStart w:id="4916" w:name="Judges_30"/>
      <w:bookmarkEnd w:id="4916"/>
      <w:r>
        <w:rPr>
          <w:rFonts w:ascii="Arial" w:eastAsia="Arial" w:hAnsi="Arial" w:cs="Arial"/>
          <w:b/>
          <w:color w:val="000000"/>
          <w:sz w:val="20"/>
        </w:rPr>
        <w:t>Judges:</w:t>
      </w:r>
      <w:r>
        <w:rPr>
          <w:rFonts w:ascii="Arial" w:eastAsia="Arial" w:hAnsi="Arial" w:cs="Arial"/>
          <w:color w:val="000000"/>
          <w:sz w:val="20"/>
        </w:rPr>
        <w:t> Before: MOORE, THAPAR, and LARSEN, Circuit Judges.</w:t>
      </w:r>
    </w:p>
    <w:p w:rsidR="00E456CD" w:rsidRDefault="00000000">
      <w:pPr>
        <w:pStyle w:val="Normal31"/>
        <w:widowControl w:val="0"/>
        <w:spacing w:before="240" w:line="260" w:lineRule="atLeast"/>
      </w:pPr>
      <w:bookmarkStart w:id="4917" w:name="Opinion_by_19"/>
      <w:bookmarkEnd w:id="4917"/>
      <w:r>
        <w:rPr>
          <w:rFonts w:ascii="Arial" w:eastAsia="Arial" w:hAnsi="Arial" w:cs="Arial"/>
          <w:b/>
          <w:color w:val="000000"/>
          <w:sz w:val="20"/>
        </w:rPr>
        <w:t>Opinion by:</w:t>
      </w:r>
      <w:r>
        <w:rPr>
          <w:rFonts w:ascii="Arial" w:eastAsia="Arial" w:hAnsi="Arial" w:cs="Arial"/>
          <w:color w:val="000000"/>
          <w:sz w:val="20"/>
        </w:rPr>
        <w:t> KAREN NELSON MOORE</w:t>
      </w:r>
    </w:p>
    <w:p w:rsidR="00E456CD" w:rsidRDefault="00000000">
      <w:pPr>
        <w:pStyle w:val="Normal31"/>
        <w:keepNext/>
        <w:widowControl w:val="0"/>
        <w:spacing w:before="240" w:line="340" w:lineRule="atLeast"/>
      </w:pPr>
      <w:bookmarkStart w:id="4918" w:name="Opinion_30"/>
      <w:bookmarkEnd w:id="4918"/>
      <w:r>
        <w:rPr>
          <w:rFonts w:ascii="Arial" w:eastAsia="Arial" w:hAnsi="Arial" w:cs="Arial"/>
          <w:b/>
          <w:color w:val="000000"/>
          <w:sz w:val="28"/>
        </w:rPr>
        <w:t>Opinion</w:t>
      </w:r>
    </w:p>
    <w:p w:rsidR="00E456CD" w:rsidRDefault="00E22289">
      <w:pPr>
        <w:pStyle w:val="Normal31"/>
        <w:spacing w:line="60" w:lineRule="exact"/>
      </w:pPr>
      <w:r>
        <w:rPr>
          <w:noProof/>
        </w:rPr>
        <mc:AlternateContent>
          <mc:Choice Requires="wps">
            <w:drawing>
              <wp:anchor distT="0" distB="0" distL="114300" distR="114300" simplePos="0" relativeHeight="25172582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26176366"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CB2BD" id="Line 69"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1"/>
      </w:pPr>
    </w:p>
    <w:p w:rsidR="00E456CD" w:rsidRDefault="00000000">
      <w:pPr>
        <w:pStyle w:val="Normal31"/>
        <w:widowControl w:val="0"/>
        <w:spacing w:before="200" w:line="260" w:lineRule="atLeast"/>
        <w:jc w:val="both"/>
      </w:pPr>
      <w:bookmarkStart w:id="4919" w:name="Bookmark_para_3_30"/>
      <w:bookmarkEnd w:id="4919"/>
      <w:r>
        <w:rPr>
          <w:rFonts w:ascii="Arial" w:eastAsia="Arial" w:hAnsi="Arial" w:cs="Arial"/>
          <w:color w:val="000000"/>
          <w:sz w:val="20"/>
        </w:rPr>
        <w:t xml:space="preserve"> [*301]  </w:t>
      </w:r>
      <w:r>
        <w:rPr>
          <w:rFonts w:ascii="Arial" w:eastAsia="Arial" w:hAnsi="Arial" w:cs="Arial"/>
          <w:b/>
          <w:color w:val="000000"/>
          <w:sz w:val="20"/>
        </w:rPr>
        <w:t>KAREN NELSON MOORE, Circuit Judge</w:t>
      </w:r>
      <w:r>
        <w:rPr>
          <w:rFonts w:ascii="Arial" w:eastAsia="Arial" w:hAnsi="Arial" w:cs="Arial"/>
          <w:color w:val="000000"/>
          <w:sz w:val="20"/>
        </w:rPr>
        <w:t>. This consolidated appeal caps a trilogy of federal lawsuits brought by the would-be owner and operator of a methadone</w:t>
      </w:r>
      <w:r>
        <w:rPr>
          <w:rFonts w:ascii="Arial" w:eastAsia="Arial" w:hAnsi="Arial" w:cs="Arial"/>
          <w:vertAlign w:val="superscript"/>
        </w:rPr>
        <w:footnoteReference w:customMarkFollows="1" w:id="212"/>
        <w:t>1</w:t>
      </w:r>
      <w:r>
        <w:rPr>
          <w:rFonts w:ascii="Arial" w:eastAsia="Arial" w:hAnsi="Arial" w:cs="Arial"/>
          <w:color w:val="000000"/>
          <w:sz w:val="20"/>
        </w:rPr>
        <w:t xml:space="preserve"> clinic in Johnson City, Tennessee, on behalf of itself and several prospective clients, under the Americans with Disabilities Act ("ADA"), 42 U.S.C. § 12101 et seq., and the Rehabilitation Act of 1973 ("RA"), 29 U.S.C. § 794. The primary Plaintiff-Appellant is Tri-Cities Holdings [**4]  ("TCH"), a Georgia corporation, and the other Plaintiffs-Appellants have been anonymized as John and Jane Does.</w:t>
      </w:r>
      <w:r>
        <w:rPr>
          <w:rFonts w:ascii="Arial" w:eastAsia="Arial" w:hAnsi="Arial" w:cs="Arial"/>
          <w:vertAlign w:val="superscript"/>
        </w:rPr>
        <w:footnoteReference w:customMarkFollows="1" w:id="213"/>
        <w:t>2</w:t>
      </w:r>
      <w:r>
        <w:rPr>
          <w:rFonts w:ascii="Arial" w:eastAsia="Arial" w:hAnsi="Arial" w:cs="Arial"/>
          <w:color w:val="000000"/>
          <w:sz w:val="20"/>
        </w:rPr>
        <w:t xml:space="preserve"> The Defendants-Appellees are Tennessee state and local government actors who, in one way or another, stood in the way of TCH's efforts to open the proposed clinic. For the reasons that follow, we </w:t>
      </w:r>
      <w:r>
        <w:rPr>
          <w:rFonts w:ascii="Arial" w:eastAsia="Arial" w:hAnsi="Arial" w:cs="Arial"/>
          <w:b/>
          <w:color w:val="000000"/>
          <w:sz w:val="20"/>
        </w:rPr>
        <w:t>AFFIRM</w:t>
      </w:r>
      <w:r>
        <w:rPr>
          <w:rFonts w:ascii="Arial" w:eastAsia="Arial" w:hAnsi="Arial" w:cs="Arial"/>
          <w:color w:val="000000"/>
          <w:sz w:val="20"/>
        </w:rPr>
        <w:t xml:space="preserve"> the district court's grant of summary judgment to all defendants.</w:t>
      </w:r>
    </w:p>
    <w:p w:rsidR="00E456CD" w:rsidRDefault="00000000">
      <w:pPr>
        <w:pStyle w:val="Normal31"/>
        <w:widowControl w:val="0"/>
        <w:spacing w:before="240" w:line="260" w:lineRule="atLeast"/>
      </w:pPr>
      <w:r>
        <w:br/>
      </w:r>
      <w:r>
        <w:rPr>
          <w:rFonts w:ascii="Arial" w:eastAsia="Arial" w:hAnsi="Arial" w:cs="Arial"/>
          <w:b/>
          <w:color w:val="000000"/>
          <w:sz w:val="20"/>
        </w:rPr>
        <w:t>I. BACKGROUND</w:t>
      </w:r>
    </w:p>
    <w:p w:rsidR="00E456CD" w:rsidRDefault="00000000">
      <w:pPr>
        <w:pStyle w:val="Normal31"/>
        <w:widowControl w:val="0"/>
        <w:spacing w:before="240" w:line="260" w:lineRule="atLeast"/>
      </w:pPr>
      <w:r>
        <w:br/>
      </w:r>
      <w:r>
        <w:rPr>
          <w:rFonts w:ascii="Arial" w:eastAsia="Arial" w:hAnsi="Arial" w:cs="Arial"/>
          <w:b/>
          <w:color w:val="000000"/>
          <w:sz w:val="20"/>
        </w:rPr>
        <w:t>A. State and Local Laws Governing the Establishment of Methadone Clinics</w:t>
      </w:r>
    </w:p>
    <w:p w:rsidR="00E456CD" w:rsidRDefault="00000000">
      <w:pPr>
        <w:pStyle w:val="Normal31"/>
        <w:widowControl w:val="0"/>
        <w:spacing w:before="200" w:line="260" w:lineRule="atLeast"/>
        <w:jc w:val="both"/>
      </w:pPr>
      <w:bookmarkStart w:id="4924" w:name="Bookmark_para_4_30"/>
      <w:bookmarkEnd w:id="4924"/>
      <w:r>
        <w:rPr>
          <w:rFonts w:ascii="Arial" w:eastAsia="Arial" w:hAnsi="Arial" w:cs="Arial"/>
          <w:color w:val="000000"/>
          <w:sz w:val="20"/>
        </w:rPr>
        <w:t xml:space="preserve">Perhaps unsurprisingly, Tennessee regulates the establishment of medical-services providers. An entity seeking to set up "any type of health care institution" must first obtain a "certificate of need" ("CON") from the state's Health Services and Development Agency ("HSDA") through a vote of its eleven-member board (all of whom are defendants-appellees here). </w:t>
      </w:r>
      <w:r>
        <w:rPr>
          <w:rFonts w:ascii="Arial" w:eastAsia="Arial" w:hAnsi="Arial" w:cs="Arial"/>
          <w:i/>
          <w:color w:val="000000"/>
          <w:sz w:val="20"/>
        </w:rPr>
        <w:t>See</w:t>
      </w:r>
      <w:r>
        <w:rPr>
          <w:rFonts w:ascii="Arial" w:eastAsia="Arial" w:hAnsi="Arial" w:cs="Arial"/>
          <w:color w:val="000000"/>
          <w:sz w:val="20"/>
        </w:rPr>
        <w:t xml:space="preserve"> Tenn. Code Ann. §§ 68-11-1604, -1607(a). Before it goes to the HSDA, however, a CON application is reviewed by one of three state departments, who both check the application's claims and evaluate the application under three statutorily inscribed criteria: need, economic [**5]  feasibility, and contribution "to the orderly development of adequate and effective health care facilities or services." </w:t>
      </w:r>
      <w:r>
        <w:rPr>
          <w:rFonts w:ascii="Arial" w:eastAsia="Arial" w:hAnsi="Arial" w:cs="Arial"/>
          <w:i/>
          <w:color w:val="000000"/>
          <w:sz w:val="20"/>
        </w:rPr>
        <w:t>See</w:t>
      </w:r>
      <w:r>
        <w:rPr>
          <w:rFonts w:ascii="Arial" w:eastAsia="Arial" w:hAnsi="Arial" w:cs="Arial"/>
          <w:color w:val="000000"/>
          <w:sz w:val="20"/>
        </w:rPr>
        <w:t xml:space="preserve"> § 68-11-1609(b); </w:t>
      </w:r>
      <w:r>
        <w:rPr>
          <w:rFonts w:ascii="Arial" w:eastAsia="Arial" w:hAnsi="Arial" w:cs="Arial"/>
          <w:i/>
          <w:color w:val="000000"/>
          <w:sz w:val="20"/>
        </w:rPr>
        <w:t>TCH III</w:t>
      </w:r>
      <w:r>
        <w:rPr>
          <w:rFonts w:ascii="Arial" w:eastAsia="Arial" w:hAnsi="Arial" w:cs="Arial"/>
          <w:color w:val="000000"/>
          <w:sz w:val="20"/>
        </w:rPr>
        <w:t xml:space="preserve"> R. 15-1 (Review of CON Application at 2) (Page ID #131).</w:t>
      </w:r>
      <w:r>
        <w:rPr>
          <w:rFonts w:ascii="Arial" w:eastAsia="Arial" w:hAnsi="Arial" w:cs="Arial"/>
          <w:vertAlign w:val="superscript"/>
        </w:rPr>
        <w:footnoteReference w:customMarkFollows="1" w:id="214"/>
        <w:t>3</w:t>
      </w:r>
      <w:r>
        <w:rPr>
          <w:rFonts w:ascii="Arial" w:eastAsia="Arial" w:hAnsi="Arial" w:cs="Arial"/>
          <w:color w:val="000000"/>
          <w:sz w:val="20"/>
        </w:rPr>
        <w:t xml:space="preserve"> In the case of a methadone clinic, the evaluator is the state's Department of Mental Health and Substance Abuse Services ("DMHSAS") (another defendant-appellee here).</w:t>
      </w:r>
    </w:p>
    <w:p w:rsidR="00E456CD" w:rsidRDefault="00000000">
      <w:pPr>
        <w:pStyle w:val="Normal31"/>
        <w:widowControl w:val="0"/>
        <w:spacing w:before="200" w:line="260" w:lineRule="atLeast"/>
        <w:jc w:val="both"/>
      </w:pPr>
      <w:bookmarkStart w:id="4926" w:name="Bookmark_para_5_30"/>
      <w:bookmarkEnd w:id="4926"/>
      <w:r>
        <w:rPr>
          <w:rFonts w:ascii="Arial" w:eastAsia="Arial" w:hAnsi="Arial" w:cs="Arial"/>
          <w:color w:val="000000"/>
          <w:sz w:val="20"/>
        </w:rPr>
        <w:t xml:space="preserve">All CON applicants are required to give some general notice of their intentions: they must file a "letter of intent" and then publish that letter "in a newspaper of general circulation in the proposed service area of the project." </w:t>
      </w:r>
      <w:r>
        <w:rPr>
          <w:rFonts w:ascii="Arial" w:eastAsia="Arial" w:hAnsi="Arial" w:cs="Arial"/>
          <w:i/>
          <w:color w:val="000000"/>
          <w:sz w:val="20"/>
        </w:rPr>
        <w:t>Id.</w:t>
      </w:r>
      <w:r>
        <w:rPr>
          <w:rFonts w:ascii="Arial" w:eastAsia="Arial" w:hAnsi="Arial" w:cs="Arial"/>
          <w:color w:val="000000"/>
          <w:sz w:val="20"/>
        </w:rPr>
        <w:t xml:space="preserve"> § 68-11-1607(c)(1).  [*302]  But there is an additional notice requirement that applied specifically to would-be methadone clinics at the time of TCH's CON application and that now applies to </w:t>
      </w:r>
      <w:r>
        <w:rPr>
          <w:rFonts w:ascii="Arial" w:eastAsia="Arial" w:hAnsi="Arial" w:cs="Arial"/>
          <w:i/>
          <w:color w:val="000000"/>
          <w:sz w:val="20"/>
        </w:rPr>
        <w:t>any</w:t>
      </w:r>
      <w:r>
        <w:rPr>
          <w:rFonts w:ascii="Arial" w:eastAsia="Arial" w:hAnsi="Arial" w:cs="Arial"/>
          <w:color w:val="000000"/>
          <w:sz w:val="20"/>
        </w:rPr>
        <w:t xml:space="preserve"> "nonresidential substitution-based treatment center for opiate addiction." </w:t>
      </w:r>
      <w:r>
        <w:rPr>
          <w:rFonts w:ascii="Arial" w:eastAsia="Arial" w:hAnsi="Arial" w:cs="Arial"/>
          <w:i/>
          <w:color w:val="000000"/>
          <w:sz w:val="20"/>
        </w:rPr>
        <w:t>Id.</w:t>
      </w:r>
      <w:r>
        <w:rPr>
          <w:rFonts w:ascii="Arial" w:eastAsia="Arial" w:hAnsi="Arial" w:cs="Arial"/>
          <w:color w:val="000000"/>
          <w:sz w:val="20"/>
        </w:rPr>
        <w:t xml:space="preserve"> § 68-11-1607(c)(9)(A); 2015 Tenn. Pub. Acts, ch. 505.</w:t>
      </w:r>
      <w:r>
        <w:rPr>
          <w:rFonts w:ascii="Arial" w:eastAsia="Arial" w:hAnsi="Arial" w:cs="Arial"/>
          <w:vertAlign w:val="superscript"/>
        </w:rPr>
        <w:footnoteReference w:customMarkFollows="1" w:id="215"/>
        <w:t>4</w:t>
      </w:r>
      <w:r>
        <w:rPr>
          <w:rFonts w:ascii="Arial" w:eastAsia="Arial" w:hAnsi="Arial" w:cs="Arial"/>
          <w:color w:val="000000"/>
          <w:sz w:val="20"/>
        </w:rPr>
        <w:t xml:space="preserve"> This extra provision requires that any such applicant also mail notice to a handful of local elected officials, including the relevant municipality's mayor. Tenn. Code Ann. § 68-11-1607(c)(9)(A).</w:t>
      </w:r>
    </w:p>
    <w:p w:rsidR="00E456CD" w:rsidRDefault="00000000">
      <w:pPr>
        <w:pStyle w:val="Normal31"/>
        <w:widowControl w:val="0"/>
        <w:spacing w:before="200" w:line="260" w:lineRule="atLeast"/>
        <w:jc w:val="both"/>
      </w:pPr>
      <w:bookmarkStart w:id="4928" w:name="Bookmark_para_6_30"/>
      <w:bookmarkEnd w:id="4928"/>
      <w:r>
        <w:rPr>
          <w:rFonts w:ascii="Arial" w:eastAsia="Arial" w:hAnsi="Arial" w:cs="Arial"/>
          <w:color w:val="000000"/>
          <w:sz w:val="20"/>
        </w:rPr>
        <w:t xml:space="preserve">A CON applicant may request that the HSDA hold a public hearing prior to its vote. Tenn. Code Ann. § 68-11-1608(b). "[A] local governing body" may, upon request, "participate in" that hearing "and express support or [**6]  opposition," although such "testimony . . . shall be informational and advisory" only. </w:t>
      </w:r>
      <w:r>
        <w:rPr>
          <w:rFonts w:ascii="Arial" w:eastAsia="Arial" w:hAnsi="Arial" w:cs="Arial"/>
          <w:i/>
          <w:color w:val="000000"/>
          <w:sz w:val="20"/>
        </w:rPr>
        <w:t>Id.</w:t>
      </w:r>
      <w:r>
        <w:rPr>
          <w:rFonts w:ascii="Arial" w:eastAsia="Arial" w:hAnsi="Arial" w:cs="Arial"/>
          <w:color w:val="000000"/>
          <w:sz w:val="20"/>
        </w:rPr>
        <w:t xml:space="preserve"> § 68-11-1624.</w:t>
      </w:r>
      <w:r>
        <w:rPr>
          <w:rFonts w:ascii="Arial" w:eastAsia="Arial" w:hAnsi="Arial" w:cs="Arial"/>
          <w:vertAlign w:val="superscript"/>
        </w:rPr>
        <w:footnoteReference w:customMarkFollows="1" w:id="216"/>
        <w:t>5</w:t>
      </w:r>
      <w:r>
        <w:rPr>
          <w:rFonts w:ascii="Arial" w:eastAsia="Arial" w:hAnsi="Arial" w:cs="Arial"/>
          <w:color w:val="000000"/>
          <w:sz w:val="20"/>
        </w:rPr>
        <w:t xml:space="preserve"> If a CON application is denied, the applicant may appeal to a state administrative law judge ("ALJ"). </w:t>
      </w:r>
      <w:r>
        <w:rPr>
          <w:rFonts w:ascii="Arial" w:eastAsia="Arial" w:hAnsi="Arial" w:cs="Arial"/>
          <w:i/>
          <w:color w:val="000000"/>
          <w:sz w:val="20"/>
        </w:rPr>
        <w:t>Id.</w:t>
      </w:r>
      <w:r>
        <w:rPr>
          <w:rFonts w:ascii="Arial" w:eastAsia="Arial" w:hAnsi="Arial" w:cs="Arial"/>
          <w:color w:val="000000"/>
          <w:sz w:val="20"/>
        </w:rPr>
        <w:t xml:space="preserve"> § 68-11-1610.</w:t>
      </w:r>
    </w:p>
    <w:p w:rsidR="00E456CD" w:rsidRDefault="00000000">
      <w:pPr>
        <w:pStyle w:val="Normal31"/>
        <w:widowControl w:val="0"/>
        <w:spacing w:before="200" w:line="260" w:lineRule="atLeast"/>
        <w:jc w:val="both"/>
      </w:pPr>
      <w:bookmarkStart w:id="4930" w:name="Bookmark_para_7_29"/>
      <w:bookmarkEnd w:id="4930"/>
      <w:r>
        <w:rPr>
          <w:rFonts w:ascii="Arial" w:eastAsia="Arial" w:hAnsi="Arial" w:cs="Arial"/>
          <w:color w:val="000000"/>
          <w:sz w:val="20"/>
        </w:rPr>
        <w:t xml:space="preserve">Johnson City also regulates the establishment of methadone clinics within city limits, which may be located only in areas zoned "MS-1." </w:t>
      </w:r>
      <w:r>
        <w:rPr>
          <w:rFonts w:ascii="Arial" w:eastAsia="Arial" w:hAnsi="Arial" w:cs="Arial"/>
          <w:i/>
          <w:color w:val="000000"/>
          <w:sz w:val="20"/>
        </w:rPr>
        <w:t>TCH II</w:t>
      </w:r>
      <w:r>
        <w:rPr>
          <w:rFonts w:ascii="Arial" w:eastAsia="Arial" w:hAnsi="Arial" w:cs="Arial"/>
          <w:color w:val="000000"/>
          <w:sz w:val="20"/>
        </w:rPr>
        <w:t xml:space="preserve"> R. 41-5 (Johnson City Zoning Requirements at 96-97) (Page ID #864-65). The ordinance in operation when TCH sought a CON also required that such clinics, among other requirements, (1) have first obtained a CON; (2) "not be located within two hundred (200) feet of a school, day-care facility, or park"; (3) operate only between 7:00 AM and 8:00 PM; and (4) "be located on" and provide "primary access . . . from an arterial street." </w:t>
      </w:r>
      <w:r>
        <w:rPr>
          <w:rFonts w:ascii="Arial" w:eastAsia="Arial" w:hAnsi="Arial" w:cs="Arial"/>
          <w:i/>
          <w:color w:val="000000"/>
          <w:sz w:val="20"/>
        </w:rPr>
        <w:t>TCH II</w:t>
      </w:r>
      <w:r>
        <w:rPr>
          <w:rFonts w:ascii="Arial" w:eastAsia="Arial" w:hAnsi="Arial" w:cs="Arial"/>
          <w:color w:val="000000"/>
          <w:sz w:val="20"/>
        </w:rPr>
        <w:t xml:space="preserve"> R. 44-1 (Old Ordinance) (Page ID #1821-22).</w:t>
      </w:r>
      <w:r>
        <w:rPr>
          <w:rFonts w:ascii="Arial" w:eastAsia="Arial" w:hAnsi="Arial" w:cs="Arial"/>
          <w:vertAlign w:val="superscript"/>
        </w:rPr>
        <w:footnoteReference w:customMarkFollows="1" w:id="217"/>
        <w:t>6</w:t>
      </w:r>
    </w:p>
    <w:p w:rsidR="00E456CD" w:rsidRDefault="00000000">
      <w:pPr>
        <w:pStyle w:val="Normal31"/>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Tri-Cities I</w:t>
      </w:r>
      <w:r>
        <w:rPr>
          <w:rFonts w:ascii="Arial" w:eastAsia="Arial" w:hAnsi="Arial" w:cs="Arial"/>
          <w:b/>
          <w:color w:val="000000"/>
          <w:sz w:val="20"/>
        </w:rPr>
        <w:t xml:space="preserve">, TCH's CON Application, and </w:t>
      </w:r>
      <w:r>
        <w:rPr>
          <w:rFonts w:ascii="Arial" w:eastAsia="Arial" w:hAnsi="Arial" w:cs="Arial"/>
          <w:b/>
          <w:i/>
          <w:color w:val="000000"/>
          <w:sz w:val="20"/>
        </w:rPr>
        <w:t>Tri-Cities II</w:t>
      </w:r>
    </w:p>
    <w:p w:rsidR="00E456CD" w:rsidRDefault="00000000">
      <w:pPr>
        <w:pStyle w:val="Normal31"/>
        <w:widowControl w:val="0"/>
        <w:spacing w:before="200" w:line="260" w:lineRule="atLeast"/>
        <w:jc w:val="both"/>
      </w:pPr>
      <w:bookmarkStart w:id="4932" w:name="Bookmark_para_8_29"/>
      <w:bookmarkEnd w:id="4932"/>
      <w:r>
        <w:rPr>
          <w:rFonts w:ascii="Arial" w:eastAsia="Arial" w:hAnsi="Arial" w:cs="Arial"/>
          <w:color w:val="000000"/>
          <w:sz w:val="20"/>
        </w:rPr>
        <w:t xml:space="preserve">TCH's first federal lawsuit, </w:t>
      </w:r>
      <w:r>
        <w:rPr>
          <w:rFonts w:ascii="Arial" w:eastAsia="Arial" w:hAnsi="Arial" w:cs="Arial"/>
          <w:i/>
          <w:color w:val="000000"/>
          <w:sz w:val="20"/>
        </w:rPr>
        <w:t>Tri-Cities Holdings LLC et al. v. Johnson City et al.</w:t>
      </w:r>
      <w:r>
        <w:rPr>
          <w:rFonts w:ascii="Arial" w:eastAsia="Arial" w:hAnsi="Arial" w:cs="Arial"/>
          <w:color w:val="000000"/>
          <w:sz w:val="20"/>
        </w:rPr>
        <w:t xml:space="preserve"> ("</w:t>
      </w:r>
      <w:r>
        <w:rPr>
          <w:rFonts w:ascii="Arial" w:eastAsia="Arial" w:hAnsi="Arial" w:cs="Arial"/>
          <w:i/>
          <w:color w:val="000000"/>
          <w:sz w:val="20"/>
        </w:rPr>
        <w:t>Tri-Cities I</w:t>
      </w:r>
      <w:r>
        <w:rPr>
          <w:rFonts w:ascii="Arial" w:eastAsia="Arial" w:hAnsi="Arial" w:cs="Arial"/>
          <w:color w:val="000000"/>
          <w:sz w:val="20"/>
        </w:rPr>
        <w:t>"), No. 2:13-cv-108, challenged Johnson City's zoning ordinances and argued that various city defendants (all of whom are also defendants-appellees here</w:t>
      </w:r>
      <w:r>
        <w:rPr>
          <w:rFonts w:ascii="Arial" w:eastAsia="Arial" w:hAnsi="Arial" w:cs="Arial"/>
          <w:vertAlign w:val="superscript"/>
        </w:rPr>
        <w:footnoteReference w:customMarkFollows="1" w:id="218"/>
        <w:t>7</w:t>
      </w:r>
      <w:r>
        <w:rPr>
          <w:rFonts w:ascii="Arial" w:eastAsia="Arial" w:hAnsi="Arial" w:cs="Arial"/>
          <w:color w:val="000000"/>
          <w:sz w:val="20"/>
        </w:rPr>
        <w:t xml:space="preserve">) had violated the ADA and RA by refusing to issue necessary permits to TCH. </w:t>
      </w:r>
      <w:r>
        <w:rPr>
          <w:rFonts w:ascii="Arial" w:eastAsia="Arial" w:hAnsi="Arial" w:cs="Arial"/>
          <w:i/>
          <w:color w:val="000000"/>
          <w:sz w:val="20"/>
        </w:rPr>
        <w:t>TCH II</w:t>
      </w:r>
      <w:r>
        <w:rPr>
          <w:rFonts w:ascii="Arial" w:eastAsia="Arial" w:hAnsi="Arial" w:cs="Arial"/>
          <w:color w:val="000000"/>
          <w:sz w:val="20"/>
        </w:rPr>
        <w:t xml:space="preserve"> R. 19-3 (</w:t>
      </w:r>
      <w:r>
        <w:rPr>
          <w:rFonts w:ascii="Arial" w:eastAsia="Arial" w:hAnsi="Arial" w:cs="Arial"/>
          <w:i/>
          <w:color w:val="000000"/>
          <w:sz w:val="20"/>
        </w:rPr>
        <w:t>Tri-Cities [**7]  I</w:t>
      </w:r>
      <w:r>
        <w:rPr>
          <w:rFonts w:ascii="Arial" w:eastAsia="Arial" w:hAnsi="Arial" w:cs="Arial"/>
          <w:color w:val="000000"/>
          <w:sz w:val="20"/>
        </w:rPr>
        <w:t xml:space="preserve"> Compl.) (Page ID #468-70). The district court dismissed that suit on June 12, 2013, on ripeness grounds. </w:t>
      </w:r>
      <w:r>
        <w:rPr>
          <w:rFonts w:ascii="Arial" w:eastAsia="Arial" w:hAnsi="Arial" w:cs="Arial"/>
          <w:i/>
          <w:color w:val="000000"/>
          <w:sz w:val="20"/>
        </w:rPr>
        <w:t>TCH II</w:t>
      </w:r>
      <w:r>
        <w:rPr>
          <w:rFonts w:ascii="Arial" w:eastAsia="Arial" w:hAnsi="Arial" w:cs="Arial"/>
          <w:color w:val="000000"/>
          <w:sz w:val="20"/>
        </w:rPr>
        <w:t xml:space="preserve"> R. 19-1 (</w:t>
      </w:r>
      <w:r>
        <w:rPr>
          <w:rFonts w:ascii="Arial" w:eastAsia="Arial" w:hAnsi="Arial" w:cs="Arial"/>
          <w:i/>
          <w:color w:val="000000"/>
          <w:sz w:val="20"/>
        </w:rPr>
        <w:t>Tri-Cities I</w:t>
      </w:r>
      <w:r>
        <w:rPr>
          <w:rFonts w:ascii="Arial" w:eastAsia="Arial" w:hAnsi="Arial" w:cs="Arial"/>
          <w:color w:val="000000"/>
          <w:sz w:val="20"/>
        </w:rPr>
        <w:t xml:space="preserve"> Dist. Ct. Op. &amp; Order at 8-10) (Page ID #465). The district court reasoned that, in light of the absence of a CON, it was "virtually impossible . . . to determine any likelihood that the harm alleged by plaintiffs will ever come to pass," and moreover there was "minimal hardship on the parties" to delay adjudication until TCH obtained a CON. </w:t>
      </w:r>
      <w:r>
        <w:rPr>
          <w:rFonts w:ascii="Arial" w:eastAsia="Arial" w:hAnsi="Arial" w:cs="Arial"/>
          <w:i/>
          <w:color w:val="000000"/>
          <w:sz w:val="20"/>
        </w:rPr>
        <w:t>Id.</w:t>
      </w:r>
      <w:r>
        <w:rPr>
          <w:rFonts w:ascii="Arial" w:eastAsia="Arial" w:hAnsi="Arial" w:cs="Arial"/>
          <w:color w:val="000000"/>
          <w:sz w:val="20"/>
        </w:rPr>
        <w:t xml:space="preserve"> at 8-9 (Page ID #463-64). The district court accordingly entered a judgment of dismissal without prejudice. </w:t>
      </w:r>
      <w:r>
        <w:rPr>
          <w:rFonts w:ascii="Arial" w:eastAsia="Arial" w:hAnsi="Arial" w:cs="Arial"/>
          <w:i/>
          <w:color w:val="000000"/>
          <w:sz w:val="20"/>
        </w:rPr>
        <w:t>TCH II</w:t>
      </w:r>
      <w:r>
        <w:rPr>
          <w:rFonts w:ascii="Arial" w:eastAsia="Arial" w:hAnsi="Arial" w:cs="Arial"/>
          <w:color w:val="000000"/>
          <w:sz w:val="20"/>
        </w:rPr>
        <w:t xml:space="preserve"> R. 19-2 (</w:t>
      </w:r>
      <w:r>
        <w:rPr>
          <w:rFonts w:ascii="Arial" w:eastAsia="Arial" w:hAnsi="Arial" w:cs="Arial"/>
          <w:i/>
          <w:color w:val="000000"/>
          <w:sz w:val="20"/>
        </w:rPr>
        <w:t>Tri-Cities I</w:t>
      </w:r>
      <w:r>
        <w:rPr>
          <w:rFonts w:ascii="Arial" w:eastAsia="Arial" w:hAnsi="Arial" w:cs="Arial"/>
          <w:color w:val="000000"/>
          <w:sz w:val="20"/>
        </w:rPr>
        <w:t xml:space="preserve"> J.) (Page ID #467). TCH did not appeal.</w:t>
      </w:r>
    </w:p>
    <w:p w:rsidR="00E456CD" w:rsidRDefault="00000000">
      <w:pPr>
        <w:pStyle w:val="Normal31"/>
        <w:widowControl w:val="0"/>
        <w:spacing w:before="200" w:line="260" w:lineRule="atLeast"/>
        <w:jc w:val="both"/>
      </w:pPr>
      <w:bookmarkStart w:id="4934" w:name="Bookmark_para_9_29"/>
      <w:bookmarkEnd w:id="4934"/>
      <w:r>
        <w:rPr>
          <w:rFonts w:ascii="Arial" w:eastAsia="Arial" w:hAnsi="Arial" w:cs="Arial"/>
          <w:color w:val="000000"/>
          <w:sz w:val="20"/>
        </w:rPr>
        <w:t xml:space="preserve">TCH filed a second federal lawsuit, </w:t>
      </w:r>
      <w:r>
        <w:rPr>
          <w:rFonts w:ascii="Arial" w:eastAsia="Arial" w:hAnsi="Arial" w:cs="Arial"/>
          <w:i/>
          <w:color w:val="000000"/>
          <w:sz w:val="20"/>
        </w:rPr>
        <w:t>Tri-Cities Holdings LLC et al. v. Tenn. Health  [*303]  Servs. &amp; Dev. Agency et al.</w:t>
      </w:r>
      <w:r>
        <w:rPr>
          <w:rFonts w:ascii="Arial" w:eastAsia="Arial" w:hAnsi="Arial" w:cs="Arial"/>
          <w:color w:val="000000"/>
          <w:sz w:val="20"/>
        </w:rPr>
        <w:t xml:space="preserve"> ("</w:t>
      </w:r>
      <w:r>
        <w:rPr>
          <w:rFonts w:ascii="Arial" w:eastAsia="Arial" w:hAnsi="Arial" w:cs="Arial"/>
          <w:i/>
          <w:color w:val="000000"/>
          <w:sz w:val="20"/>
        </w:rPr>
        <w:t>Tri-Cities II</w:t>
      </w:r>
      <w:r>
        <w:rPr>
          <w:rFonts w:ascii="Arial" w:eastAsia="Arial" w:hAnsi="Arial" w:cs="Arial"/>
          <w:color w:val="000000"/>
          <w:sz w:val="20"/>
        </w:rPr>
        <w:t>"), No. 3:13-cv-669,</w:t>
      </w:r>
      <w:r>
        <w:rPr>
          <w:rFonts w:ascii="Arial" w:eastAsia="Arial" w:hAnsi="Arial" w:cs="Arial"/>
          <w:vertAlign w:val="superscript"/>
        </w:rPr>
        <w:footnoteReference w:customMarkFollows="1" w:id="219"/>
        <w:t>8</w:t>
      </w:r>
      <w:r>
        <w:rPr>
          <w:rFonts w:ascii="Arial" w:eastAsia="Arial" w:hAnsi="Arial" w:cs="Arial"/>
          <w:color w:val="000000"/>
          <w:sz w:val="20"/>
        </w:rPr>
        <w:t xml:space="preserve"> which is one of the two cases in this consolidated appeal (No. 17-6046), after the HSDA denied TCH's CON application by a vote of 3-6-1 after a lengthy public hearing on June 26, 2013, </w:t>
      </w:r>
      <w:r>
        <w:rPr>
          <w:rFonts w:ascii="Arial" w:eastAsia="Arial" w:hAnsi="Arial" w:cs="Arial"/>
          <w:i/>
          <w:color w:val="000000"/>
          <w:sz w:val="20"/>
        </w:rPr>
        <w:t>TCH III</w:t>
      </w:r>
      <w:r>
        <w:rPr>
          <w:rFonts w:ascii="Arial" w:eastAsia="Arial" w:hAnsi="Arial" w:cs="Arial"/>
          <w:color w:val="000000"/>
          <w:sz w:val="20"/>
        </w:rPr>
        <w:t xml:space="preserve"> R. 31-3 (Tr. of CON Application Hr'g at 3, 197) (Page ID #1021, 1215). In addition to HSDA board members and staff, the attendees included a range of community members, including local political leaders, as well [**8]  as a minister, several doctors, at least one educator, and a nurse. </w:t>
      </w:r>
      <w:r>
        <w:rPr>
          <w:rFonts w:ascii="Arial" w:eastAsia="Arial" w:hAnsi="Arial" w:cs="Arial"/>
          <w:i/>
          <w:color w:val="000000"/>
          <w:sz w:val="20"/>
        </w:rPr>
        <w:t>See id.</w:t>
      </w:r>
      <w:r>
        <w:rPr>
          <w:rFonts w:ascii="Arial" w:eastAsia="Arial" w:hAnsi="Arial" w:cs="Arial"/>
          <w:color w:val="000000"/>
          <w:sz w:val="20"/>
        </w:rPr>
        <w:t xml:space="preserve"> at 5 (Page ID #1023). The hearing began with HSDA General Counsel Jim Christoffersen advising participants not to base their decisions on any Johnson City zoning issues in light of the unresolved litigation and then reading aloud a letter from TCH's attorney, James Dunlap, asking that, were the application to be denied, "the applicant be provided all reasonable accommodations or modifications to any and all applicable rules and requirements necessary to enable its application to be approved, as required by the ADA and the RA."</w:t>
      </w:r>
      <w:r>
        <w:rPr>
          <w:rFonts w:ascii="Arial" w:eastAsia="Arial" w:hAnsi="Arial" w:cs="Arial"/>
          <w:vertAlign w:val="superscript"/>
        </w:rPr>
        <w:footnoteReference w:customMarkFollows="1" w:id="220"/>
        <w:t>9</w:t>
      </w:r>
      <w:r>
        <w:rPr>
          <w:rFonts w:ascii="Arial" w:eastAsia="Arial" w:hAnsi="Arial" w:cs="Arial"/>
          <w:i/>
          <w:color w:val="000000"/>
          <w:sz w:val="20"/>
        </w:rPr>
        <w:t>Id.</w:t>
      </w:r>
      <w:r>
        <w:rPr>
          <w:rFonts w:ascii="Arial" w:eastAsia="Arial" w:hAnsi="Arial" w:cs="Arial"/>
          <w:color w:val="000000"/>
          <w:sz w:val="20"/>
        </w:rPr>
        <w:t xml:space="preserve"> at 9 (Page ID #1027).</w:t>
      </w:r>
    </w:p>
    <w:p w:rsidR="00E456CD" w:rsidRDefault="00000000">
      <w:pPr>
        <w:pStyle w:val="Normal31"/>
        <w:widowControl w:val="0"/>
        <w:spacing w:before="200" w:line="260" w:lineRule="atLeast"/>
        <w:jc w:val="both"/>
      </w:pPr>
      <w:bookmarkStart w:id="4937" w:name="Bookmark_para_10_28"/>
      <w:bookmarkEnd w:id="4937"/>
      <w:r>
        <w:rPr>
          <w:rFonts w:ascii="Arial" w:eastAsia="Arial" w:hAnsi="Arial" w:cs="Arial"/>
          <w:color w:val="000000"/>
          <w:sz w:val="20"/>
        </w:rPr>
        <w:t xml:space="preserve">Some of the hearing's discussion focused on DMHSAS's eighteen-page report, which the department had submitted about two weeks prior. </w:t>
      </w:r>
      <w:r>
        <w:rPr>
          <w:rFonts w:ascii="Arial" w:eastAsia="Arial" w:hAnsi="Arial" w:cs="Arial"/>
          <w:i/>
          <w:color w:val="000000"/>
          <w:sz w:val="20"/>
        </w:rPr>
        <w:t>TCH III</w:t>
      </w:r>
      <w:r>
        <w:rPr>
          <w:rFonts w:ascii="Arial" w:eastAsia="Arial" w:hAnsi="Arial" w:cs="Arial"/>
          <w:color w:val="000000"/>
          <w:sz w:val="20"/>
        </w:rPr>
        <w:t xml:space="preserve"> R. 15-1 (Review of CON Application at 1) (Page ID #130). DHMSAS had concluded that it could not "support approval of the application because" two of the three statutory criteria—need, economic feasibility, and contribution to the orderly development of healthcare—"ha[d] not been met." </w:t>
      </w:r>
      <w:r>
        <w:rPr>
          <w:rFonts w:ascii="Arial" w:eastAsia="Arial" w:hAnsi="Arial" w:cs="Arial"/>
          <w:i/>
          <w:color w:val="000000"/>
          <w:sz w:val="20"/>
        </w:rPr>
        <w:t>Id.</w:t>
      </w:r>
      <w:r>
        <w:rPr>
          <w:rFonts w:ascii="Arial" w:eastAsia="Arial" w:hAnsi="Arial" w:cs="Arial"/>
          <w:color w:val="000000"/>
          <w:sz w:val="20"/>
        </w:rPr>
        <w:t xml:space="preserve"> at 4 (Page ID #133). While observing that economic feasibility, "ha[d] possibly been established," [**9]  </w:t>
      </w:r>
      <w:r>
        <w:rPr>
          <w:rFonts w:ascii="Arial" w:eastAsia="Arial" w:hAnsi="Arial" w:cs="Arial"/>
          <w:i/>
          <w:color w:val="000000"/>
          <w:sz w:val="20"/>
        </w:rPr>
        <w:t>id.</w:t>
      </w:r>
      <w:r>
        <w:rPr>
          <w:rFonts w:ascii="Arial" w:eastAsia="Arial" w:hAnsi="Arial" w:cs="Arial"/>
          <w:color w:val="000000"/>
          <w:sz w:val="20"/>
        </w:rPr>
        <w:t xml:space="preserve"> at 6 (Page ID #135), the report stated that need for this particular type of facility "ha[d] not been clearly established," </w:t>
      </w:r>
      <w:r>
        <w:rPr>
          <w:rFonts w:ascii="Arial" w:eastAsia="Arial" w:hAnsi="Arial" w:cs="Arial"/>
          <w:i/>
          <w:color w:val="000000"/>
          <w:sz w:val="20"/>
        </w:rPr>
        <w:t>id.</w:t>
      </w:r>
      <w:r>
        <w:rPr>
          <w:rFonts w:ascii="Arial" w:eastAsia="Arial" w:hAnsi="Arial" w:cs="Arial"/>
          <w:color w:val="000000"/>
          <w:sz w:val="20"/>
        </w:rPr>
        <w:t xml:space="preserve"> at 5 (Page ID #134), and that "[t]he project [would] not contribute to the orderly development of healthcare," </w:t>
      </w:r>
      <w:r>
        <w:rPr>
          <w:rFonts w:ascii="Arial" w:eastAsia="Arial" w:hAnsi="Arial" w:cs="Arial"/>
          <w:i/>
          <w:color w:val="000000"/>
          <w:sz w:val="20"/>
        </w:rPr>
        <w:t>id.</w:t>
      </w:r>
      <w:r>
        <w:rPr>
          <w:rFonts w:ascii="Arial" w:eastAsia="Arial" w:hAnsi="Arial" w:cs="Arial"/>
          <w:color w:val="000000"/>
          <w:sz w:val="20"/>
        </w:rPr>
        <w:t xml:space="preserve"> at 6 (Page ID #135).</w:t>
      </w:r>
    </w:p>
    <w:p w:rsidR="00E456CD" w:rsidRDefault="00000000">
      <w:pPr>
        <w:pStyle w:val="Normal31"/>
        <w:widowControl w:val="0"/>
        <w:spacing w:before="200" w:line="260" w:lineRule="atLeast"/>
        <w:jc w:val="both"/>
      </w:pPr>
      <w:bookmarkStart w:id="4938" w:name="Bookmark_para_11_28"/>
      <w:bookmarkEnd w:id="4938"/>
      <w:r>
        <w:rPr>
          <w:rFonts w:ascii="Arial" w:eastAsia="Arial" w:hAnsi="Arial" w:cs="Arial"/>
          <w:color w:val="000000"/>
          <w:sz w:val="20"/>
        </w:rPr>
        <w:t xml:space="preserve">Those who spoke in favor of TCH's application at the hearing, meanwhile, tended to emphasize the hardship of requiring people seeking methadone treatments to travel dozens of miles away. </w:t>
      </w:r>
      <w:r>
        <w:rPr>
          <w:rFonts w:ascii="Arial" w:eastAsia="Arial" w:hAnsi="Arial" w:cs="Arial"/>
          <w:i/>
          <w:color w:val="000000"/>
          <w:sz w:val="20"/>
        </w:rPr>
        <w:t>See TCH III</w:t>
      </w:r>
      <w:r>
        <w:rPr>
          <w:rFonts w:ascii="Arial" w:eastAsia="Arial" w:hAnsi="Arial" w:cs="Arial"/>
          <w:color w:val="000000"/>
          <w:sz w:val="20"/>
        </w:rPr>
        <w:t xml:space="preserve"> R. 31-3 (Tr. of CON Application Hr'g at 26-27, 34-35, 39) (Page ID #1044-45, 1052-53, 1057). Others who were skeptical or opposed questioned the efficacy and safety of methadone when compared against other substitution-based treatments—chiefly a newer synthetic drug called buprenorphine</w:t>
      </w:r>
      <w:r>
        <w:rPr>
          <w:rFonts w:ascii="Arial" w:eastAsia="Arial" w:hAnsi="Arial" w:cs="Arial"/>
          <w:vertAlign w:val="superscript"/>
        </w:rPr>
        <w:footnoteReference w:customMarkFollows="1" w:id="221"/>
        <w:t>10</w:t>
      </w:r>
      <w:r>
        <w:rPr>
          <w:rFonts w:ascii="Arial" w:eastAsia="Arial" w:hAnsi="Arial" w:cs="Arial"/>
          <w:color w:val="000000"/>
          <w:sz w:val="20"/>
        </w:rPr>
        <w:t xml:space="preserve"> —that were already  [*304]  readily available, </w:t>
      </w:r>
      <w:r>
        <w:rPr>
          <w:rFonts w:ascii="Arial" w:eastAsia="Arial" w:hAnsi="Arial" w:cs="Arial"/>
          <w:i/>
          <w:color w:val="000000"/>
          <w:sz w:val="20"/>
        </w:rPr>
        <w:t>see id.</w:t>
      </w:r>
      <w:r>
        <w:rPr>
          <w:rFonts w:ascii="Arial" w:eastAsia="Arial" w:hAnsi="Arial" w:cs="Arial"/>
          <w:color w:val="000000"/>
          <w:sz w:val="20"/>
        </w:rPr>
        <w:t xml:space="preserve"> at 43-49, 51, 54-56, 59-60, 73-75, 141, 147-48, 168-69, 180-81) (Page ID #1061-67, 1069, 1072-74, 1077-78, 1091-93, 1159, 1165-66, 1186-87, 1198-99), and the quality of the facility that TCH's 50% owner and chief executive, Steven Kester, could be expected to establish, </w:t>
      </w:r>
      <w:r>
        <w:rPr>
          <w:rFonts w:ascii="Arial" w:eastAsia="Arial" w:hAnsi="Arial" w:cs="Arial"/>
          <w:i/>
          <w:color w:val="000000"/>
          <w:sz w:val="20"/>
        </w:rPr>
        <w:t>see id.</w:t>
      </w:r>
      <w:r>
        <w:rPr>
          <w:rFonts w:ascii="Arial" w:eastAsia="Arial" w:hAnsi="Arial" w:cs="Arial"/>
          <w:color w:val="000000"/>
          <w:sz w:val="20"/>
        </w:rPr>
        <w:t xml:space="preserve"> at 50-52, 60-70, 79-80, 105-08, 119-23, 130-31, 137-39, 151-53, 166-67, 169-71 (Page ID #1068-70, 1078-88, 1097-98, 1123-26, 1137-41, 1148-49, 1155-57, 1169-71, 1184-85, 1187-89). Two parents, for example, discussed their son's death from a methadone overdose in North Carolina. </w:t>
      </w:r>
      <w:r>
        <w:rPr>
          <w:rFonts w:ascii="Arial" w:eastAsia="Arial" w:hAnsi="Arial" w:cs="Arial"/>
          <w:i/>
          <w:color w:val="000000"/>
          <w:sz w:val="20"/>
        </w:rPr>
        <w:t>Id.</w:t>
      </w:r>
      <w:r>
        <w:rPr>
          <w:rFonts w:ascii="Arial" w:eastAsia="Arial" w:hAnsi="Arial" w:cs="Arial"/>
          <w:color w:val="000000"/>
          <w:sz w:val="20"/>
        </w:rPr>
        <w:t xml:space="preserve"> at 75 (Page ID #1093). [**10]  "[A] board-certified internal medicine physician," medicalschool professor, and associate chief of staff at local VA hospital, </w:t>
      </w:r>
      <w:r>
        <w:rPr>
          <w:rFonts w:ascii="Arial" w:eastAsia="Arial" w:hAnsi="Arial" w:cs="Arial"/>
          <w:i/>
          <w:color w:val="000000"/>
          <w:sz w:val="20"/>
        </w:rPr>
        <w:t>id.</w:t>
      </w:r>
      <w:r>
        <w:rPr>
          <w:rFonts w:ascii="Arial" w:eastAsia="Arial" w:hAnsi="Arial" w:cs="Arial"/>
          <w:color w:val="000000"/>
          <w:sz w:val="20"/>
        </w:rPr>
        <w:t xml:space="preserve"> at 60-62 (Page ID #1078-80), meanwhile, castigated Kester's track record and summed up his objections bluntly: "Mr. Kester is asking the State to provide a certificate for him to open a pill mill that will hurt far more people than it helps," </w:t>
      </w:r>
      <w:r>
        <w:rPr>
          <w:rFonts w:ascii="Arial" w:eastAsia="Arial" w:hAnsi="Arial" w:cs="Arial"/>
          <w:i/>
          <w:color w:val="000000"/>
          <w:sz w:val="20"/>
        </w:rPr>
        <w:t>id.</w:t>
      </w:r>
      <w:r>
        <w:rPr>
          <w:rFonts w:ascii="Arial" w:eastAsia="Arial" w:hAnsi="Arial" w:cs="Arial"/>
          <w:color w:val="000000"/>
          <w:sz w:val="20"/>
        </w:rPr>
        <w:t xml:space="preserve"> at 70 (Page ID #1088).</w:t>
      </w:r>
    </w:p>
    <w:p w:rsidR="00E456CD" w:rsidRDefault="00000000">
      <w:pPr>
        <w:pStyle w:val="Normal31"/>
        <w:widowControl w:val="0"/>
        <w:spacing w:before="200" w:line="260" w:lineRule="atLeast"/>
        <w:jc w:val="both"/>
      </w:pPr>
      <w:bookmarkStart w:id="4940" w:name="Bookmark_para_12_27"/>
      <w:bookmarkEnd w:id="4940"/>
      <w:r>
        <w:rPr>
          <w:rFonts w:ascii="Arial" w:eastAsia="Arial" w:hAnsi="Arial" w:cs="Arial"/>
          <w:color w:val="000000"/>
          <w:sz w:val="20"/>
        </w:rPr>
        <w:t xml:space="preserve">More spoke against the proposal than spoke for it. Those speaking against the proposal included a person named Jerry Taylor, speaking "on behalf of Johnson City," </w:t>
      </w:r>
      <w:r>
        <w:rPr>
          <w:rFonts w:ascii="Arial" w:eastAsia="Arial" w:hAnsi="Arial" w:cs="Arial"/>
          <w:i/>
          <w:color w:val="000000"/>
          <w:sz w:val="20"/>
        </w:rPr>
        <w:t>id.</w:t>
      </w:r>
      <w:r>
        <w:rPr>
          <w:rFonts w:ascii="Arial" w:eastAsia="Arial" w:hAnsi="Arial" w:cs="Arial"/>
          <w:color w:val="000000"/>
          <w:sz w:val="20"/>
        </w:rPr>
        <w:t xml:space="preserve"> at 42 (Page ID #1060), as well as Johnson City's mayor, who was also a practicing oral surgeon, </w:t>
      </w:r>
      <w:r>
        <w:rPr>
          <w:rFonts w:ascii="Arial" w:eastAsia="Arial" w:hAnsi="Arial" w:cs="Arial"/>
          <w:i/>
          <w:color w:val="000000"/>
          <w:sz w:val="20"/>
        </w:rPr>
        <w:t>id.</w:t>
      </w:r>
      <w:r>
        <w:rPr>
          <w:rFonts w:ascii="Arial" w:eastAsia="Arial" w:hAnsi="Arial" w:cs="Arial"/>
          <w:color w:val="000000"/>
          <w:sz w:val="20"/>
        </w:rPr>
        <w:t xml:space="preserve"> at 53, 56 (Page ID #1070, 1073). None of the speakers said anything derogatory about people struggling with addiction problems or denied the need for effective treatment of opioid addiction.</w:t>
      </w:r>
    </w:p>
    <w:p w:rsidR="00E456CD" w:rsidRDefault="00000000">
      <w:pPr>
        <w:pStyle w:val="Normal31"/>
        <w:widowControl w:val="0"/>
        <w:spacing w:before="200" w:line="260" w:lineRule="atLeast"/>
        <w:jc w:val="both"/>
      </w:pPr>
      <w:bookmarkStart w:id="4941" w:name="Bookmark_para_13_25"/>
      <w:bookmarkEnd w:id="4941"/>
      <w:r>
        <w:rPr>
          <w:rFonts w:ascii="Arial" w:eastAsia="Arial" w:hAnsi="Arial" w:cs="Arial"/>
          <w:color w:val="000000"/>
          <w:sz w:val="20"/>
        </w:rPr>
        <w:t xml:space="preserve">On July 8, 2013, approximately two weeks after the HSDA board voted to deny TCH's application, TCH filed </w:t>
      </w:r>
      <w:r>
        <w:rPr>
          <w:rFonts w:ascii="Arial" w:eastAsia="Arial" w:hAnsi="Arial" w:cs="Arial"/>
          <w:i/>
          <w:color w:val="000000"/>
          <w:sz w:val="20"/>
        </w:rPr>
        <w:t>Tri-Cities II</w:t>
      </w:r>
      <w:r>
        <w:rPr>
          <w:rFonts w:ascii="Arial" w:eastAsia="Arial" w:hAnsi="Arial" w:cs="Arial"/>
          <w:color w:val="000000"/>
          <w:sz w:val="20"/>
        </w:rPr>
        <w:t xml:space="preserve">. In addition to raising again its zoning claims against Johnson City from </w:t>
      </w:r>
      <w:r>
        <w:rPr>
          <w:rFonts w:ascii="Arial" w:eastAsia="Arial" w:hAnsi="Arial" w:cs="Arial"/>
          <w:i/>
          <w:color w:val="000000"/>
          <w:sz w:val="20"/>
        </w:rPr>
        <w:t>Tri-Cities I</w:t>
      </w:r>
      <w:r>
        <w:rPr>
          <w:rFonts w:ascii="Arial" w:eastAsia="Arial" w:hAnsi="Arial" w:cs="Arial"/>
          <w:color w:val="000000"/>
          <w:sz w:val="20"/>
        </w:rPr>
        <w:t>, TCH this time also sued the HSDA, challenging both the statute governing the CON process [**11]  and the HSDA's denial of TCH's CON application, which TCH alleged constituted both intentional discrimination and a failure to make a reasonable modification.</w:t>
      </w:r>
      <w:r>
        <w:rPr>
          <w:rFonts w:ascii="Arial" w:eastAsia="Arial" w:hAnsi="Arial" w:cs="Arial"/>
          <w:vertAlign w:val="superscript"/>
        </w:rPr>
        <w:footnoteReference w:customMarkFollows="1" w:id="222"/>
        <w:t>11</w:t>
      </w:r>
      <w:r>
        <w:rPr>
          <w:rFonts w:ascii="Arial" w:eastAsia="Arial" w:hAnsi="Arial" w:cs="Arial"/>
          <w:i/>
          <w:color w:val="000000"/>
          <w:sz w:val="20"/>
        </w:rPr>
        <w:t>TCH II</w:t>
      </w:r>
      <w:r>
        <w:rPr>
          <w:rFonts w:ascii="Arial" w:eastAsia="Arial" w:hAnsi="Arial" w:cs="Arial"/>
          <w:color w:val="000000"/>
          <w:sz w:val="20"/>
        </w:rPr>
        <w:t xml:space="preserve"> R. 1 (Compl.) (Page ID #3-4, 59-71).</w:t>
      </w:r>
    </w:p>
    <w:p w:rsidR="00E456CD" w:rsidRDefault="00000000">
      <w:pPr>
        <w:pStyle w:val="Normal31"/>
        <w:widowControl w:val="0"/>
        <w:spacing w:before="240" w:line="260" w:lineRule="atLeast"/>
      </w:pPr>
      <w:r>
        <w:br/>
      </w:r>
      <w:r>
        <w:rPr>
          <w:rFonts w:ascii="Arial" w:eastAsia="Arial" w:hAnsi="Arial" w:cs="Arial"/>
          <w:b/>
          <w:color w:val="000000"/>
          <w:sz w:val="20"/>
        </w:rPr>
        <w:t xml:space="preserve">C. TCH's Administrative Appeal and </w:t>
      </w:r>
      <w:r>
        <w:rPr>
          <w:rFonts w:ascii="Arial" w:eastAsia="Arial" w:hAnsi="Arial" w:cs="Arial"/>
          <w:b/>
          <w:i/>
          <w:color w:val="000000"/>
          <w:sz w:val="20"/>
        </w:rPr>
        <w:t>Tri-Cities III</w:t>
      </w:r>
    </w:p>
    <w:p w:rsidR="00E456CD" w:rsidRDefault="00000000">
      <w:pPr>
        <w:pStyle w:val="Normal31"/>
        <w:widowControl w:val="0"/>
        <w:spacing w:before="200" w:line="260" w:lineRule="atLeast"/>
        <w:jc w:val="both"/>
      </w:pPr>
      <w:bookmarkStart w:id="4943" w:name="Bookmark_para_14_24"/>
      <w:bookmarkEnd w:id="4943"/>
      <w:r>
        <w:rPr>
          <w:rFonts w:ascii="Arial" w:eastAsia="Arial" w:hAnsi="Arial" w:cs="Arial"/>
          <w:color w:val="000000"/>
          <w:sz w:val="20"/>
        </w:rPr>
        <w:t xml:space="preserve">Later that July, TCH appealed the HSDA's denial of its CON application through the state's administrative process. </w:t>
      </w:r>
      <w:r>
        <w:rPr>
          <w:rFonts w:ascii="Arial" w:eastAsia="Arial" w:hAnsi="Arial" w:cs="Arial"/>
          <w:i/>
          <w:color w:val="000000"/>
          <w:sz w:val="20"/>
        </w:rPr>
        <w:t>See TCH III</w:t>
      </w:r>
      <w:r>
        <w:rPr>
          <w:rFonts w:ascii="Arial" w:eastAsia="Arial" w:hAnsi="Arial" w:cs="Arial"/>
          <w:color w:val="000000"/>
          <w:sz w:val="20"/>
        </w:rPr>
        <w:t xml:space="preserve"> R. 15-12 (Order Revoking Permission at 1) (Page ID #548). TCH argued that its pending federal lawsuit, however, had the potential to render the state administrative process unnecessary, and so Dunlap asked ALJ Kim Summers (another defendant-appellee here), for a stay, which ALJ Summers granted. </w:t>
      </w:r>
      <w:r>
        <w:rPr>
          <w:rFonts w:ascii="Arial" w:eastAsia="Arial" w:hAnsi="Arial" w:cs="Arial"/>
          <w:i/>
          <w:color w:val="000000"/>
          <w:sz w:val="20"/>
        </w:rPr>
        <w:t>Id.</w:t>
      </w:r>
      <w:r>
        <w:rPr>
          <w:rFonts w:ascii="Arial" w:eastAsia="Arial" w:hAnsi="Arial" w:cs="Arial"/>
          <w:color w:val="000000"/>
          <w:sz w:val="20"/>
        </w:rPr>
        <w:t xml:space="preserve"> at 2 (Page ID #549). ALJ Summers scheduled conference calls for the parties to check in, and Dunlap requested another stay in September, which ALJ Summers again granted. </w:t>
      </w:r>
      <w:r>
        <w:rPr>
          <w:rFonts w:ascii="Arial" w:eastAsia="Arial" w:hAnsi="Arial" w:cs="Arial"/>
          <w:i/>
          <w:color w:val="000000"/>
          <w:sz w:val="20"/>
        </w:rPr>
        <w:t>Id.</w:t>
      </w:r>
    </w:p>
    <w:p w:rsidR="00E456CD" w:rsidRDefault="00000000">
      <w:pPr>
        <w:pStyle w:val="Normal31"/>
        <w:widowControl w:val="0"/>
        <w:spacing w:before="200" w:line="260" w:lineRule="atLeast"/>
        <w:jc w:val="both"/>
      </w:pPr>
      <w:bookmarkStart w:id="4944" w:name="Bookmark_para_15_24"/>
      <w:bookmarkEnd w:id="4944"/>
      <w:r>
        <w:rPr>
          <w:rFonts w:ascii="Arial" w:eastAsia="Arial" w:hAnsi="Arial" w:cs="Arial"/>
          <w:color w:val="000000"/>
          <w:sz w:val="20"/>
        </w:rPr>
        <w:t xml:space="preserve">On January 8, with another conference call looming, ALJ Summers emailed the parties and asked if there were "any new developments to report." </w:t>
      </w:r>
      <w:r>
        <w:rPr>
          <w:rFonts w:ascii="Arial" w:eastAsia="Arial" w:hAnsi="Arial" w:cs="Arial"/>
          <w:i/>
          <w:color w:val="000000"/>
          <w:sz w:val="20"/>
        </w:rPr>
        <w:t>TCH III</w:t>
      </w:r>
      <w:r>
        <w:rPr>
          <w:rFonts w:ascii="Arial" w:eastAsia="Arial" w:hAnsi="Arial" w:cs="Arial"/>
          <w:color w:val="000000"/>
          <w:sz w:val="20"/>
        </w:rPr>
        <w:t xml:space="preserve"> R. 69-6 (Email Chain) (Page ID #2154). Dunlap responded: "No new developments. Motion for Summary Judgement [sic] and Motions to Dismiss are pending. I would suggest another 60 day stay in our matter." [**12]  </w:t>
      </w:r>
      <w:r>
        <w:rPr>
          <w:rFonts w:ascii="Arial" w:eastAsia="Arial" w:hAnsi="Arial" w:cs="Arial"/>
          <w:i/>
          <w:color w:val="000000"/>
          <w:sz w:val="20"/>
        </w:rPr>
        <w:t>Id.</w:t>
      </w:r>
    </w:p>
    <w:p w:rsidR="00E456CD" w:rsidRDefault="00000000">
      <w:pPr>
        <w:pStyle w:val="Normal31"/>
        <w:widowControl w:val="0"/>
        <w:spacing w:before="200" w:line="260" w:lineRule="atLeast"/>
        <w:jc w:val="both"/>
      </w:pPr>
      <w:bookmarkStart w:id="4945" w:name="Bookmark_para_16_23"/>
      <w:bookmarkEnd w:id="4945"/>
      <w:r>
        <w:rPr>
          <w:rFonts w:ascii="Arial" w:eastAsia="Arial" w:hAnsi="Arial" w:cs="Arial"/>
          <w:color w:val="000000"/>
          <w:sz w:val="20"/>
        </w:rPr>
        <w:t xml:space="preserve">The problem, as others saw it, was that there was something to report: just a few weeks before, the magistrate judge to whom </w:t>
      </w:r>
      <w:r>
        <w:rPr>
          <w:rFonts w:ascii="Arial" w:eastAsia="Arial" w:hAnsi="Arial" w:cs="Arial"/>
          <w:i/>
          <w:color w:val="000000"/>
          <w:sz w:val="20"/>
        </w:rPr>
        <w:t>Tri-Cities II</w:t>
      </w:r>
      <w:r>
        <w:rPr>
          <w:rFonts w:ascii="Arial" w:eastAsia="Arial" w:hAnsi="Arial" w:cs="Arial"/>
          <w:color w:val="000000"/>
          <w:sz w:val="20"/>
        </w:rPr>
        <w:t xml:space="preserve"> had been assigned had issued a scathing order, chastising TCH for "a transparent attempt to explain away rather obvious judge-shopping" and an argument  [*305]  that trod "perilously close to being offensive," </w:t>
      </w:r>
      <w:r>
        <w:rPr>
          <w:rFonts w:ascii="Arial" w:eastAsia="Arial" w:hAnsi="Arial" w:cs="Arial"/>
          <w:i/>
          <w:color w:val="000000"/>
          <w:sz w:val="20"/>
        </w:rPr>
        <w:t>TCH III</w:t>
      </w:r>
      <w:r>
        <w:rPr>
          <w:rFonts w:ascii="Arial" w:eastAsia="Arial" w:hAnsi="Arial" w:cs="Arial"/>
          <w:color w:val="000000"/>
          <w:sz w:val="20"/>
        </w:rPr>
        <w:t xml:space="preserve"> R. 31-5, Ex. F (Magistrate's Order at 2-4) (Page ID #1293-95), while suggesting that the district court would very likely deem </w:t>
      </w:r>
      <w:r>
        <w:rPr>
          <w:rFonts w:ascii="Arial" w:eastAsia="Arial" w:hAnsi="Arial" w:cs="Arial"/>
          <w:i/>
          <w:color w:val="000000"/>
          <w:sz w:val="20"/>
        </w:rPr>
        <w:t>Tri-Cities II</w:t>
      </w:r>
      <w:r>
        <w:rPr>
          <w:rFonts w:ascii="Arial" w:eastAsia="Arial" w:hAnsi="Arial" w:cs="Arial"/>
          <w:color w:val="000000"/>
          <w:sz w:val="20"/>
        </w:rPr>
        <w:t xml:space="preserve"> subject to the same ripeness problems that had felled </w:t>
      </w:r>
      <w:r>
        <w:rPr>
          <w:rFonts w:ascii="Arial" w:eastAsia="Arial" w:hAnsi="Arial" w:cs="Arial"/>
          <w:i/>
          <w:color w:val="000000"/>
          <w:sz w:val="20"/>
        </w:rPr>
        <w:t>Tri-Cities I, id.</w:t>
      </w:r>
      <w:r>
        <w:rPr>
          <w:rFonts w:ascii="Arial" w:eastAsia="Arial" w:hAnsi="Arial" w:cs="Arial"/>
          <w:color w:val="000000"/>
          <w:sz w:val="20"/>
        </w:rPr>
        <w:t xml:space="preserve"> at 5-6 (Page ID #1296-97). The HSDA's general counsel, Christoffersen, soon emailed ALJ Summers to dispute Dunlap's account, </w:t>
      </w:r>
      <w:r>
        <w:rPr>
          <w:rFonts w:ascii="Arial" w:eastAsia="Arial" w:hAnsi="Arial" w:cs="Arial"/>
          <w:i/>
          <w:color w:val="000000"/>
          <w:sz w:val="20"/>
        </w:rPr>
        <w:t>TCH III</w:t>
      </w:r>
      <w:r>
        <w:rPr>
          <w:rFonts w:ascii="Arial" w:eastAsia="Arial" w:hAnsi="Arial" w:cs="Arial"/>
          <w:color w:val="000000"/>
          <w:sz w:val="20"/>
        </w:rPr>
        <w:t xml:space="preserve"> R. 69-6 (Email Chain) (Page ID #2154), and subsequently filed a motion to set a hearing in the administrative appeal, attaching the magistrate judge's order, </w:t>
      </w:r>
      <w:r>
        <w:rPr>
          <w:rFonts w:ascii="Arial" w:eastAsia="Arial" w:hAnsi="Arial" w:cs="Arial"/>
          <w:i/>
          <w:color w:val="000000"/>
          <w:sz w:val="20"/>
        </w:rPr>
        <w:t>see TCH III</w:t>
      </w:r>
      <w:r>
        <w:rPr>
          <w:rFonts w:ascii="Arial" w:eastAsia="Arial" w:hAnsi="Arial" w:cs="Arial"/>
          <w:color w:val="000000"/>
          <w:sz w:val="20"/>
        </w:rPr>
        <w:t xml:space="preserve"> R. 31-5 (Motion to Set Hr'g) (Page ID #1226-28, 1292-97).</w:t>
      </w:r>
    </w:p>
    <w:p w:rsidR="00E456CD" w:rsidRDefault="00000000">
      <w:pPr>
        <w:pStyle w:val="Normal31"/>
        <w:widowControl w:val="0"/>
        <w:spacing w:before="200" w:line="260" w:lineRule="atLeast"/>
        <w:jc w:val="both"/>
      </w:pPr>
      <w:bookmarkStart w:id="4946" w:name="Bookmark_para_17_22"/>
      <w:bookmarkEnd w:id="4946"/>
      <w:r>
        <w:rPr>
          <w:rFonts w:ascii="Arial" w:eastAsia="Arial" w:hAnsi="Arial" w:cs="Arial"/>
          <w:color w:val="000000"/>
          <w:sz w:val="20"/>
        </w:rPr>
        <w:t xml:space="preserve">A few days later, Dunlap filed an objection to the HSDA's motion. </w:t>
      </w:r>
      <w:r>
        <w:rPr>
          <w:rFonts w:ascii="Arial" w:eastAsia="Arial" w:hAnsi="Arial" w:cs="Arial"/>
          <w:i/>
          <w:color w:val="000000"/>
          <w:sz w:val="20"/>
        </w:rPr>
        <w:t>TCH III</w:t>
      </w:r>
      <w:r>
        <w:rPr>
          <w:rFonts w:ascii="Arial" w:eastAsia="Arial" w:hAnsi="Arial" w:cs="Arial"/>
          <w:color w:val="000000"/>
          <w:sz w:val="20"/>
        </w:rPr>
        <w:t xml:space="preserve"> R. 15-10 (Objection to Motion to Set Hr'g at 1, 21) (Page ID #521, 541). In its opening section, he wrote:</w:t>
      </w:r>
    </w:p>
    <w:p w:rsidR="00E456CD" w:rsidRDefault="00000000">
      <w:pPr>
        <w:pStyle w:val="Normal31"/>
        <w:widowControl w:val="0"/>
        <w:spacing w:before="200" w:line="260" w:lineRule="atLeast"/>
        <w:ind w:left="400"/>
        <w:jc w:val="both"/>
      </w:pPr>
      <w:bookmarkStart w:id="4947" w:name="Bookmark_para_18_21"/>
      <w:bookmarkEnd w:id="4947"/>
      <w:r>
        <w:rPr>
          <w:rFonts w:ascii="Arial" w:eastAsia="Arial" w:hAnsi="Arial" w:cs="Arial"/>
          <w:color w:val="000000"/>
          <w:sz w:val="20"/>
        </w:rPr>
        <w:t>In filing its Motion to Set Hearing, HSDA is attempting to make this tribunal the "fixer" by illegally providing HSDA cover [**13]  in what amounts to its blatant violations of the [ADA]. HSDA is facing a virtually certain loss in federal court . . . for its blatant violations of the ADA . . . . HSDA also faces a pending investigation, and a seemingly imminent enforcement action against it, by the United States Department of Justice. Petitioner suggests that HSDA would love nothing more than to have this tribunal "enter the fight," create a diversion, and take the heat off HSDA and somehow "fix" HSDA's unfixable position. . . .</w:t>
      </w:r>
    </w:p>
    <w:p w:rsidR="00E456CD" w:rsidRDefault="00000000">
      <w:pPr>
        <w:pStyle w:val="Normal31"/>
        <w:widowControl w:val="0"/>
        <w:spacing w:before="200" w:line="260" w:lineRule="atLeast"/>
        <w:ind w:left="400"/>
        <w:jc w:val="both"/>
      </w:pPr>
      <w:bookmarkStart w:id="4948" w:name="Bookmark_para_19_20"/>
      <w:bookmarkEnd w:id="4948"/>
      <w:r>
        <w:rPr>
          <w:rFonts w:ascii="Arial" w:eastAsia="Arial" w:hAnsi="Arial" w:cs="Arial"/>
          <w:color w:val="000000"/>
          <w:sz w:val="20"/>
        </w:rPr>
        <w:t xml:space="preserve">In addition, if this tribunal does "take HSDA's bait" and takes any action to decide this appeal before a federal court or DOJ has spoken on this case, including scheduling a hearing, Petitioner </w:t>
      </w:r>
      <w:r>
        <w:rPr>
          <w:rFonts w:ascii="Arial" w:eastAsia="Arial" w:hAnsi="Arial" w:cs="Arial"/>
          <w:color w:val="000000"/>
          <w:sz w:val="20"/>
          <w:u w:val="single"/>
        </w:rPr>
        <w:t>respectfully</w:t>
      </w:r>
      <w:r>
        <w:rPr>
          <w:rFonts w:ascii="Arial" w:eastAsia="Arial" w:hAnsi="Arial" w:cs="Arial"/>
          <w:color w:val="000000"/>
          <w:sz w:val="20"/>
        </w:rPr>
        <w:t xml:space="preserve"> indicates that it will have no choice but to join Your Honor, in an official capacity, and this tribunal, as defendants in the pending federal court action.</w:t>
      </w:r>
    </w:p>
    <w:p w:rsidR="00E456CD" w:rsidRDefault="00000000">
      <w:pPr>
        <w:pStyle w:val="Normal31"/>
        <w:widowControl w:val="0"/>
        <w:spacing w:before="200" w:line="260" w:lineRule="atLeast"/>
        <w:ind w:left="400"/>
        <w:jc w:val="both"/>
      </w:pPr>
      <w:bookmarkStart w:id="4949" w:name="Bookmark_para_20_19"/>
      <w:bookmarkEnd w:id="4949"/>
      <w:r>
        <w:rPr>
          <w:rFonts w:ascii="Arial" w:eastAsia="Arial" w:hAnsi="Arial" w:cs="Arial"/>
          <w:color w:val="000000"/>
          <w:sz w:val="20"/>
        </w:rPr>
        <w:t xml:space="preserve">Finally, Petitioner </w:t>
      </w:r>
      <w:r>
        <w:rPr>
          <w:rFonts w:ascii="Arial" w:eastAsia="Arial" w:hAnsi="Arial" w:cs="Arial"/>
          <w:color w:val="000000"/>
          <w:sz w:val="20"/>
          <w:u w:val="single"/>
        </w:rPr>
        <w:t>respectfully</w:t>
      </w:r>
      <w:r>
        <w:rPr>
          <w:rFonts w:ascii="Arial" w:eastAsia="Arial" w:hAnsi="Arial" w:cs="Arial"/>
          <w:color w:val="000000"/>
          <w:sz w:val="20"/>
        </w:rPr>
        <w:t xml:space="preserve"> submits that, under the ADA, Your Honor and this tribunal are required to offer Petitioner a reasonable modification to allow the CON to be issued. Petition [sic] </w:t>
      </w:r>
      <w:r>
        <w:rPr>
          <w:rFonts w:ascii="Arial" w:eastAsia="Arial" w:hAnsi="Arial" w:cs="Arial"/>
          <w:color w:val="000000"/>
          <w:sz w:val="20"/>
          <w:u w:val="single"/>
        </w:rPr>
        <w:t>respectfully</w:t>
      </w:r>
      <w:r>
        <w:rPr>
          <w:rFonts w:ascii="Arial" w:eastAsia="Arial" w:hAnsi="Arial" w:cs="Arial"/>
          <w:color w:val="000000"/>
          <w:sz w:val="20"/>
        </w:rPr>
        <w:t xml:space="preserve"> submits that Your Honor's and this tribunal's continuing failure to do this creates a cause of action that Petitioner may bring [**14]  against Your Honor, and the tribunal itself, and may well move DOJ to include Your Honor and this tribunal as respondents in an ADA enforcement action.</w:t>
      </w:r>
    </w:p>
    <w:p w:rsidR="00E456CD" w:rsidRDefault="00000000">
      <w:pPr>
        <w:pStyle w:val="Normal31"/>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at 3-4 (Page ID #523-24).</w:t>
      </w:r>
    </w:p>
    <w:p w:rsidR="00E456CD" w:rsidRDefault="00000000">
      <w:pPr>
        <w:pStyle w:val="Normal31"/>
        <w:widowControl w:val="0"/>
        <w:spacing w:before="200" w:line="260" w:lineRule="atLeast"/>
        <w:jc w:val="both"/>
      </w:pPr>
      <w:bookmarkStart w:id="4950" w:name="Bookmark_para_21_18"/>
      <w:bookmarkEnd w:id="4950"/>
      <w:r>
        <w:rPr>
          <w:rFonts w:ascii="Arial" w:eastAsia="Arial" w:hAnsi="Arial" w:cs="Arial"/>
          <w:color w:val="000000"/>
          <w:sz w:val="20"/>
        </w:rPr>
        <w:t xml:space="preserve">On March 14, 2014, ALJ Summers revoked Dunlap's permission to appear </w:t>
      </w:r>
      <w:r>
        <w:rPr>
          <w:rFonts w:ascii="Arial" w:eastAsia="Arial" w:hAnsi="Arial" w:cs="Arial"/>
          <w:i/>
          <w:color w:val="000000"/>
          <w:sz w:val="20"/>
        </w:rPr>
        <w:t>pro hac vice. TCH III</w:t>
      </w:r>
      <w:r>
        <w:rPr>
          <w:rFonts w:ascii="Arial" w:eastAsia="Arial" w:hAnsi="Arial" w:cs="Arial"/>
          <w:color w:val="000000"/>
          <w:sz w:val="20"/>
        </w:rPr>
        <w:t xml:space="preserve"> R. 15-12 (Order Revoking Permission at 1, 4) (Page ID #548, 551). In her order, ALJ Summers detailed Dunlap's conduct and concluded that his "coercion and misrepresentations are a flagrant attempt to improperly influence a judge in violation of Rules 3.03 [candor], 3.05 [improper influence], and 8.04 [misconduct] of the Tennessee Rules of Professional Conduct, as well as Tenn. Code Ann. § 39-14-112 [extortion]." </w:t>
      </w:r>
      <w:r>
        <w:rPr>
          <w:rFonts w:ascii="Arial" w:eastAsia="Arial" w:hAnsi="Arial" w:cs="Arial"/>
          <w:i/>
          <w:color w:val="000000"/>
          <w:sz w:val="20"/>
        </w:rPr>
        <w:t>Id.</w:t>
      </w:r>
      <w:r>
        <w:rPr>
          <w:rFonts w:ascii="Arial" w:eastAsia="Arial" w:hAnsi="Arial" w:cs="Arial"/>
          <w:color w:val="000000"/>
          <w:sz w:val="20"/>
        </w:rPr>
        <w:t xml:space="preserve"> at 10 (Page ID #557).</w:t>
      </w:r>
    </w:p>
    <w:p w:rsidR="00E456CD" w:rsidRDefault="00000000">
      <w:pPr>
        <w:pStyle w:val="Normal31"/>
        <w:widowControl w:val="0"/>
        <w:spacing w:before="200" w:line="260" w:lineRule="atLeast"/>
        <w:jc w:val="both"/>
      </w:pPr>
      <w:bookmarkStart w:id="4951" w:name="Bookmark_para_22_18"/>
      <w:bookmarkEnd w:id="4951"/>
      <w:r>
        <w:rPr>
          <w:rFonts w:ascii="Arial" w:eastAsia="Arial" w:hAnsi="Arial" w:cs="Arial"/>
          <w:color w:val="000000"/>
          <w:sz w:val="20"/>
        </w:rPr>
        <w:t xml:space="preserve">That revocation prompted TCH's third federal lawsuit, </w:t>
      </w:r>
      <w:r>
        <w:rPr>
          <w:rFonts w:ascii="Arial" w:eastAsia="Arial" w:hAnsi="Arial" w:cs="Arial"/>
          <w:i/>
          <w:color w:val="000000"/>
          <w:sz w:val="20"/>
        </w:rPr>
        <w:t>Tri-Cities Holdings LLC v. Tenn. Admin. Procedures Div. et al.</w:t>
      </w:r>
      <w:r>
        <w:rPr>
          <w:rFonts w:ascii="Arial" w:eastAsia="Arial" w:hAnsi="Arial" w:cs="Arial"/>
          <w:color w:val="000000"/>
          <w:sz w:val="20"/>
        </w:rPr>
        <w:t xml:space="preserve"> ("</w:t>
      </w:r>
      <w:r>
        <w:rPr>
          <w:rFonts w:ascii="Arial" w:eastAsia="Arial" w:hAnsi="Arial" w:cs="Arial"/>
          <w:i/>
          <w:color w:val="000000"/>
          <w:sz w:val="20"/>
        </w:rPr>
        <w:t>Tri-Cities III</w:t>
      </w:r>
      <w:r>
        <w:rPr>
          <w:rFonts w:ascii="Arial" w:eastAsia="Arial" w:hAnsi="Arial" w:cs="Arial"/>
          <w:color w:val="000000"/>
          <w:sz w:val="20"/>
        </w:rPr>
        <w:t xml:space="preserve">"), No. 2:14-cv-233, which is the other case in this consolidated appeal (No. 17-5628). In </w:t>
      </w:r>
      <w:r>
        <w:rPr>
          <w:rFonts w:ascii="Arial" w:eastAsia="Arial" w:hAnsi="Arial" w:cs="Arial"/>
          <w:i/>
          <w:color w:val="000000"/>
          <w:sz w:val="20"/>
        </w:rPr>
        <w:t>Tri-Cities III</w:t>
      </w:r>
      <w:r>
        <w:rPr>
          <w:rFonts w:ascii="Arial" w:eastAsia="Arial" w:hAnsi="Arial" w:cs="Arial"/>
          <w:color w:val="000000"/>
          <w:sz w:val="20"/>
        </w:rPr>
        <w:t xml:space="preserve">, TCH named as defendants ALJ Summers, DMHSAS, and a range of related state actors and entities (all of whom are defendants-appellees here). TCH alleged that all involved had violated the ADA and RA by failing to make reasonable modifications, and it alleged further that ALJ Summers and related state entities [**15]  had violated those statutes by retaliating against Dunlap in revoking his </w:t>
      </w:r>
      <w:r>
        <w:rPr>
          <w:rFonts w:ascii="Arial" w:eastAsia="Arial" w:hAnsi="Arial" w:cs="Arial"/>
          <w:i/>
          <w:color w:val="000000"/>
          <w:sz w:val="20"/>
        </w:rPr>
        <w:t>pro hac vice</w:t>
      </w:r>
      <w:r>
        <w:rPr>
          <w:rFonts w:ascii="Arial" w:eastAsia="Arial" w:hAnsi="Arial" w:cs="Arial"/>
          <w:color w:val="000000"/>
          <w:sz w:val="20"/>
        </w:rPr>
        <w:t xml:space="preserve"> admission.</w:t>
      </w:r>
      <w:r>
        <w:rPr>
          <w:rFonts w:ascii="Arial" w:eastAsia="Arial" w:hAnsi="Arial" w:cs="Arial"/>
          <w:vertAlign w:val="superscript"/>
        </w:rPr>
        <w:footnoteReference w:customMarkFollows="1" w:id="223"/>
        <w:t>12</w:t>
      </w:r>
      <w:r>
        <w:rPr>
          <w:rFonts w:ascii="Arial" w:eastAsia="Arial" w:hAnsi="Arial" w:cs="Arial"/>
          <w:color w:val="000000"/>
          <w:sz w:val="20"/>
        </w:rPr>
        <w:t xml:space="preserve"> [*306]  </w:t>
      </w:r>
      <w:r>
        <w:rPr>
          <w:rFonts w:ascii="Arial" w:eastAsia="Arial" w:hAnsi="Arial" w:cs="Arial"/>
          <w:i/>
          <w:color w:val="000000"/>
          <w:sz w:val="20"/>
        </w:rPr>
        <w:t>TCH III</w:t>
      </w:r>
      <w:r>
        <w:rPr>
          <w:rFonts w:ascii="Arial" w:eastAsia="Arial" w:hAnsi="Arial" w:cs="Arial"/>
          <w:color w:val="000000"/>
          <w:sz w:val="20"/>
        </w:rPr>
        <w:t xml:space="preserve"> R. 1 (Compl.) (Page ID #1, 4, 40-57). The district court stayed that case on October 28 while TCH pressed various appeals. </w:t>
      </w:r>
      <w:r>
        <w:rPr>
          <w:rFonts w:ascii="Arial" w:eastAsia="Arial" w:hAnsi="Arial" w:cs="Arial"/>
          <w:i/>
          <w:color w:val="000000"/>
          <w:sz w:val="20"/>
        </w:rPr>
        <w:t>TCH III</w:t>
      </w:r>
      <w:r>
        <w:rPr>
          <w:rFonts w:ascii="Arial" w:eastAsia="Arial" w:hAnsi="Arial" w:cs="Arial"/>
          <w:color w:val="000000"/>
          <w:sz w:val="20"/>
        </w:rPr>
        <w:t xml:space="preserve"> R. 50 (Dist. Ct. Order) (Page ID #1399-1400).</w:t>
      </w:r>
    </w:p>
    <w:p w:rsidR="00E456CD" w:rsidRDefault="00000000">
      <w:pPr>
        <w:pStyle w:val="Normal31"/>
        <w:widowControl w:val="0"/>
        <w:spacing w:before="240" w:line="260" w:lineRule="atLeast"/>
      </w:pPr>
      <w:r>
        <w:br/>
      </w:r>
      <w:r>
        <w:rPr>
          <w:rFonts w:ascii="Arial" w:eastAsia="Arial" w:hAnsi="Arial" w:cs="Arial"/>
          <w:b/>
          <w:color w:val="000000"/>
          <w:sz w:val="20"/>
        </w:rPr>
        <w:t>D. TCH's Appeals and Summary Judgment in the District Court</w:t>
      </w:r>
    </w:p>
    <w:p w:rsidR="00E456CD" w:rsidRDefault="00000000">
      <w:pPr>
        <w:pStyle w:val="Normal31"/>
        <w:widowControl w:val="0"/>
        <w:spacing w:before="200" w:line="260" w:lineRule="atLeast"/>
        <w:jc w:val="both"/>
      </w:pPr>
      <w:bookmarkStart w:id="4953" w:name="Bookmark_para_23_18"/>
      <w:bookmarkEnd w:id="4953"/>
      <w:r>
        <w:rPr>
          <w:rFonts w:ascii="Arial" w:eastAsia="Arial" w:hAnsi="Arial" w:cs="Arial"/>
          <w:color w:val="000000"/>
          <w:sz w:val="20"/>
        </w:rPr>
        <w:t xml:space="preserve">None of TCH's appeals was fruitful. </w:t>
      </w:r>
      <w:bookmarkStart w:id="4954" w:name="Bookmark_I5RYPR0F28T4Y70040000400"/>
      <w:bookmarkEnd w:id="4954"/>
      <w:r>
        <w:rPr>
          <w:rFonts w:ascii="Arial" w:eastAsia="Arial" w:hAnsi="Arial" w:cs="Arial"/>
          <w:color w:val="000000"/>
          <w:sz w:val="20"/>
        </w:rPr>
        <w:t xml:space="preserve">The Tennessee Chancery Court affirmed ALJ Summers's revocation of Dunlap's admission. </w:t>
      </w:r>
      <w:r>
        <w:rPr>
          <w:rFonts w:ascii="Arial" w:eastAsia="Arial" w:hAnsi="Arial" w:cs="Arial"/>
          <w:i/>
          <w:color w:val="000000"/>
          <w:sz w:val="20"/>
        </w:rPr>
        <w:t>TCH III</w:t>
      </w:r>
      <w:r>
        <w:rPr>
          <w:rFonts w:ascii="Arial" w:eastAsia="Arial" w:hAnsi="Arial" w:cs="Arial"/>
          <w:color w:val="000000"/>
          <w:sz w:val="20"/>
        </w:rPr>
        <w:t xml:space="preserve"> R. 51 (Chancery Ct. Op. at 1, 27) (Page ID #1401, 1427). The Tennessee Court of Appeals affirmed the Chancery Court's ruling, </w:t>
      </w:r>
      <w:bookmarkStart w:id="4955" w:name="Bookmark_I5RYPR0F28T4Y70030000400"/>
      <w:bookmarkEnd w:id="4955"/>
      <w:r>
        <w:rPr>
          <w:rFonts w:ascii="Arial" w:eastAsia="Arial" w:hAnsi="Arial" w:cs="Arial"/>
          <w:i/>
          <w:color w:val="000000"/>
          <w:sz w:val="20"/>
        </w:rPr>
        <w:t>Tri-Cities Holdings LLC v. Tenn. Health Servs. &amp; Dev. Agency</w:t>
      </w:r>
      <w:r>
        <w:rPr>
          <w:rFonts w:ascii="Arial" w:eastAsia="Arial" w:hAnsi="Arial" w:cs="Arial"/>
          <w:color w:val="000000"/>
          <w:sz w:val="20"/>
        </w:rPr>
        <w:t xml:space="preserve">, No. M2015-00058-COA-R3-CV, 2016 Tenn. App. LEXIS 135, 2016 WL 721067 (Tenn. Ct. App. Feb. 22, 2016), and the Tennessee Supreme Court denied TCH permission to appeal that affirmance, </w:t>
      </w:r>
      <w:r>
        <w:rPr>
          <w:rFonts w:ascii="Arial" w:eastAsia="Arial" w:hAnsi="Arial" w:cs="Arial"/>
          <w:i/>
          <w:color w:val="000000"/>
          <w:sz w:val="20"/>
        </w:rPr>
        <w:t>TCH III</w:t>
      </w:r>
      <w:r>
        <w:rPr>
          <w:rFonts w:ascii="Arial" w:eastAsia="Arial" w:hAnsi="Arial" w:cs="Arial"/>
          <w:color w:val="000000"/>
          <w:sz w:val="20"/>
        </w:rPr>
        <w:t xml:space="preserve"> R. 58 (Order at 1) (Page ID #1592).</w:t>
      </w:r>
    </w:p>
    <w:p w:rsidR="00E456CD" w:rsidRDefault="00000000">
      <w:pPr>
        <w:pStyle w:val="Normal31"/>
        <w:widowControl w:val="0"/>
        <w:spacing w:before="200" w:line="260" w:lineRule="atLeast"/>
        <w:jc w:val="both"/>
      </w:pPr>
      <w:bookmarkStart w:id="4956" w:name="Bookmark_para_24_17"/>
      <w:bookmarkStart w:id="4957" w:name="Bookmark_I5RYPR0F2D6MVM0010000400"/>
      <w:bookmarkEnd w:id="4956"/>
      <w:bookmarkEnd w:id="4957"/>
      <w:r>
        <w:rPr>
          <w:rFonts w:ascii="Arial" w:eastAsia="Arial" w:hAnsi="Arial" w:cs="Arial"/>
          <w:color w:val="000000"/>
          <w:sz w:val="20"/>
        </w:rPr>
        <w:t xml:space="preserve">Our court, meanwhile, ruled that we lacked jurisdiction to review the denial of TCH's motion for partial summary judgment in </w:t>
      </w:r>
      <w:bookmarkStart w:id="4958" w:name="Bookmark_I5RYPR0F28T4Y70050000400"/>
      <w:bookmarkEnd w:id="4958"/>
      <w:r>
        <w:rPr>
          <w:rFonts w:ascii="Arial" w:eastAsia="Arial" w:hAnsi="Arial" w:cs="Arial"/>
          <w:i/>
          <w:color w:val="000000"/>
          <w:sz w:val="20"/>
        </w:rPr>
        <w:t>Tri-Cities II. Tri-Cities Holdings LLC v. Tenn. Health Servs. &amp; Dev. Agency</w:t>
      </w:r>
      <w:r>
        <w:rPr>
          <w:rFonts w:ascii="Arial" w:eastAsia="Arial" w:hAnsi="Arial" w:cs="Arial"/>
          <w:color w:val="000000"/>
          <w:sz w:val="20"/>
        </w:rPr>
        <w:t xml:space="preserve">, 598 F. App'x 404, 408 (6th Cir. 2015). We also affirmed denial of TCH's motion for a preliminary injunction in that case, noting that the district court had deemed TCH's claims unripe and concluding that TCH had "not shown any error in that conclusion." </w:t>
      </w:r>
      <w:r>
        <w:rPr>
          <w:rFonts w:ascii="Arial" w:eastAsia="Arial" w:hAnsi="Arial" w:cs="Arial"/>
          <w:i/>
          <w:color w:val="000000"/>
          <w:sz w:val="20"/>
        </w:rPr>
        <w:t>Id.</w:t>
      </w:r>
    </w:p>
    <w:p w:rsidR="00E456CD" w:rsidRDefault="00000000">
      <w:pPr>
        <w:pStyle w:val="Normal31"/>
        <w:widowControl w:val="0"/>
        <w:spacing w:before="200" w:line="260" w:lineRule="atLeast"/>
        <w:jc w:val="both"/>
      </w:pPr>
      <w:bookmarkStart w:id="4959" w:name="Bookmark_para_25_17"/>
      <w:bookmarkEnd w:id="4959"/>
      <w:r>
        <w:rPr>
          <w:rFonts w:ascii="Arial" w:eastAsia="Arial" w:hAnsi="Arial" w:cs="Arial"/>
          <w:color w:val="000000"/>
          <w:sz w:val="20"/>
        </w:rPr>
        <w:t xml:space="preserve">Ultimately, on August 15, 2016, TCH moved [**16]  to dismiss its administrative appeal "because it was unable to obtain an extension of its lease option" for its proposed methadoneclinic site and could not find any "other financially viable locations for a clinic." </w:t>
      </w:r>
      <w:r>
        <w:rPr>
          <w:rFonts w:ascii="Arial" w:eastAsia="Arial" w:hAnsi="Arial" w:cs="Arial"/>
          <w:i/>
          <w:color w:val="000000"/>
          <w:sz w:val="20"/>
        </w:rPr>
        <w:t>TCH III</w:t>
      </w:r>
      <w:r>
        <w:rPr>
          <w:rFonts w:ascii="Arial" w:eastAsia="Arial" w:hAnsi="Arial" w:cs="Arial"/>
          <w:color w:val="000000"/>
          <w:sz w:val="20"/>
        </w:rPr>
        <w:t xml:space="preserve"> R. 72-2 (Pet.'s Mot. to Dismiss Appeal at 1) (Page ID #2282). Around the same time, the HSDA granted a CON for "a joint venture owned equally by Mountain States Health Alliance and East Tennessee State University Research Foundation" to establish a methadone clinic in the Johnson City area. </w:t>
      </w:r>
      <w:r>
        <w:rPr>
          <w:rFonts w:ascii="Arial" w:eastAsia="Arial" w:hAnsi="Arial" w:cs="Arial"/>
          <w:i/>
          <w:color w:val="000000"/>
          <w:sz w:val="20"/>
        </w:rPr>
        <w:t>TCH II</w:t>
      </w:r>
      <w:r>
        <w:rPr>
          <w:rFonts w:ascii="Arial" w:eastAsia="Arial" w:hAnsi="Arial" w:cs="Arial"/>
          <w:color w:val="000000"/>
          <w:sz w:val="20"/>
        </w:rPr>
        <w:t xml:space="preserve"> R. 214-9 (Tr. of MSHA CON Application Hr'g at 8, 82) (Page ID #6057, 6131). The parties agree that this new clinic opened in September 2017. </w:t>
      </w:r>
      <w:r>
        <w:rPr>
          <w:rFonts w:ascii="Arial" w:eastAsia="Arial" w:hAnsi="Arial" w:cs="Arial"/>
          <w:i/>
          <w:color w:val="000000"/>
          <w:sz w:val="20"/>
        </w:rPr>
        <w:t>TCH II</w:t>
      </w:r>
      <w:r>
        <w:rPr>
          <w:rFonts w:ascii="Arial" w:eastAsia="Arial" w:hAnsi="Arial" w:cs="Arial"/>
          <w:color w:val="000000"/>
          <w:sz w:val="20"/>
        </w:rPr>
        <w:t xml:space="preserve"> Appellants' Br. at 5 n.4; </w:t>
      </w:r>
      <w:r>
        <w:rPr>
          <w:rFonts w:ascii="Arial" w:eastAsia="Arial" w:hAnsi="Arial" w:cs="Arial"/>
          <w:i/>
          <w:color w:val="000000"/>
          <w:sz w:val="20"/>
        </w:rPr>
        <w:t>TCH II</w:t>
      </w:r>
      <w:r>
        <w:rPr>
          <w:rFonts w:ascii="Arial" w:eastAsia="Arial" w:hAnsi="Arial" w:cs="Arial"/>
          <w:color w:val="000000"/>
          <w:sz w:val="20"/>
        </w:rPr>
        <w:t xml:space="preserve"> Johnson City Appellees' Br. at 49.</w:t>
      </w:r>
    </w:p>
    <w:p w:rsidR="00E456CD" w:rsidRDefault="00000000">
      <w:pPr>
        <w:pStyle w:val="Normal31"/>
        <w:widowControl w:val="0"/>
        <w:spacing w:before="200" w:line="260" w:lineRule="atLeast"/>
        <w:jc w:val="both"/>
      </w:pPr>
      <w:bookmarkStart w:id="4960" w:name="Bookmark_para_26_16"/>
      <w:bookmarkEnd w:id="4960"/>
      <w:r>
        <w:rPr>
          <w:rFonts w:ascii="Arial" w:eastAsia="Arial" w:hAnsi="Arial" w:cs="Arial"/>
          <w:color w:val="000000"/>
          <w:sz w:val="20"/>
        </w:rPr>
        <w:t xml:space="preserve">In October 2016, TCH appeared before the district court in </w:t>
      </w:r>
      <w:r>
        <w:rPr>
          <w:rFonts w:ascii="Arial" w:eastAsia="Arial" w:hAnsi="Arial" w:cs="Arial"/>
          <w:i/>
          <w:color w:val="000000"/>
          <w:sz w:val="20"/>
        </w:rPr>
        <w:t>Tri-Cities II</w:t>
      </w:r>
      <w:r>
        <w:rPr>
          <w:rFonts w:ascii="Arial" w:eastAsia="Arial" w:hAnsi="Arial" w:cs="Arial"/>
          <w:color w:val="000000"/>
          <w:sz w:val="20"/>
        </w:rPr>
        <w:t xml:space="preserve">, at which point the district court addressed a motion by TCH to file a third amended complaint and a motion from a third Jane Doe plaintiff to intervene. R. 251 (Hr'g Tr. at 3, 12) (Page ID #6965, 6974). The district court ultimately denied both motions, and it also lifted stays that been granted in both </w:t>
      </w:r>
      <w:r>
        <w:rPr>
          <w:rFonts w:ascii="Arial" w:eastAsia="Arial" w:hAnsi="Arial" w:cs="Arial"/>
          <w:i/>
          <w:color w:val="000000"/>
          <w:sz w:val="20"/>
        </w:rPr>
        <w:t>Tri-Cities II</w:t>
      </w:r>
      <w:r>
        <w:rPr>
          <w:rFonts w:ascii="Arial" w:eastAsia="Arial" w:hAnsi="Arial" w:cs="Arial"/>
          <w:color w:val="000000"/>
          <w:sz w:val="20"/>
        </w:rPr>
        <w:t xml:space="preserve"> and </w:t>
      </w:r>
      <w:r>
        <w:rPr>
          <w:rFonts w:ascii="Arial" w:eastAsia="Arial" w:hAnsi="Arial" w:cs="Arial"/>
          <w:i/>
          <w:color w:val="000000"/>
          <w:sz w:val="20"/>
        </w:rPr>
        <w:t>Tri-Cities III</w:t>
      </w:r>
      <w:r>
        <w:rPr>
          <w:rFonts w:ascii="Arial" w:eastAsia="Arial" w:hAnsi="Arial" w:cs="Arial"/>
          <w:color w:val="000000"/>
          <w:sz w:val="20"/>
        </w:rPr>
        <w:t xml:space="preserve">. R. 205 (Dist. Ct. Order) (Page ID #5447); </w:t>
      </w:r>
      <w:r>
        <w:rPr>
          <w:rFonts w:ascii="Arial" w:eastAsia="Arial" w:hAnsi="Arial" w:cs="Arial"/>
          <w:i/>
          <w:color w:val="000000"/>
          <w:sz w:val="20"/>
        </w:rPr>
        <w:t>TCH III [**17] </w:t>
      </w:r>
      <w:r>
        <w:rPr>
          <w:rFonts w:ascii="Arial" w:eastAsia="Arial" w:hAnsi="Arial" w:cs="Arial"/>
          <w:color w:val="000000"/>
          <w:sz w:val="20"/>
        </w:rPr>
        <w:t xml:space="preserve"> R. 62 (Dist. Ct. Order) (Page ID #1607). The parties then moved for summary judgment in both cases, and the district court granted summary judgment for all defendants in each. </w:t>
      </w:r>
      <w:r>
        <w:rPr>
          <w:rFonts w:ascii="Arial" w:eastAsia="Arial" w:hAnsi="Arial" w:cs="Arial"/>
          <w:i/>
          <w:color w:val="000000"/>
          <w:sz w:val="20"/>
        </w:rPr>
        <w:t>TCH III</w:t>
      </w:r>
      <w:r>
        <w:rPr>
          <w:rFonts w:ascii="Arial" w:eastAsia="Arial" w:hAnsi="Arial" w:cs="Arial"/>
          <w:color w:val="000000"/>
          <w:sz w:val="20"/>
        </w:rPr>
        <w:t xml:space="preserve"> R. 86 (Dist. Ct. Op. &amp; Order) (Page ID #2433-34); </w:t>
      </w:r>
      <w:r>
        <w:rPr>
          <w:rFonts w:ascii="Arial" w:eastAsia="Arial" w:hAnsi="Arial" w:cs="Arial"/>
          <w:i/>
          <w:color w:val="000000"/>
          <w:sz w:val="20"/>
        </w:rPr>
        <w:t>TCH II</w:t>
      </w:r>
      <w:r>
        <w:rPr>
          <w:rFonts w:ascii="Arial" w:eastAsia="Arial" w:hAnsi="Arial" w:cs="Arial"/>
          <w:color w:val="000000"/>
          <w:sz w:val="20"/>
        </w:rPr>
        <w:t xml:space="preserve"> R. 246 (Dist Ct. Op. &amp; Order at 1-3) (Page ID #6878-80). These now-consolidated appeals followed.</w:t>
      </w:r>
    </w:p>
    <w:p w:rsidR="00E456CD" w:rsidRDefault="00000000">
      <w:pPr>
        <w:pStyle w:val="Normal31"/>
        <w:widowControl w:val="0"/>
        <w:spacing w:before="240" w:line="260" w:lineRule="atLeast"/>
      </w:pPr>
      <w:r>
        <w:br/>
      </w:r>
      <w:r>
        <w:rPr>
          <w:rFonts w:ascii="Arial" w:eastAsia="Arial" w:hAnsi="Arial" w:cs="Arial"/>
          <w:b/>
          <w:color w:val="000000"/>
          <w:sz w:val="20"/>
        </w:rPr>
        <w:t>II. DISCUSSION</w:t>
      </w:r>
    </w:p>
    <w:p w:rsidR="00E456CD" w:rsidRDefault="00000000">
      <w:pPr>
        <w:pStyle w:val="Normal31"/>
        <w:widowControl w:val="0"/>
        <w:spacing w:before="200" w:line="260" w:lineRule="atLeast"/>
        <w:jc w:val="both"/>
      </w:pPr>
      <w:bookmarkStart w:id="4961" w:name="Bookmark_para_27_16"/>
      <w:bookmarkStart w:id="4962" w:name="Bookmark_I5RYPR0F2D6MVM0030000400"/>
      <w:bookmarkEnd w:id="4961"/>
      <w:bookmarkEnd w:id="4962"/>
      <w:r>
        <w:rPr>
          <w:rFonts w:ascii="Arial" w:eastAsia="Arial" w:hAnsi="Arial" w:cs="Arial"/>
          <w:color w:val="000000"/>
          <w:sz w:val="20"/>
        </w:rPr>
        <w:t>On appeal, TCH argues that the following claims of intentional discrimination</w:t>
      </w:r>
      <w:r>
        <w:rPr>
          <w:rFonts w:ascii="Arial" w:eastAsia="Arial" w:hAnsi="Arial" w:cs="Arial"/>
          <w:vertAlign w:val="superscript"/>
        </w:rPr>
        <w:footnoteReference w:customMarkFollows="1" w:id="224"/>
        <w:t>13</w:t>
      </w:r>
      <w:r>
        <w:rPr>
          <w:rFonts w:ascii="Arial" w:eastAsia="Arial" w:hAnsi="Arial" w:cs="Arial"/>
          <w:color w:val="000000"/>
          <w:sz w:val="20"/>
        </w:rPr>
        <w:t xml:space="preserve">  [*307]  under the ADA and RA ought to have survived summary judgment: (1) that Johnson City imposed a facially invalid ordinance and sought to exclude methadone clinics, including TCH's proposed clinic, prior to the CON hearing; (2) that Johnson City discriminated against TCH by attempting to prevent it from securing a CON; (3) that the HSDA discriminated against TCH in denying it a CON; (4) that the Tennessee statute requiring methadone clinics to provide special notice to local officeholders is facially discriminatory; (5) that all defendants failed to provide TCH with a reasonable modification of existing policies; and (6) that ALJ Summers and the related Tennessee defendants retaliated against TCH for engaging in protected activity by revoking Dunlap's </w:t>
      </w:r>
      <w:r>
        <w:rPr>
          <w:rFonts w:ascii="Arial" w:eastAsia="Arial" w:hAnsi="Arial" w:cs="Arial"/>
          <w:i/>
          <w:color w:val="000000"/>
          <w:sz w:val="20"/>
        </w:rPr>
        <w:t>pro hac vice [**18] </w:t>
      </w:r>
      <w:r>
        <w:rPr>
          <w:rFonts w:ascii="Arial" w:eastAsia="Arial" w:hAnsi="Arial" w:cs="Arial"/>
          <w:color w:val="000000"/>
          <w:sz w:val="20"/>
        </w:rPr>
        <w:t xml:space="preserve"> admission. TCH also argues (7) that the district court erred in denying its motion to file a third amended complaint and Jane Doe #3's motion to intervene. For the reasons that follow, we </w:t>
      </w:r>
      <w:r>
        <w:rPr>
          <w:rFonts w:ascii="Arial" w:eastAsia="Arial" w:hAnsi="Arial" w:cs="Arial"/>
          <w:b/>
          <w:color w:val="000000"/>
          <w:sz w:val="20"/>
        </w:rPr>
        <w:t>AFFIRM</w:t>
      </w:r>
      <w:r>
        <w:rPr>
          <w:rFonts w:ascii="Arial" w:eastAsia="Arial" w:hAnsi="Arial" w:cs="Arial"/>
          <w:color w:val="000000"/>
          <w:sz w:val="20"/>
        </w:rPr>
        <w:t xml:space="preserve"> the district court on all grounds.</w:t>
      </w:r>
    </w:p>
    <w:p w:rsidR="00E456CD" w:rsidRDefault="00000000">
      <w:pPr>
        <w:pStyle w:val="Normal31"/>
        <w:widowControl w:val="0"/>
        <w:spacing w:before="240" w:line="260" w:lineRule="atLeast"/>
      </w:pPr>
      <w:r>
        <w:br/>
      </w:r>
      <w:r>
        <w:rPr>
          <w:rFonts w:ascii="Arial" w:eastAsia="Arial" w:hAnsi="Arial" w:cs="Arial"/>
          <w:b/>
          <w:color w:val="000000"/>
          <w:sz w:val="20"/>
        </w:rPr>
        <w:t>A. Standard of Review</w:t>
      </w:r>
    </w:p>
    <w:p w:rsidR="00E456CD" w:rsidRDefault="00000000">
      <w:pPr>
        <w:pStyle w:val="Normal31"/>
        <w:widowControl w:val="0"/>
        <w:spacing w:before="200" w:line="260" w:lineRule="atLeast"/>
        <w:jc w:val="both"/>
      </w:pPr>
      <w:bookmarkStart w:id="4965" w:name="Bookmark_para_28_16"/>
      <w:bookmarkStart w:id="4966" w:name="Bookmark_I5RYPR0F2D6MVM0050000400"/>
      <w:bookmarkStart w:id="4967" w:name="Bookmark_I5RYPR0F2HM6V70020000400"/>
      <w:bookmarkStart w:id="4968" w:name="Bookmark_LNHNREFclscc1_26"/>
      <w:bookmarkEnd w:id="4965"/>
      <w:bookmarkEnd w:id="4966"/>
      <w:bookmarkEnd w:id="4967"/>
      <w:bookmarkEnd w:id="4968"/>
      <w:r>
        <w:rPr>
          <w:rFonts w:ascii="Arial" w:eastAsia="Arial" w:hAnsi="Arial" w:cs="Arial"/>
          <w:color w:val="000000"/>
          <w:sz w:val="20"/>
        </w:rPr>
        <w:t xml:space="preserve">"We review de novo a district court's grant of summary judgment." </w:t>
      </w:r>
      <w:bookmarkStart w:id="4969" w:name="Bookmark_I5RYPR0F2D6MVM0040000400"/>
      <w:bookmarkEnd w:id="4969"/>
      <w:r>
        <w:rPr>
          <w:rFonts w:ascii="Arial" w:eastAsia="Arial" w:hAnsi="Arial" w:cs="Arial"/>
          <w:i/>
          <w:color w:val="000000"/>
          <w:sz w:val="20"/>
        </w:rPr>
        <w:t>Williams v. AT&amp;T Mobility Servs. LLC</w:t>
      </w:r>
      <w:r>
        <w:rPr>
          <w:rFonts w:ascii="Arial" w:eastAsia="Arial" w:hAnsi="Arial" w:cs="Arial"/>
          <w:color w:val="000000"/>
          <w:sz w:val="20"/>
        </w:rPr>
        <w:t xml:space="preserve">, 847 F.3d 384, 391 (6th Cir. 2017). </w:t>
      </w:r>
      <w:bookmarkStart w:id="4970" w:name="Bookmark_I5RYPR0F2HM6V80010000400"/>
      <w:bookmarkStart w:id="4971" w:name="Bookmark_LNHNREFclscc2_26"/>
      <w:bookmarkEnd w:id="4970"/>
      <w:bookmarkEnd w:id="4971"/>
      <w:r>
        <w:rPr>
          <w:rFonts w:ascii="Arial" w:eastAsia="Arial" w:hAnsi="Arial" w:cs="Arial"/>
          <w:color w:val="000000"/>
          <w:sz w:val="20"/>
        </w:rPr>
        <w:t xml:space="preserve">Summary judgment is to be granted "if the movant shows that there is no genuine dispute as to any material fact and the movant is entitled to judgment as a matter of law." FED. R. CIV. P. 56(a). "A genuine dispute of material fact exists 'if the evidence is such that a reasonable jury could return a verdict for the nonmoving party.'" </w:t>
      </w:r>
      <w:bookmarkStart w:id="4972" w:name="Bookmark_I5RYPR0F2HM6V70010000400"/>
      <w:bookmarkEnd w:id="4972"/>
      <w:r>
        <w:rPr>
          <w:rFonts w:ascii="Arial" w:eastAsia="Arial" w:hAnsi="Arial" w:cs="Arial"/>
          <w:i/>
          <w:color w:val="000000"/>
          <w:sz w:val="20"/>
        </w:rPr>
        <w:t>Williams</w:t>
      </w:r>
      <w:r>
        <w:rPr>
          <w:rFonts w:ascii="Arial" w:eastAsia="Arial" w:hAnsi="Arial" w:cs="Arial"/>
          <w:color w:val="000000"/>
          <w:sz w:val="20"/>
        </w:rPr>
        <w:t xml:space="preserve">, 847 F.3d at 391 (quoting </w:t>
      </w:r>
      <w:bookmarkStart w:id="4973" w:name="Bookmark_I5RYPR0F2HM6V70030000400"/>
      <w:bookmarkEnd w:id="4973"/>
      <w:r>
        <w:rPr>
          <w:rFonts w:ascii="Arial" w:eastAsia="Arial" w:hAnsi="Arial" w:cs="Arial"/>
          <w:i/>
          <w:color w:val="000000"/>
          <w:sz w:val="20"/>
        </w:rPr>
        <w:t>Anderson v. Liberty Lobby, Inc.</w:t>
      </w:r>
      <w:r>
        <w:rPr>
          <w:rFonts w:ascii="Arial" w:eastAsia="Arial" w:hAnsi="Arial" w:cs="Arial"/>
          <w:color w:val="000000"/>
          <w:sz w:val="20"/>
        </w:rPr>
        <w:t xml:space="preserve">, 477 U.S. 242, 248, 106 S. Ct. 2505, 91 L. Ed. 2d 202 (1986)). </w:t>
      </w:r>
      <w:bookmarkStart w:id="4974" w:name="Bookmark_I5RYPR0F2HM6V80010000400_2"/>
      <w:bookmarkEnd w:id="4974"/>
      <w:r>
        <w:rPr>
          <w:rFonts w:ascii="Arial" w:eastAsia="Arial" w:hAnsi="Arial" w:cs="Arial"/>
          <w:color w:val="000000"/>
          <w:sz w:val="20"/>
        </w:rPr>
        <w:t xml:space="preserve">"In reviewing the district court's decision to grant summary judgment, we must view all evidence in the light most favorable to the nonmoving party." </w:t>
      </w:r>
      <w:bookmarkStart w:id="4975" w:name="Bookmark_I5RYPR0F2HM6V70050000400"/>
      <w:bookmarkEnd w:id="4975"/>
      <w:r>
        <w:rPr>
          <w:rFonts w:ascii="Arial" w:eastAsia="Arial" w:hAnsi="Arial" w:cs="Arial"/>
          <w:i/>
          <w:color w:val="000000"/>
          <w:sz w:val="20"/>
        </w:rPr>
        <w:t>Kleiber v. Honda of Am. Mfg., Inc.</w:t>
      </w:r>
      <w:r>
        <w:rPr>
          <w:rFonts w:ascii="Arial" w:eastAsia="Arial" w:hAnsi="Arial" w:cs="Arial"/>
          <w:color w:val="000000"/>
          <w:sz w:val="20"/>
        </w:rPr>
        <w:t xml:space="preserve">, 485 F.3d 862, 868 (6th Cir. 2007) (citing </w:t>
      </w:r>
      <w:bookmarkStart w:id="4976" w:name="Bookmark_I5RYPR0F2HM6V80020000400"/>
      <w:bookmarkEnd w:id="4976"/>
      <w:r>
        <w:rPr>
          <w:rFonts w:ascii="Arial" w:eastAsia="Arial" w:hAnsi="Arial" w:cs="Arial"/>
          <w:i/>
          <w:color w:val="000000"/>
          <w:sz w:val="20"/>
        </w:rPr>
        <w:t>Matsushita Elec. Indus. Co. v. Zenith Radio Corp.</w:t>
      </w:r>
      <w:r>
        <w:rPr>
          <w:rFonts w:ascii="Arial" w:eastAsia="Arial" w:hAnsi="Arial" w:cs="Arial"/>
          <w:color w:val="000000"/>
          <w:sz w:val="20"/>
        </w:rPr>
        <w:t>, 475 U.S. 574, 587, 106 S. Ct. 1348, 89 L. Ed. 2d 538 (1986)).</w:t>
      </w:r>
    </w:p>
    <w:p w:rsidR="00E456CD" w:rsidRDefault="00000000">
      <w:pPr>
        <w:pStyle w:val="Normal31"/>
        <w:widowControl w:val="0"/>
        <w:spacing w:before="240" w:line="260" w:lineRule="atLeast"/>
      </w:pPr>
      <w:r>
        <w:br/>
      </w:r>
      <w:r>
        <w:rPr>
          <w:rFonts w:ascii="Arial" w:eastAsia="Arial" w:hAnsi="Arial" w:cs="Arial"/>
          <w:b/>
          <w:color w:val="000000"/>
          <w:sz w:val="20"/>
        </w:rPr>
        <w:t>B. The ADA and the RA</w:t>
      </w:r>
    </w:p>
    <w:p w:rsidR="00E456CD" w:rsidRDefault="00000000">
      <w:pPr>
        <w:pStyle w:val="Normal31"/>
        <w:widowControl w:val="0"/>
        <w:spacing w:before="200" w:line="260" w:lineRule="atLeast"/>
        <w:jc w:val="both"/>
      </w:pPr>
      <w:bookmarkStart w:id="4977" w:name="Bookmark_para_29_16"/>
      <w:bookmarkStart w:id="4978" w:name="Bookmark_I5RYPR0F2HM6V80050000400"/>
      <w:bookmarkStart w:id="4979" w:name="Bookmark_I5RYPR0F2SF8020020000400"/>
      <w:bookmarkStart w:id="4980" w:name="Bookmark_I5RYPR0F2SF8020040000400"/>
      <w:bookmarkStart w:id="4981" w:name="Bookmark_LNHNREFclscc3_24"/>
      <w:bookmarkEnd w:id="4977"/>
      <w:bookmarkEnd w:id="4978"/>
      <w:bookmarkEnd w:id="4979"/>
      <w:bookmarkEnd w:id="4980"/>
      <w:bookmarkEnd w:id="4981"/>
      <w:r>
        <w:rPr>
          <w:rFonts w:ascii="Arial" w:eastAsia="Arial" w:hAnsi="Arial" w:cs="Arial"/>
          <w:color w:val="000000"/>
          <w:sz w:val="20"/>
        </w:rPr>
        <w:t xml:space="preserve">"Title II of the ADA mandates that, 'no qualified individual with a disability shall, by reason of such disability, be excluded from participation in or be denied the benefits of the services, programs, or activities of a public entity, or be subjected to discrimination by any such entity.'" </w:t>
      </w:r>
      <w:bookmarkStart w:id="4982" w:name="Bookmark_I5RYPR0F2HM6V80040000400"/>
      <w:bookmarkEnd w:id="4982"/>
      <w:r>
        <w:rPr>
          <w:rFonts w:ascii="Arial" w:eastAsia="Arial" w:hAnsi="Arial" w:cs="Arial"/>
          <w:i/>
          <w:color w:val="000000"/>
          <w:sz w:val="20"/>
        </w:rPr>
        <w:t>Johnson v. City of Saline</w:t>
      </w:r>
      <w:r>
        <w:rPr>
          <w:rFonts w:ascii="Arial" w:eastAsia="Arial" w:hAnsi="Arial" w:cs="Arial"/>
          <w:color w:val="000000"/>
          <w:sz w:val="20"/>
        </w:rPr>
        <w:t xml:space="preserve">, 151 F.3d 564, 569 (6th Cir. 1998) (quoting 42 U.S.C. § 12132). </w:t>
      </w:r>
      <w:bookmarkStart w:id="4983" w:name="Bookmark_I5RYPR0F2N1R0G0010000400"/>
      <w:bookmarkEnd w:id="4983"/>
      <w:r>
        <w:rPr>
          <w:rFonts w:ascii="Arial" w:eastAsia="Arial" w:hAnsi="Arial" w:cs="Arial"/>
          <w:color w:val="000000"/>
          <w:sz w:val="20"/>
        </w:rPr>
        <w:t xml:space="preserve">"Section 504 of the Rehabilitation Act provides that '[n]o otherwise qualified [**19]  individual with a disability . . . shall, solely by reason of her or his disability, be excluded from the participation in, be denied the benefits of, or be subjected to discrimination under any program or activity receiving Federal financial assistance.'" </w:t>
      </w:r>
      <w:bookmarkStart w:id="4984" w:name="Bookmark_I5RYPR0F2SF8020010000400"/>
      <w:bookmarkEnd w:id="4984"/>
      <w:r>
        <w:rPr>
          <w:rFonts w:ascii="Arial" w:eastAsia="Arial" w:hAnsi="Arial" w:cs="Arial"/>
          <w:i/>
          <w:color w:val="000000"/>
          <w:sz w:val="20"/>
        </w:rPr>
        <w:t>McPherson v. Michigan High Sch. Athletic Ass'n</w:t>
      </w:r>
      <w:r>
        <w:rPr>
          <w:rFonts w:ascii="Arial" w:eastAsia="Arial" w:hAnsi="Arial" w:cs="Arial"/>
          <w:color w:val="000000"/>
          <w:sz w:val="20"/>
        </w:rPr>
        <w:t xml:space="preserve">, 119 F.3d 453, 459 (6th Cir. 1997) (en banc) (quoting 29 U.S.C. § 794(a)). "[T]he two statutes are quite similar in purpose and scope," such that "[t]he analysis of claims under the [ADA] roughly parallels those brought under the [RA]." </w:t>
      </w:r>
      <w:bookmarkStart w:id="4985" w:name="Bookmark_I5RYPR0F2SF8020030000400"/>
      <w:bookmarkEnd w:id="4985"/>
      <w:r>
        <w:rPr>
          <w:rFonts w:ascii="Arial" w:eastAsia="Arial" w:hAnsi="Arial" w:cs="Arial"/>
          <w:i/>
          <w:color w:val="000000"/>
          <w:sz w:val="20"/>
        </w:rPr>
        <w:t>Id.</w:t>
      </w:r>
      <w:r>
        <w:rPr>
          <w:rFonts w:ascii="Arial" w:eastAsia="Arial" w:hAnsi="Arial" w:cs="Arial"/>
          <w:color w:val="000000"/>
          <w:sz w:val="20"/>
        </w:rPr>
        <w:t xml:space="preserve"> at 459-60 (citation omitted). </w:t>
      </w:r>
      <w:bookmarkStart w:id="4986" w:name="Bookmark_I5RYPR0F2N1R0G0010000400_2"/>
      <w:bookmarkEnd w:id="4986"/>
      <w:r>
        <w:rPr>
          <w:rFonts w:ascii="Arial" w:eastAsia="Arial" w:hAnsi="Arial" w:cs="Arial"/>
          <w:color w:val="000000"/>
          <w:sz w:val="20"/>
        </w:rPr>
        <w:t xml:space="preserve">Where, as here, the "differences in the two statutes are not implicated . . . in the issues presented in [a] case"—or, indeed, raised by the parties at all—"we need not address them." </w:t>
      </w:r>
      <w:r>
        <w:rPr>
          <w:rFonts w:ascii="Arial" w:eastAsia="Arial" w:hAnsi="Arial" w:cs="Arial"/>
          <w:i/>
          <w:color w:val="000000"/>
          <w:sz w:val="20"/>
        </w:rPr>
        <w:t xml:space="preserve">See </w:t>
      </w:r>
      <w:bookmarkStart w:id="4987" w:name="Bookmark_I5RYPR0F2SF8020050000400"/>
      <w:bookmarkEnd w:id="4987"/>
      <w:r>
        <w:rPr>
          <w:rFonts w:ascii="Arial" w:eastAsia="Arial" w:hAnsi="Arial" w:cs="Arial"/>
          <w:i/>
          <w:color w:val="000000"/>
          <w:sz w:val="20"/>
        </w:rPr>
        <w:t>id.</w:t>
      </w:r>
      <w:r>
        <w:rPr>
          <w:rFonts w:ascii="Arial" w:eastAsia="Arial" w:hAnsi="Arial" w:cs="Arial"/>
          <w:color w:val="000000"/>
          <w:sz w:val="20"/>
        </w:rPr>
        <w:t xml:space="preserve"> at 460.</w:t>
      </w:r>
    </w:p>
    <w:p w:rsidR="00E456CD" w:rsidRDefault="00000000">
      <w:pPr>
        <w:pStyle w:val="Normal31"/>
        <w:widowControl w:val="0"/>
        <w:spacing w:before="200" w:line="260" w:lineRule="atLeast"/>
        <w:jc w:val="both"/>
      </w:pPr>
      <w:bookmarkStart w:id="4988" w:name="Bookmark_para_30_16"/>
      <w:bookmarkStart w:id="4989" w:name="Bookmark_I5RYPR0F2N1R0G0030000400"/>
      <w:bookmarkStart w:id="4990" w:name="Bookmark_I5RYPR0F2SF8030020000400"/>
      <w:bookmarkStart w:id="4991" w:name="Bookmark_LNHNREFclscc4_23"/>
      <w:bookmarkEnd w:id="4988"/>
      <w:bookmarkEnd w:id="4989"/>
      <w:bookmarkEnd w:id="4990"/>
      <w:bookmarkEnd w:id="4991"/>
      <w:r>
        <w:rPr>
          <w:rFonts w:ascii="Arial" w:eastAsia="Arial" w:hAnsi="Arial" w:cs="Arial"/>
          <w:color w:val="000000"/>
          <w:sz w:val="20"/>
        </w:rPr>
        <w:t xml:space="preserve">Under the ADA, the term "public entity" is a broad one: it encompasses "any State or local government," as well as "any department, agency, special purpose district, or other instrumentality of a State or States or local government." 42 U.S.C. § 12131(1)(A)-(B). Discrimination by a public entity against a qualified individual "must relate to services, programs, or activities," a definition that we have understood to "encompass[] virtually everything  [*308]  that a public entity does," </w:t>
      </w:r>
      <w:bookmarkStart w:id="4992" w:name="Bookmark_I5RYPR0F2N1R0G0020000400"/>
      <w:bookmarkEnd w:id="4992"/>
      <w:r>
        <w:rPr>
          <w:rFonts w:ascii="Arial" w:eastAsia="Arial" w:hAnsi="Arial" w:cs="Arial"/>
          <w:i/>
          <w:color w:val="000000"/>
          <w:sz w:val="20"/>
        </w:rPr>
        <w:t>Johnson</w:t>
      </w:r>
      <w:r>
        <w:rPr>
          <w:rFonts w:ascii="Arial" w:eastAsia="Arial" w:hAnsi="Arial" w:cs="Arial"/>
          <w:color w:val="000000"/>
          <w:sz w:val="20"/>
        </w:rPr>
        <w:t xml:space="preserve">, 151 F.3d at 569, while noting that it is nevertheless "subject . . . to the bounds of reasonableness," </w:t>
      </w:r>
      <w:bookmarkStart w:id="4993" w:name="Bookmark_I5RYPR0F2N1R0G0040000400"/>
      <w:bookmarkEnd w:id="4993"/>
      <w:r>
        <w:rPr>
          <w:rFonts w:ascii="Arial" w:eastAsia="Arial" w:hAnsi="Arial" w:cs="Arial"/>
          <w:i/>
          <w:color w:val="000000"/>
          <w:sz w:val="20"/>
        </w:rPr>
        <w:t>id.</w:t>
      </w:r>
      <w:r>
        <w:rPr>
          <w:rFonts w:ascii="Arial" w:eastAsia="Arial" w:hAnsi="Arial" w:cs="Arial"/>
          <w:color w:val="000000"/>
          <w:sz w:val="20"/>
        </w:rPr>
        <w:t xml:space="preserve"> at 571. Under [**20]  regulations promulgated by the Attorney General pursuant to Congress's instructions, </w:t>
      </w:r>
      <w:r>
        <w:rPr>
          <w:rFonts w:ascii="Arial" w:eastAsia="Arial" w:hAnsi="Arial" w:cs="Arial"/>
          <w:i/>
          <w:color w:val="000000"/>
          <w:sz w:val="20"/>
        </w:rPr>
        <w:t xml:space="preserve">see </w:t>
      </w:r>
      <w:bookmarkStart w:id="4994" w:name="Bookmark_I5RYPR0F2SF8030010000400"/>
      <w:bookmarkEnd w:id="4994"/>
      <w:r>
        <w:rPr>
          <w:rFonts w:ascii="Arial" w:eastAsia="Arial" w:hAnsi="Arial" w:cs="Arial"/>
          <w:i/>
          <w:color w:val="000000"/>
          <w:sz w:val="20"/>
        </w:rPr>
        <w:t>Olmstead v. L.C. ex rel. Zimring</w:t>
      </w:r>
      <w:r>
        <w:rPr>
          <w:rFonts w:ascii="Arial" w:eastAsia="Arial" w:hAnsi="Arial" w:cs="Arial"/>
          <w:color w:val="000000"/>
          <w:sz w:val="20"/>
        </w:rPr>
        <w:t xml:space="preserve">, 527 U.S. 581, 591, 119 S. Ct. 2176, 144 L. Ed. 2d 540 (1999); </w:t>
      </w:r>
      <w:r>
        <w:rPr>
          <w:rFonts w:ascii="Arial" w:eastAsia="Arial" w:hAnsi="Arial" w:cs="Arial"/>
          <w:i/>
          <w:color w:val="000000"/>
          <w:sz w:val="20"/>
        </w:rPr>
        <w:t>see also</w:t>
      </w:r>
      <w:r>
        <w:rPr>
          <w:rFonts w:ascii="Arial" w:eastAsia="Arial" w:hAnsi="Arial" w:cs="Arial"/>
          <w:color w:val="000000"/>
          <w:sz w:val="20"/>
        </w:rPr>
        <w:t xml:space="preserve"> 42 U.S.C. § 12134(a), public entities must also "make reasonable modifications in policies, practices, or procedures when the modifications are necessary to avoid discrimination on the basis of disability, unless the public entity can demonstrate that making the modifications would fundamentally alter the nature of the service, program, or activity," 28 C.F.R. § 35.130(b)(7)(i).</w:t>
      </w:r>
    </w:p>
    <w:p w:rsidR="00E456CD" w:rsidRDefault="00000000">
      <w:pPr>
        <w:pStyle w:val="Normal31"/>
        <w:widowControl w:val="0"/>
        <w:spacing w:before="200" w:line="260" w:lineRule="atLeast"/>
        <w:jc w:val="both"/>
      </w:pPr>
      <w:bookmarkStart w:id="4995" w:name="Bookmark_para_31_16"/>
      <w:bookmarkStart w:id="4996" w:name="Bookmark_I5RYPR0F2SF8030040000400"/>
      <w:bookmarkStart w:id="4997" w:name="Bookmark_LNHNREFclscc5_22"/>
      <w:bookmarkEnd w:id="4995"/>
      <w:bookmarkEnd w:id="4996"/>
      <w:bookmarkEnd w:id="4997"/>
      <w:r>
        <w:rPr>
          <w:rFonts w:ascii="Arial" w:eastAsia="Arial" w:hAnsi="Arial" w:cs="Arial"/>
          <w:color w:val="000000"/>
          <w:sz w:val="20"/>
        </w:rPr>
        <w:t>Claims of intentional discrimination under the ADA follow "the familiar burden-shifting analysis established by [</w:t>
      </w:r>
      <w:bookmarkStart w:id="4998" w:name="Bookmark_I5RYPR0F2SF8030030000400"/>
      <w:bookmarkEnd w:id="4998"/>
      <w:r>
        <w:rPr>
          <w:rFonts w:ascii="Arial" w:eastAsia="Arial" w:hAnsi="Arial" w:cs="Arial"/>
          <w:i/>
          <w:color w:val="000000"/>
          <w:sz w:val="20"/>
        </w:rPr>
        <w:t>McDonnell Douglas Corp. v. Green</w:t>
      </w:r>
      <w:r>
        <w:rPr>
          <w:rFonts w:ascii="Arial" w:eastAsia="Arial" w:hAnsi="Arial" w:cs="Arial"/>
          <w:color w:val="000000"/>
          <w:sz w:val="20"/>
        </w:rPr>
        <w:t xml:space="preserve">, 411 U.S. 792, 93 S. Ct. 1817, 36 L. Ed. 2d 668 (1973)]." </w:t>
      </w:r>
      <w:bookmarkStart w:id="4999" w:name="Bookmark_I5RYPR0F2SF8030050000400"/>
      <w:bookmarkEnd w:id="4999"/>
      <w:r>
        <w:rPr>
          <w:rFonts w:ascii="Arial" w:eastAsia="Arial" w:hAnsi="Arial" w:cs="Arial"/>
          <w:i/>
          <w:color w:val="000000"/>
          <w:sz w:val="20"/>
        </w:rPr>
        <w:t>Anderson v. City of Blue Ash</w:t>
      </w:r>
      <w:r>
        <w:rPr>
          <w:rFonts w:ascii="Arial" w:eastAsia="Arial" w:hAnsi="Arial" w:cs="Arial"/>
          <w:color w:val="000000"/>
          <w:sz w:val="20"/>
        </w:rPr>
        <w:t xml:space="preserve">, 798 F.3d 338, 356 (6th Cir. 2015) (punctuation omitted) (quoting </w:t>
      </w:r>
      <w:bookmarkStart w:id="5000" w:name="Bookmark_I5RYPR0F2D6MVN0020000400"/>
      <w:bookmarkEnd w:id="5000"/>
      <w:r>
        <w:rPr>
          <w:rFonts w:ascii="Arial" w:eastAsia="Arial" w:hAnsi="Arial" w:cs="Arial"/>
          <w:i/>
          <w:color w:val="000000"/>
          <w:sz w:val="20"/>
        </w:rPr>
        <w:t>Turner v. City of Englewood</w:t>
      </w:r>
      <w:r>
        <w:rPr>
          <w:rFonts w:ascii="Arial" w:eastAsia="Arial" w:hAnsi="Arial" w:cs="Arial"/>
          <w:color w:val="000000"/>
          <w:sz w:val="20"/>
        </w:rPr>
        <w:t>, 195 F. App'x 346, 353 (6th Cir. 2006)). As we have explained:</w:t>
      </w:r>
    </w:p>
    <w:p w:rsidR="00E456CD" w:rsidRDefault="00000000">
      <w:pPr>
        <w:pStyle w:val="Normal31"/>
        <w:widowControl w:val="0"/>
        <w:spacing w:before="200" w:line="260" w:lineRule="atLeast"/>
        <w:ind w:left="400"/>
        <w:jc w:val="both"/>
      </w:pPr>
      <w:bookmarkStart w:id="5001" w:name="Bookmark_para_32_16"/>
      <w:bookmarkStart w:id="5002" w:name="Bookmark_I5RYPR0F2SF8030040000400_2"/>
      <w:bookmarkEnd w:id="5001"/>
      <w:bookmarkEnd w:id="5002"/>
      <w:r>
        <w:rPr>
          <w:rFonts w:ascii="Arial" w:eastAsia="Arial" w:hAnsi="Arial" w:cs="Arial"/>
          <w:color w:val="000000"/>
          <w:sz w:val="20"/>
        </w:rPr>
        <w:t xml:space="preserve">To establish a prima facie case of intentional discrimination under Title II of the ADA, a plaintiff must show that: (1) she has a disability; (2) she is otherwise qualified; and (3) she was being excluded from participation in, denied the benefits of, or subjected to discrimination under the program because of her disability. </w:t>
      </w:r>
      <w:bookmarkStart w:id="5003" w:name="Bookmark_I5RYPR0F2D6MVN0050000400"/>
      <w:bookmarkEnd w:id="5003"/>
      <w:r>
        <w:rPr>
          <w:rFonts w:ascii="Arial" w:eastAsia="Arial" w:hAnsi="Arial" w:cs="Arial"/>
          <w:color w:val="000000"/>
          <w:sz w:val="20"/>
        </w:rPr>
        <w:t xml:space="preserve">In other words, the plaintiff must show that the defendant took action because of the plaintiff's disability, i.e., the plaintiff must present evidence that animus against the protected group was a significant factor in the position taken by the municipal decision-makers [**21]  themselves or by those to whom the decision-makers were knowingly responsive. </w:t>
      </w:r>
      <w:bookmarkStart w:id="5004" w:name="Bookmark_I5RYPR0F2N1R0H0020000400"/>
      <w:bookmarkEnd w:id="5004"/>
      <w:r>
        <w:rPr>
          <w:rFonts w:ascii="Arial" w:eastAsia="Arial" w:hAnsi="Arial" w:cs="Arial"/>
          <w:color w:val="000000"/>
          <w:sz w:val="20"/>
        </w:rPr>
        <w:t xml:space="preserve">Further, the plaintiff must show that the discrimination was </w:t>
      </w:r>
      <w:r>
        <w:rPr>
          <w:rFonts w:ascii="Arial" w:eastAsia="Arial" w:hAnsi="Arial" w:cs="Arial"/>
          <w:i/>
          <w:color w:val="000000"/>
          <w:sz w:val="20"/>
        </w:rPr>
        <w:t>intentionally</w:t>
      </w:r>
      <w:r>
        <w:rPr>
          <w:rFonts w:ascii="Arial" w:eastAsia="Arial" w:hAnsi="Arial" w:cs="Arial"/>
          <w:color w:val="000000"/>
          <w:sz w:val="20"/>
        </w:rPr>
        <w:t xml:space="preserve"> directed toward him or her in particular.</w:t>
      </w:r>
    </w:p>
    <w:p w:rsidR="00E456CD" w:rsidRDefault="00000000">
      <w:pPr>
        <w:pStyle w:val="Normal31"/>
        <w:widowControl w:val="0"/>
        <w:spacing w:before="200" w:line="260" w:lineRule="atLeast"/>
        <w:jc w:val="both"/>
      </w:pPr>
      <w:bookmarkStart w:id="5005" w:name="Bookmark_I5RYPR0F2N1R0H0020000400_2"/>
      <w:bookmarkStart w:id="5006" w:name="Bookmark_I5RYPR0F2D6MVN0050000400_2"/>
      <w:bookmarkStart w:id="5007" w:name="Bookmark_I5RYPR0F2N1R0H0040000400"/>
      <w:bookmarkStart w:id="5008" w:name="Bookmark_I5RYPR0F2D6MVN0040000400"/>
      <w:bookmarkEnd w:id="5005"/>
      <w:bookmarkEnd w:id="5006"/>
      <w:bookmarkEnd w:id="5007"/>
      <w:bookmarkEnd w:id="5008"/>
      <w:r>
        <w:rPr>
          <w:rFonts w:ascii="Arial" w:eastAsia="Arial" w:hAnsi="Arial" w:cs="Arial"/>
          <w:i/>
          <w:color w:val="000000"/>
          <w:sz w:val="20"/>
        </w:rPr>
        <w:t>Id.</w:t>
      </w:r>
      <w:r>
        <w:rPr>
          <w:rFonts w:ascii="Arial" w:eastAsia="Arial" w:hAnsi="Arial" w:cs="Arial"/>
          <w:color w:val="000000"/>
          <w:sz w:val="20"/>
        </w:rPr>
        <w:t xml:space="preserve"> at 357 (footnote, citations, and quotation marks omitted). </w:t>
      </w:r>
      <w:bookmarkStart w:id="5009" w:name="Bookmark_I5RYPR0F2N1R0H0040000400_2"/>
      <w:bookmarkEnd w:id="5009"/>
      <w:r>
        <w:rPr>
          <w:rFonts w:ascii="Arial" w:eastAsia="Arial" w:hAnsi="Arial" w:cs="Arial"/>
          <w:color w:val="000000"/>
          <w:sz w:val="20"/>
        </w:rPr>
        <w:t xml:space="preserve">"Once a plaintiff establishes a prima facie case of discrimination, the defendant 'must then offer a legitimate, nondiscriminatory reason for its' challenged action." </w:t>
      </w:r>
      <w:r>
        <w:rPr>
          <w:rFonts w:ascii="Arial" w:eastAsia="Arial" w:hAnsi="Arial" w:cs="Arial"/>
          <w:i/>
          <w:color w:val="000000"/>
          <w:sz w:val="20"/>
        </w:rPr>
        <w:t>Id.</w:t>
      </w:r>
      <w:r>
        <w:rPr>
          <w:rFonts w:ascii="Arial" w:eastAsia="Arial" w:hAnsi="Arial" w:cs="Arial"/>
          <w:color w:val="000000"/>
          <w:sz w:val="20"/>
        </w:rPr>
        <w:t xml:space="preserve"> (quoting </w:t>
      </w:r>
      <w:bookmarkStart w:id="5010" w:name="Bookmark_I5RYPR0F2N1R0H0010000400"/>
      <w:bookmarkEnd w:id="5010"/>
      <w:r>
        <w:rPr>
          <w:rFonts w:ascii="Arial" w:eastAsia="Arial" w:hAnsi="Arial" w:cs="Arial"/>
          <w:i/>
          <w:color w:val="000000"/>
          <w:sz w:val="20"/>
        </w:rPr>
        <w:t>Sjöstrand v. Ohio State Univ.</w:t>
      </w:r>
      <w:r>
        <w:rPr>
          <w:rFonts w:ascii="Arial" w:eastAsia="Arial" w:hAnsi="Arial" w:cs="Arial"/>
          <w:color w:val="000000"/>
          <w:sz w:val="20"/>
        </w:rPr>
        <w:t xml:space="preserve">, 750 F.3d 596, 599 (6th Cir. 2014)). </w:t>
      </w:r>
      <w:bookmarkStart w:id="5011" w:name="Bookmark_I5RYPR0F2N1R0H0040000400_3"/>
      <w:bookmarkEnd w:id="5011"/>
      <w:r>
        <w:rPr>
          <w:rFonts w:ascii="Arial" w:eastAsia="Arial" w:hAnsi="Arial" w:cs="Arial"/>
          <w:color w:val="000000"/>
          <w:sz w:val="20"/>
        </w:rPr>
        <w:t xml:space="preserve">If the defendant produces such an explanation, the plaintiff "must then present evidence allowing a jury to find that the [defendant's] explanation is a pretext for unlawful discrimination." </w:t>
      </w:r>
      <w:r>
        <w:rPr>
          <w:rFonts w:ascii="Arial" w:eastAsia="Arial" w:hAnsi="Arial" w:cs="Arial"/>
          <w:i/>
          <w:color w:val="000000"/>
          <w:sz w:val="20"/>
        </w:rPr>
        <w:t>Id.</w:t>
      </w:r>
      <w:r>
        <w:rPr>
          <w:rFonts w:ascii="Arial" w:eastAsia="Arial" w:hAnsi="Arial" w:cs="Arial"/>
          <w:color w:val="000000"/>
          <w:sz w:val="20"/>
        </w:rPr>
        <w:t xml:space="preserve"> (quoting </w:t>
      </w:r>
      <w:bookmarkStart w:id="5012" w:name="Bookmark_I5RYPR0F2N1R0H0030000400"/>
      <w:bookmarkEnd w:id="5012"/>
      <w:r>
        <w:rPr>
          <w:rFonts w:ascii="Arial" w:eastAsia="Arial" w:hAnsi="Arial" w:cs="Arial"/>
          <w:i/>
          <w:color w:val="000000"/>
          <w:sz w:val="20"/>
        </w:rPr>
        <w:t>Sjöstrand</w:t>
      </w:r>
      <w:r>
        <w:rPr>
          <w:rFonts w:ascii="Arial" w:eastAsia="Arial" w:hAnsi="Arial" w:cs="Arial"/>
          <w:color w:val="000000"/>
          <w:sz w:val="20"/>
        </w:rPr>
        <w:t>, 750 F.3d at 599).</w:t>
      </w:r>
    </w:p>
    <w:p w:rsidR="00E456CD" w:rsidRDefault="00000000">
      <w:pPr>
        <w:pStyle w:val="Normal31"/>
        <w:widowControl w:val="0"/>
        <w:spacing w:before="240" w:line="260" w:lineRule="atLeast"/>
      </w:pPr>
      <w:r>
        <w:br/>
      </w:r>
      <w:r>
        <w:rPr>
          <w:rFonts w:ascii="Arial" w:eastAsia="Arial" w:hAnsi="Arial" w:cs="Arial"/>
          <w:b/>
          <w:color w:val="000000"/>
          <w:sz w:val="20"/>
        </w:rPr>
        <w:t xml:space="preserve">C. Issue 1: Issue Preclusion and the </w:t>
      </w:r>
      <w:r>
        <w:rPr>
          <w:rFonts w:ascii="Arial" w:eastAsia="Arial" w:hAnsi="Arial" w:cs="Arial"/>
          <w:b/>
          <w:i/>
          <w:color w:val="000000"/>
          <w:sz w:val="20"/>
        </w:rPr>
        <w:t>Tri-Cities I</w:t>
      </w:r>
      <w:r>
        <w:rPr>
          <w:rFonts w:ascii="Arial" w:eastAsia="Arial" w:hAnsi="Arial" w:cs="Arial"/>
          <w:b/>
          <w:color w:val="000000"/>
          <w:sz w:val="20"/>
        </w:rPr>
        <w:t xml:space="preserve"> Claims</w:t>
      </w:r>
    </w:p>
    <w:p w:rsidR="00E456CD" w:rsidRDefault="00000000">
      <w:pPr>
        <w:pStyle w:val="Normal31"/>
        <w:widowControl w:val="0"/>
        <w:spacing w:before="200" w:line="260" w:lineRule="atLeast"/>
        <w:jc w:val="both"/>
      </w:pPr>
      <w:bookmarkStart w:id="5013" w:name="Bookmark_para_33_15"/>
      <w:bookmarkEnd w:id="5013"/>
      <w:r>
        <w:rPr>
          <w:rFonts w:ascii="Arial" w:eastAsia="Arial" w:hAnsi="Arial" w:cs="Arial"/>
          <w:color w:val="000000"/>
          <w:sz w:val="20"/>
        </w:rPr>
        <w:t xml:space="preserve">The first cluster of claims on which TCH appeals matches its claims from </w:t>
      </w:r>
      <w:r>
        <w:rPr>
          <w:rFonts w:ascii="Arial" w:eastAsia="Arial" w:hAnsi="Arial" w:cs="Arial"/>
          <w:i/>
          <w:color w:val="000000"/>
          <w:sz w:val="20"/>
        </w:rPr>
        <w:t>Tri-Cities I</w:t>
      </w:r>
      <w:r>
        <w:rPr>
          <w:rFonts w:ascii="Arial" w:eastAsia="Arial" w:hAnsi="Arial" w:cs="Arial"/>
          <w:color w:val="000000"/>
          <w:sz w:val="20"/>
        </w:rPr>
        <w:t xml:space="preserve">: essentially, that Johnson City's zoning regulations in effect at the time of its CON application were facially discriminatory and reflected a broader effort by Johnson City to exclude TCH (and other, similar facilities) from its city limits. </w:t>
      </w:r>
      <w:r>
        <w:rPr>
          <w:rFonts w:ascii="Arial" w:eastAsia="Arial" w:hAnsi="Arial" w:cs="Arial"/>
          <w:i/>
          <w:color w:val="000000"/>
          <w:sz w:val="20"/>
        </w:rPr>
        <w:t>See TCH II</w:t>
      </w:r>
      <w:r>
        <w:rPr>
          <w:rFonts w:ascii="Arial" w:eastAsia="Arial" w:hAnsi="Arial" w:cs="Arial"/>
          <w:color w:val="000000"/>
          <w:sz w:val="20"/>
        </w:rPr>
        <w:t xml:space="preserve"> Appellants' Br. at 2-3, 6-7, 20-22. Johnson City argues (as the district court held) that the legal question of whether these claims are ripe for adjudication is subject [**22]  to issue preclusion based on </w:t>
      </w:r>
      <w:r>
        <w:rPr>
          <w:rFonts w:ascii="Arial" w:eastAsia="Arial" w:hAnsi="Arial" w:cs="Arial"/>
          <w:i/>
          <w:color w:val="000000"/>
          <w:sz w:val="20"/>
        </w:rPr>
        <w:t>Tri-Cities I. See TCH II</w:t>
      </w:r>
      <w:r>
        <w:rPr>
          <w:rFonts w:ascii="Arial" w:eastAsia="Arial" w:hAnsi="Arial" w:cs="Arial"/>
          <w:color w:val="000000"/>
          <w:sz w:val="20"/>
        </w:rPr>
        <w:t xml:space="preserve"> Johnson City Appellees' Br. at 11-12; </w:t>
      </w:r>
      <w:r>
        <w:rPr>
          <w:rFonts w:ascii="Arial" w:eastAsia="Arial" w:hAnsi="Arial" w:cs="Arial"/>
          <w:i/>
          <w:color w:val="000000"/>
          <w:sz w:val="20"/>
        </w:rPr>
        <w:t>TCH II</w:t>
      </w:r>
      <w:r>
        <w:rPr>
          <w:rFonts w:ascii="Arial" w:eastAsia="Arial" w:hAnsi="Arial" w:cs="Arial"/>
          <w:color w:val="000000"/>
          <w:sz w:val="20"/>
        </w:rPr>
        <w:t xml:space="preserve"> R. 246 (Dist. Ct. Op. &amp; Order at 1-15) (Page ID #6878-92). </w:t>
      </w:r>
      <w:bookmarkStart w:id="5014" w:name="Bookmark_I5RYPR0F2D6MVP0010000400"/>
      <w:bookmarkEnd w:id="5014"/>
      <w:r>
        <w:rPr>
          <w:rFonts w:ascii="Arial" w:eastAsia="Arial" w:hAnsi="Arial" w:cs="Arial"/>
          <w:color w:val="000000"/>
          <w:sz w:val="20"/>
        </w:rPr>
        <w:t xml:space="preserve">Inexplicably, TCH barely mentions the district court's issue-preclusion ruling and offers essentially no legal argument as to why issue preclusion does not apply. </w:t>
      </w:r>
      <w:r>
        <w:rPr>
          <w:rFonts w:ascii="Arial" w:eastAsia="Arial" w:hAnsi="Arial" w:cs="Arial"/>
          <w:i/>
          <w:color w:val="000000"/>
          <w:sz w:val="20"/>
        </w:rPr>
        <w:t>See TCH II</w:t>
      </w:r>
      <w:r>
        <w:rPr>
          <w:rFonts w:ascii="Arial" w:eastAsia="Arial" w:hAnsi="Arial" w:cs="Arial"/>
          <w:color w:val="000000"/>
          <w:sz w:val="20"/>
        </w:rPr>
        <w:t xml:space="preserve"> Appellants' Br. at 22-23 (providing eight conclusory lines of text and citing one opinion as authority). As we have repeatedly made clear, </w:t>
      </w:r>
      <w:bookmarkStart w:id="5015" w:name="Bookmark_LNHNREFclscc6_21"/>
      <w:bookmarkEnd w:id="5015"/>
      <w:r>
        <w:rPr>
          <w:rFonts w:ascii="Arial" w:eastAsia="Arial" w:hAnsi="Arial" w:cs="Arial"/>
          <w:color w:val="000000"/>
          <w:sz w:val="20"/>
        </w:rPr>
        <w:t xml:space="preserve">"addressing an issue on appeal 'requires developed argument; a party is required to do more than advert to an issue in a perfunctory manner.'"  [*309]  </w:t>
      </w:r>
      <w:bookmarkStart w:id="5016" w:name="Bookmark_I5RYPR0F2N1R0H0050000400"/>
      <w:bookmarkEnd w:id="5016"/>
      <w:r>
        <w:rPr>
          <w:rFonts w:ascii="Arial" w:eastAsia="Arial" w:hAnsi="Arial" w:cs="Arial"/>
          <w:i/>
          <w:color w:val="000000"/>
          <w:sz w:val="20"/>
        </w:rPr>
        <w:t>Puckett v. Lexington-Fayette Urban Cty. Gov't</w:t>
      </w:r>
      <w:r>
        <w:rPr>
          <w:rFonts w:ascii="Arial" w:eastAsia="Arial" w:hAnsi="Arial" w:cs="Arial"/>
          <w:color w:val="000000"/>
          <w:sz w:val="20"/>
        </w:rPr>
        <w:t xml:space="preserve">, 833 F.3d 590, 611 (6th Cir. 2016) (quoting </w:t>
      </w:r>
      <w:bookmarkStart w:id="5017" w:name="Bookmark_I5RYPR0F2D6MVP0020000400"/>
      <w:bookmarkEnd w:id="5017"/>
      <w:r>
        <w:rPr>
          <w:rFonts w:ascii="Arial" w:eastAsia="Arial" w:hAnsi="Arial" w:cs="Arial"/>
          <w:i/>
          <w:color w:val="000000"/>
          <w:sz w:val="20"/>
        </w:rPr>
        <w:t>Bolden v. City of Euclid</w:t>
      </w:r>
      <w:r>
        <w:rPr>
          <w:rFonts w:ascii="Arial" w:eastAsia="Arial" w:hAnsi="Arial" w:cs="Arial"/>
          <w:color w:val="000000"/>
          <w:sz w:val="20"/>
        </w:rPr>
        <w:t xml:space="preserve">, 595 F. App'x 464, 468 (6th Cir. 2014)); </w:t>
      </w:r>
      <w:r>
        <w:rPr>
          <w:rFonts w:ascii="Arial" w:eastAsia="Arial" w:hAnsi="Arial" w:cs="Arial"/>
          <w:i/>
          <w:color w:val="000000"/>
          <w:sz w:val="20"/>
        </w:rPr>
        <w:t xml:space="preserve">see also, e.g., </w:t>
      </w:r>
      <w:bookmarkStart w:id="5018" w:name="Bookmark_I5RYPR0F2D6MVP0040000400"/>
      <w:bookmarkEnd w:id="5018"/>
      <w:r>
        <w:rPr>
          <w:rFonts w:ascii="Arial" w:eastAsia="Arial" w:hAnsi="Arial" w:cs="Arial"/>
          <w:i/>
          <w:color w:val="000000"/>
          <w:sz w:val="20"/>
        </w:rPr>
        <w:t>Gerboc v. ContextLogic, Inc.</w:t>
      </w:r>
      <w:r>
        <w:rPr>
          <w:rFonts w:ascii="Arial" w:eastAsia="Arial" w:hAnsi="Arial" w:cs="Arial"/>
          <w:color w:val="000000"/>
          <w:sz w:val="20"/>
        </w:rPr>
        <w:t>, 867 F.3d 675, 681-82 (6th Cir. 2017). TCH's argument is indeed so perfunctory and undeveloped as to be forfeited.</w:t>
      </w:r>
    </w:p>
    <w:p w:rsidR="00E456CD" w:rsidRDefault="00000000">
      <w:pPr>
        <w:pStyle w:val="Normal31"/>
        <w:widowControl w:val="0"/>
        <w:spacing w:before="200" w:line="260" w:lineRule="atLeast"/>
        <w:jc w:val="both"/>
      </w:pPr>
      <w:bookmarkStart w:id="5019" w:name="Bookmark_para_34_14"/>
      <w:bookmarkEnd w:id="5019"/>
      <w:r>
        <w:rPr>
          <w:rFonts w:ascii="Arial" w:eastAsia="Arial" w:hAnsi="Arial" w:cs="Arial"/>
          <w:color w:val="000000"/>
          <w:sz w:val="20"/>
        </w:rPr>
        <w:t xml:space="preserve">Regardless, however, Johnson City has the better of the dispute. </w:t>
      </w:r>
      <w:bookmarkStart w:id="5020" w:name="Bookmark_I5RYPR0F28T4Y90020000400"/>
      <w:bookmarkEnd w:id="5020"/>
      <w:r>
        <w:rPr>
          <w:rFonts w:ascii="Arial" w:eastAsia="Arial" w:hAnsi="Arial" w:cs="Arial"/>
          <w:color w:val="000000"/>
          <w:sz w:val="20"/>
        </w:rPr>
        <w:t>As we have explained:</w:t>
      </w:r>
    </w:p>
    <w:p w:rsidR="00E456CD" w:rsidRDefault="00000000">
      <w:pPr>
        <w:pStyle w:val="Normal31"/>
        <w:widowControl w:val="0"/>
        <w:spacing w:before="200" w:line="260" w:lineRule="atLeast"/>
        <w:ind w:left="400"/>
        <w:jc w:val="both"/>
      </w:pPr>
      <w:bookmarkStart w:id="5021" w:name="Bookmark_para_35_13"/>
      <w:bookmarkStart w:id="5022" w:name="Bookmark_I5RYPR0F28T4Y90020000400_2"/>
      <w:bookmarkStart w:id="5023" w:name="Bookmark_LNHNREFclscc7_21"/>
      <w:bookmarkEnd w:id="5021"/>
      <w:bookmarkEnd w:id="5022"/>
      <w:bookmarkEnd w:id="5023"/>
      <w:r>
        <w:rPr>
          <w:rFonts w:ascii="Arial" w:eastAsia="Arial" w:hAnsi="Arial" w:cs="Arial"/>
          <w:color w:val="000000"/>
          <w:sz w:val="20"/>
        </w:rPr>
        <w:t>Issue preclusion, often referred to as collateral estoppel, "precludes relitigation of issues of fact or law actually litigated and decided in a prior action between the same parties and necessary to the judgment, even if decided as part of a different claim or cause of action." Four requirements must be met before issue preclusion applies: "(1) the precise issue must have been raised and actually [**23]  litigated in the prior proceedings; (2) the determination of the issue must have been necessary to the outcome of the prior proceedings; (3) the prior proceedings must have resulted in a final judgment on the merits; and (4) the party against whom estoppel is sought must have had a full and fair opportunity to litigate the issue in the prior proceeding."</w:t>
      </w:r>
    </w:p>
    <w:p w:rsidR="00E456CD" w:rsidRDefault="00000000">
      <w:pPr>
        <w:pStyle w:val="Normal31"/>
        <w:widowControl w:val="0"/>
        <w:spacing w:before="200" w:line="260" w:lineRule="atLeast"/>
        <w:jc w:val="both"/>
      </w:pPr>
      <w:bookmarkStart w:id="5024" w:name="Bookmark_I5RYPR0F28T4Y90020000400_3"/>
      <w:bookmarkStart w:id="5025" w:name="Bookmark_I5RYPR0F28T4Y90010000400"/>
      <w:bookmarkEnd w:id="5024"/>
      <w:bookmarkEnd w:id="5025"/>
      <w:r>
        <w:rPr>
          <w:rFonts w:ascii="Arial" w:eastAsia="Arial" w:hAnsi="Arial" w:cs="Arial"/>
          <w:i/>
          <w:color w:val="000000"/>
          <w:sz w:val="20"/>
        </w:rPr>
        <w:t>Georgia-Pacific Consumer Prods. LP v. Four-U-Packaging, Inc.</w:t>
      </w:r>
      <w:r>
        <w:rPr>
          <w:rFonts w:ascii="Arial" w:eastAsia="Arial" w:hAnsi="Arial" w:cs="Arial"/>
          <w:color w:val="000000"/>
          <w:sz w:val="20"/>
        </w:rPr>
        <w:t xml:space="preserve">, 701 F.3d 1093, 1098 (6th Cir. 2012) (citations omitted). </w:t>
      </w:r>
      <w:bookmarkStart w:id="5026" w:name="Bookmark_I5RYPR0F28T4Y90040000400"/>
      <w:bookmarkEnd w:id="5026"/>
      <w:r>
        <w:rPr>
          <w:rFonts w:ascii="Arial" w:eastAsia="Arial" w:hAnsi="Arial" w:cs="Arial"/>
          <w:color w:val="000000"/>
          <w:sz w:val="20"/>
        </w:rPr>
        <w:t xml:space="preserve">Here, the question of whether TCH's claims against Johnson City's zoning regulations and allegedly exclusionary posture toward methadone clinics were ripe was clearly litigated during </w:t>
      </w:r>
      <w:r>
        <w:rPr>
          <w:rFonts w:ascii="Arial" w:eastAsia="Arial" w:hAnsi="Arial" w:cs="Arial"/>
          <w:i/>
          <w:color w:val="000000"/>
          <w:sz w:val="20"/>
        </w:rPr>
        <w:t>Tri-Cities I</w:t>
      </w:r>
      <w:r>
        <w:rPr>
          <w:rFonts w:ascii="Arial" w:eastAsia="Arial" w:hAnsi="Arial" w:cs="Arial"/>
          <w:color w:val="000000"/>
          <w:sz w:val="20"/>
        </w:rPr>
        <w:t xml:space="preserve">, and the resolution of that question was necessary to (indeed, determined) the outcome of that case. </w:t>
      </w:r>
      <w:r>
        <w:rPr>
          <w:rFonts w:ascii="Arial" w:eastAsia="Arial" w:hAnsi="Arial" w:cs="Arial"/>
          <w:i/>
          <w:color w:val="000000"/>
          <w:sz w:val="20"/>
        </w:rPr>
        <w:t>See TCH II</w:t>
      </w:r>
      <w:r>
        <w:rPr>
          <w:rFonts w:ascii="Arial" w:eastAsia="Arial" w:hAnsi="Arial" w:cs="Arial"/>
          <w:color w:val="000000"/>
          <w:sz w:val="20"/>
        </w:rPr>
        <w:t xml:space="preserve"> R. 19-1 (</w:t>
      </w:r>
      <w:r>
        <w:rPr>
          <w:rFonts w:ascii="Arial" w:eastAsia="Arial" w:hAnsi="Arial" w:cs="Arial"/>
          <w:i/>
          <w:color w:val="000000"/>
          <w:sz w:val="20"/>
        </w:rPr>
        <w:t>Tri-Cities I</w:t>
      </w:r>
      <w:r>
        <w:rPr>
          <w:rFonts w:ascii="Arial" w:eastAsia="Arial" w:hAnsi="Arial" w:cs="Arial"/>
          <w:color w:val="000000"/>
          <w:sz w:val="20"/>
        </w:rPr>
        <w:t xml:space="preserve"> Dist. Ct. Op. &amp; Order) (Page ID #456-65). </w:t>
      </w:r>
      <w:bookmarkStart w:id="5027" w:name="Bookmark_I5RYPR0F28T4YB0010000400"/>
      <w:bookmarkEnd w:id="5027"/>
      <w:r>
        <w:rPr>
          <w:rFonts w:ascii="Arial" w:eastAsia="Arial" w:hAnsi="Arial" w:cs="Arial"/>
          <w:color w:val="000000"/>
          <w:sz w:val="20"/>
        </w:rPr>
        <w:t xml:space="preserve">Those proceedings resulted in a final judgment dismissing the action on the merits, </w:t>
      </w:r>
      <w:r>
        <w:rPr>
          <w:rFonts w:ascii="Arial" w:eastAsia="Arial" w:hAnsi="Arial" w:cs="Arial"/>
          <w:i/>
          <w:color w:val="000000"/>
          <w:sz w:val="20"/>
        </w:rPr>
        <w:t>TCH II</w:t>
      </w:r>
      <w:r>
        <w:rPr>
          <w:rFonts w:ascii="Arial" w:eastAsia="Arial" w:hAnsi="Arial" w:cs="Arial"/>
          <w:color w:val="000000"/>
          <w:sz w:val="20"/>
        </w:rPr>
        <w:t xml:space="preserve"> R. 19-2 (</w:t>
      </w:r>
      <w:r>
        <w:rPr>
          <w:rFonts w:ascii="Arial" w:eastAsia="Arial" w:hAnsi="Arial" w:cs="Arial"/>
          <w:i/>
          <w:color w:val="000000"/>
          <w:sz w:val="20"/>
        </w:rPr>
        <w:t>Tri-Cities I</w:t>
      </w:r>
      <w:r>
        <w:rPr>
          <w:rFonts w:ascii="Arial" w:eastAsia="Arial" w:hAnsi="Arial" w:cs="Arial"/>
          <w:color w:val="000000"/>
          <w:sz w:val="20"/>
        </w:rPr>
        <w:t xml:space="preserve"> J.) (Page ID #467), which TCH could have appealed but did not. </w:t>
      </w:r>
      <w:r>
        <w:rPr>
          <w:rFonts w:ascii="Arial" w:eastAsia="Arial" w:hAnsi="Arial" w:cs="Arial"/>
          <w:i/>
          <w:color w:val="000000"/>
          <w:sz w:val="20"/>
        </w:rPr>
        <w:t xml:space="preserve">See </w:t>
      </w:r>
      <w:bookmarkStart w:id="5028" w:name="Bookmark_I5RYPR0F28T4Y90030000400"/>
      <w:bookmarkEnd w:id="5028"/>
      <w:r>
        <w:rPr>
          <w:rFonts w:ascii="Arial" w:eastAsia="Arial" w:hAnsi="Arial" w:cs="Arial"/>
          <w:i/>
          <w:color w:val="000000"/>
          <w:sz w:val="20"/>
        </w:rPr>
        <w:t>Robert N. Clemens Tr. v. Morgan Stanley DW, Inc.</w:t>
      </w:r>
      <w:r>
        <w:rPr>
          <w:rFonts w:ascii="Arial" w:eastAsia="Arial" w:hAnsi="Arial" w:cs="Arial"/>
          <w:color w:val="000000"/>
          <w:sz w:val="20"/>
        </w:rPr>
        <w:t xml:space="preserve">, 485 F.3d 840, 845-46 (6th Cir. 2007) (explaining that dismissal of an </w:t>
      </w:r>
      <w:r>
        <w:rPr>
          <w:rFonts w:ascii="Arial" w:eastAsia="Arial" w:hAnsi="Arial" w:cs="Arial"/>
          <w:i/>
          <w:color w:val="000000"/>
          <w:sz w:val="20"/>
        </w:rPr>
        <w:t>action</w:t>
      </w:r>
      <w:r>
        <w:rPr>
          <w:rFonts w:ascii="Arial" w:eastAsia="Arial" w:hAnsi="Arial" w:cs="Arial"/>
          <w:color w:val="000000"/>
          <w:sz w:val="20"/>
        </w:rPr>
        <w:t xml:space="preserve"> constitutes a final and appealable order, in contrast to dismissal only of a </w:t>
      </w:r>
      <w:r>
        <w:rPr>
          <w:rFonts w:ascii="Arial" w:eastAsia="Arial" w:hAnsi="Arial" w:cs="Arial"/>
          <w:i/>
          <w:color w:val="000000"/>
          <w:sz w:val="20"/>
        </w:rPr>
        <w:t>complaint</w:t>
      </w:r>
      <w:r>
        <w:rPr>
          <w:rFonts w:ascii="Arial" w:eastAsia="Arial" w:hAnsi="Arial" w:cs="Arial"/>
          <w:color w:val="000000"/>
          <w:sz w:val="20"/>
        </w:rPr>
        <w:t xml:space="preserve">, which would present only an opportunity to amend and refile). </w:t>
      </w:r>
      <w:bookmarkStart w:id="5029" w:name="Bookmark_I5RYPR0F28T4YB0010000400_2"/>
      <w:bookmarkEnd w:id="5029"/>
      <w:r>
        <w:rPr>
          <w:rFonts w:ascii="Arial" w:eastAsia="Arial" w:hAnsi="Arial" w:cs="Arial"/>
          <w:color w:val="000000"/>
          <w:sz w:val="20"/>
        </w:rPr>
        <w:t xml:space="preserve">And TCH had "a full and fair opportunity to litigate the issue," </w:t>
      </w:r>
      <w:bookmarkStart w:id="5030" w:name="Bookmark_I5RYPR0F28T4Y90050000400"/>
      <w:bookmarkEnd w:id="5030"/>
      <w:r>
        <w:rPr>
          <w:rFonts w:ascii="Arial" w:eastAsia="Arial" w:hAnsi="Arial" w:cs="Arial"/>
          <w:i/>
          <w:color w:val="000000"/>
          <w:sz w:val="20"/>
        </w:rPr>
        <w:t>Georgia-Pac. Consumer Prods.</w:t>
      </w:r>
      <w:r>
        <w:rPr>
          <w:rFonts w:ascii="Arial" w:eastAsia="Arial" w:hAnsi="Arial" w:cs="Arial"/>
          <w:color w:val="000000"/>
          <w:sz w:val="20"/>
        </w:rPr>
        <w:t xml:space="preserve">, 701 F.3d at 1098, in </w:t>
      </w:r>
      <w:r>
        <w:rPr>
          <w:rFonts w:ascii="Arial" w:eastAsia="Arial" w:hAnsi="Arial" w:cs="Arial"/>
          <w:i/>
          <w:color w:val="000000"/>
          <w:sz w:val="20"/>
        </w:rPr>
        <w:t>Tri-Cities [**24]  I</w:t>
      </w:r>
      <w:r>
        <w:rPr>
          <w:rFonts w:ascii="Arial" w:eastAsia="Arial" w:hAnsi="Arial" w:cs="Arial"/>
          <w:color w:val="000000"/>
          <w:sz w:val="20"/>
        </w:rPr>
        <w:t>. Issue preclusion applies.</w:t>
      </w:r>
    </w:p>
    <w:p w:rsidR="00E456CD" w:rsidRDefault="00000000">
      <w:pPr>
        <w:pStyle w:val="Normal31"/>
        <w:widowControl w:val="0"/>
        <w:spacing w:before="240" w:line="260" w:lineRule="atLeast"/>
      </w:pPr>
      <w:r>
        <w:br/>
      </w:r>
      <w:r>
        <w:rPr>
          <w:rFonts w:ascii="Arial" w:eastAsia="Arial" w:hAnsi="Arial" w:cs="Arial"/>
          <w:b/>
          <w:color w:val="000000"/>
          <w:sz w:val="20"/>
        </w:rPr>
        <w:t>D. Issue 2: Johnson City's Effect on the CON Process</w:t>
      </w:r>
    </w:p>
    <w:p w:rsidR="00E456CD" w:rsidRDefault="00000000">
      <w:pPr>
        <w:pStyle w:val="Normal31"/>
        <w:widowControl w:val="0"/>
        <w:spacing w:before="200" w:line="260" w:lineRule="atLeast"/>
        <w:jc w:val="both"/>
      </w:pPr>
      <w:bookmarkStart w:id="5031" w:name="Bookmark_para_36_12"/>
      <w:bookmarkEnd w:id="5031"/>
      <w:r>
        <w:rPr>
          <w:rFonts w:ascii="Arial" w:eastAsia="Arial" w:hAnsi="Arial" w:cs="Arial"/>
          <w:color w:val="000000"/>
          <w:sz w:val="20"/>
        </w:rPr>
        <w:t xml:space="preserve">TCH also argues that the district court erred in granting summary judgment on TCH's claims that Johnson City violated the ADA and RA by seeking to prevent TCH from obtaining a CON, both at the CON hearing itself and by withholding zoning approval. </w:t>
      </w:r>
      <w:bookmarkStart w:id="5032" w:name="Bookmark_I5RYPR0F28T4YB0030000400"/>
      <w:bookmarkEnd w:id="5032"/>
      <w:r>
        <w:rPr>
          <w:rFonts w:ascii="Arial" w:eastAsia="Arial" w:hAnsi="Arial" w:cs="Arial"/>
          <w:i/>
          <w:color w:val="000000"/>
          <w:sz w:val="20"/>
        </w:rPr>
        <w:t>See, e.g., TCH II</w:t>
      </w:r>
      <w:r>
        <w:rPr>
          <w:rFonts w:ascii="Arial" w:eastAsia="Arial" w:hAnsi="Arial" w:cs="Arial"/>
          <w:color w:val="000000"/>
          <w:sz w:val="20"/>
        </w:rPr>
        <w:t xml:space="preserve"> Appellants' Br. at 2, 9, 11-12, 17-18. </w:t>
      </w:r>
      <w:bookmarkStart w:id="5033" w:name="Bookmark_I5RYPR0F28T4YB0050000400"/>
      <w:bookmarkEnd w:id="5033"/>
      <w:r>
        <w:rPr>
          <w:rFonts w:ascii="Arial" w:eastAsia="Arial" w:hAnsi="Arial" w:cs="Arial"/>
          <w:color w:val="000000"/>
          <w:sz w:val="20"/>
        </w:rPr>
        <w:t xml:space="preserve">Though logically distinct from those governed by the district court's prior ripeness determination in </w:t>
      </w:r>
      <w:r>
        <w:rPr>
          <w:rFonts w:ascii="Arial" w:eastAsia="Arial" w:hAnsi="Arial" w:cs="Arial"/>
          <w:i/>
          <w:color w:val="000000"/>
          <w:sz w:val="20"/>
        </w:rPr>
        <w:t>Tri-Cities I</w:t>
      </w:r>
      <w:r>
        <w:rPr>
          <w:rFonts w:ascii="Arial" w:eastAsia="Arial" w:hAnsi="Arial" w:cs="Arial"/>
          <w:color w:val="000000"/>
          <w:sz w:val="20"/>
        </w:rPr>
        <w:t xml:space="preserve">, and thus not subject to issue preclusion, TCH has arguably forfeited these arguments by failing to raise them in its complaints. But even assuming for the sake of argument that TCH properly presented its arguments to the district court through its pleadings at the summary-judgment stage, </w:t>
      </w:r>
      <w:r>
        <w:rPr>
          <w:rFonts w:ascii="Arial" w:eastAsia="Arial" w:hAnsi="Arial" w:cs="Arial"/>
          <w:i/>
          <w:color w:val="000000"/>
          <w:sz w:val="20"/>
        </w:rPr>
        <w:t xml:space="preserve">see </w:t>
      </w:r>
      <w:bookmarkStart w:id="5034" w:name="Bookmark_I5RYPR0F28T4YB0020000400"/>
      <w:bookmarkEnd w:id="5034"/>
      <w:r>
        <w:rPr>
          <w:rFonts w:ascii="Arial" w:eastAsia="Arial" w:hAnsi="Arial" w:cs="Arial"/>
          <w:i/>
          <w:color w:val="000000"/>
          <w:sz w:val="20"/>
        </w:rPr>
        <w:t>Vencor, Inc. v. Standard Life &amp; Acc. Ins. Co.</w:t>
      </w:r>
      <w:r>
        <w:rPr>
          <w:rFonts w:ascii="Arial" w:eastAsia="Arial" w:hAnsi="Arial" w:cs="Arial"/>
          <w:color w:val="000000"/>
          <w:sz w:val="20"/>
        </w:rPr>
        <w:t xml:space="preserve">, 317 F.3d 629, 641 n.11 (6th Cir. 2003); </w:t>
      </w:r>
      <w:r>
        <w:rPr>
          <w:rFonts w:ascii="Arial" w:eastAsia="Arial" w:hAnsi="Arial" w:cs="Arial"/>
          <w:i/>
          <w:color w:val="000000"/>
          <w:sz w:val="20"/>
        </w:rPr>
        <w:t>TCH II</w:t>
      </w:r>
      <w:r>
        <w:rPr>
          <w:rFonts w:ascii="Arial" w:eastAsia="Arial" w:hAnsi="Arial" w:cs="Arial"/>
          <w:color w:val="000000"/>
          <w:sz w:val="20"/>
        </w:rPr>
        <w:t xml:space="preserve">, R. 213 (Pls.' Mem. in Support of Motion for Summary J. at 8-11) (Page ID #5518-21), summary judgment was proper on the merits. </w:t>
      </w:r>
      <w:bookmarkStart w:id="5035" w:name="Bookmark_I5RYPR0F28T4YB0050000400_2"/>
      <w:bookmarkEnd w:id="5035"/>
      <w:r>
        <w:rPr>
          <w:rFonts w:ascii="Arial" w:eastAsia="Arial" w:hAnsi="Arial" w:cs="Arial"/>
          <w:color w:val="000000"/>
          <w:sz w:val="20"/>
        </w:rPr>
        <w:t xml:space="preserve">That is because, to succeed in its intentional discrimination claims, TCH must first (among other requirements) "present evidence that animus against the protected group was a significant factor in the position taken by the municipal decision-makers themselves or by those [**25]  to whom the decision-makers were knowingly responsive." </w:t>
      </w:r>
      <w:bookmarkStart w:id="5036" w:name="Bookmark_I5RYPR0F28T4YB0040000400"/>
      <w:bookmarkEnd w:id="5036"/>
      <w:r>
        <w:rPr>
          <w:rFonts w:ascii="Arial" w:eastAsia="Arial" w:hAnsi="Arial" w:cs="Arial"/>
          <w:i/>
          <w:color w:val="000000"/>
          <w:sz w:val="20"/>
        </w:rPr>
        <w:t>Anderson</w:t>
      </w:r>
      <w:r>
        <w:rPr>
          <w:rFonts w:ascii="Arial" w:eastAsia="Arial" w:hAnsi="Arial" w:cs="Arial"/>
          <w:color w:val="000000"/>
          <w:sz w:val="20"/>
        </w:rPr>
        <w:t xml:space="preserve">, 798 F.3d at 357  [*310]  (quoting </w:t>
      </w:r>
      <w:bookmarkStart w:id="5037" w:name="Bookmark_I5RYPR0F2HM6V90010000400"/>
      <w:bookmarkEnd w:id="5037"/>
      <w:r>
        <w:rPr>
          <w:rFonts w:ascii="Arial" w:eastAsia="Arial" w:hAnsi="Arial" w:cs="Arial"/>
          <w:i/>
          <w:color w:val="000000"/>
          <w:sz w:val="20"/>
        </w:rPr>
        <w:t>Turner</w:t>
      </w:r>
      <w:r>
        <w:rPr>
          <w:rFonts w:ascii="Arial" w:eastAsia="Arial" w:hAnsi="Arial" w:cs="Arial"/>
          <w:color w:val="000000"/>
          <w:sz w:val="20"/>
        </w:rPr>
        <w:t>, 195 F. App'x at 353). It has not met this bar.</w:t>
      </w:r>
    </w:p>
    <w:p w:rsidR="00E456CD" w:rsidRDefault="00000000">
      <w:pPr>
        <w:pStyle w:val="Normal31"/>
        <w:widowControl w:val="0"/>
        <w:spacing w:before="200" w:line="260" w:lineRule="atLeast"/>
        <w:jc w:val="both"/>
      </w:pPr>
      <w:bookmarkStart w:id="5038" w:name="Bookmark_para_37_11"/>
      <w:bookmarkEnd w:id="5038"/>
      <w:r>
        <w:rPr>
          <w:rFonts w:ascii="Arial" w:eastAsia="Arial" w:hAnsi="Arial" w:cs="Arial"/>
          <w:color w:val="000000"/>
          <w:sz w:val="20"/>
        </w:rPr>
        <w:t xml:space="preserve">For one, Johnson City had a right under state law to participate in the CON hearing. </w:t>
      </w:r>
      <w:r>
        <w:rPr>
          <w:rFonts w:ascii="Arial" w:eastAsia="Arial" w:hAnsi="Arial" w:cs="Arial"/>
          <w:i/>
          <w:color w:val="000000"/>
          <w:sz w:val="20"/>
        </w:rPr>
        <w:t>See</w:t>
      </w:r>
      <w:r>
        <w:rPr>
          <w:rFonts w:ascii="Arial" w:eastAsia="Arial" w:hAnsi="Arial" w:cs="Arial"/>
          <w:color w:val="000000"/>
          <w:sz w:val="20"/>
        </w:rPr>
        <w:t xml:space="preserve"> Tenn. Code Ann. § 68-11-1624 (making clear that "a local governing body" may "participate in" a CON hearing "and express support or opposition to the granting of a certificate of need to the applicant"). The ADA, of course, trumps state law, </w:t>
      </w:r>
      <w:r>
        <w:rPr>
          <w:rFonts w:ascii="Arial" w:eastAsia="Arial" w:hAnsi="Arial" w:cs="Arial"/>
          <w:i/>
          <w:color w:val="000000"/>
          <w:sz w:val="20"/>
        </w:rPr>
        <w:t>see</w:t>
      </w:r>
      <w:r>
        <w:rPr>
          <w:rFonts w:ascii="Arial" w:eastAsia="Arial" w:hAnsi="Arial" w:cs="Arial"/>
          <w:color w:val="000000"/>
          <w:sz w:val="20"/>
        </w:rPr>
        <w:t xml:space="preserve"> U.S. CONST. art. VI, cl. 2, and whether such a rule itself violates the ADA is a separate question implicated below. But TCH's suggestion that Johnson City manifested animus by showing up to offer its opinion is clearly vitiated by the fact that Johnson City was invited by statute to do exactly that.</w:t>
      </w:r>
    </w:p>
    <w:p w:rsidR="00E456CD" w:rsidRDefault="00000000">
      <w:pPr>
        <w:pStyle w:val="Normal31"/>
        <w:widowControl w:val="0"/>
        <w:spacing w:before="200" w:line="260" w:lineRule="atLeast"/>
        <w:jc w:val="both"/>
      </w:pPr>
      <w:bookmarkStart w:id="5039" w:name="Bookmark_para_38_11"/>
      <w:bookmarkStart w:id="5040" w:name="Bookmark_I5RYPR0F2HM6V90040000400"/>
      <w:bookmarkEnd w:id="5039"/>
      <w:bookmarkEnd w:id="5040"/>
      <w:r>
        <w:rPr>
          <w:rFonts w:ascii="Arial" w:eastAsia="Arial" w:hAnsi="Arial" w:cs="Arial"/>
          <w:color w:val="000000"/>
          <w:sz w:val="20"/>
        </w:rPr>
        <w:t xml:space="preserve">TCH also maintains that Johnson City's expression of these views violated the "integration mandate" of </w:t>
      </w:r>
      <w:bookmarkStart w:id="5041" w:name="Bookmark_I5RYPR0F2HM6V90030000400"/>
      <w:bookmarkEnd w:id="5041"/>
      <w:r>
        <w:rPr>
          <w:rFonts w:ascii="Arial" w:eastAsia="Arial" w:hAnsi="Arial" w:cs="Arial"/>
          <w:i/>
          <w:color w:val="000000"/>
          <w:sz w:val="20"/>
        </w:rPr>
        <w:t>Olmstead v. L.C. ex rel. Zimring</w:t>
      </w:r>
      <w:r>
        <w:rPr>
          <w:rFonts w:ascii="Arial" w:eastAsia="Arial" w:hAnsi="Arial" w:cs="Arial"/>
          <w:color w:val="000000"/>
          <w:sz w:val="20"/>
        </w:rPr>
        <w:t xml:space="preserve">, 527 U.S. 581, 119 S. Ct. 2176, 144 L. Ed. 2d 540 (1999). </w:t>
      </w:r>
      <w:bookmarkStart w:id="5042" w:name="Bookmark_I5RYPR0F2HM6VB0010000400"/>
      <w:bookmarkEnd w:id="5042"/>
      <w:r>
        <w:rPr>
          <w:rFonts w:ascii="Arial" w:eastAsia="Arial" w:hAnsi="Arial" w:cs="Arial"/>
          <w:i/>
          <w:color w:val="000000"/>
          <w:sz w:val="20"/>
        </w:rPr>
        <w:t>TCH II</w:t>
      </w:r>
      <w:r>
        <w:rPr>
          <w:rFonts w:ascii="Arial" w:eastAsia="Arial" w:hAnsi="Arial" w:cs="Arial"/>
          <w:color w:val="000000"/>
          <w:sz w:val="20"/>
        </w:rPr>
        <w:t xml:space="preserve"> Appellants' Br. at 11. But this authority does little to support TCH's case. After all, </w:t>
      </w:r>
      <w:r>
        <w:rPr>
          <w:rFonts w:ascii="Arial" w:eastAsia="Arial" w:hAnsi="Arial" w:cs="Arial"/>
          <w:i/>
          <w:color w:val="000000"/>
          <w:sz w:val="20"/>
        </w:rPr>
        <w:t>Olmstead</w:t>
      </w:r>
      <w:r>
        <w:rPr>
          <w:rFonts w:ascii="Arial" w:eastAsia="Arial" w:hAnsi="Arial" w:cs="Arial"/>
          <w:color w:val="000000"/>
          <w:sz w:val="20"/>
        </w:rPr>
        <w:t xml:space="preserve"> does not require that a locality support every single application for necessary permits by a corporation seeking to serve disabled persons. </w:t>
      </w:r>
      <w:bookmarkStart w:id="5043" w:name="Bookmark_I5RYPR0F2HM6VB0010000400_2"/>
      <w:bookmarkEnd w:id="5043"/>
      <w:r>
        <w:rPr>
          <w:rFonts w:ascii="Arial" w:eastAsia="Arial" w:hAnsi="Arial" w:cs="Arial"/>
          <w:color w:val="000000"/>
          <w:sz w:val="20"/>
        </w:rPr>
        <w:t>Rather, it simply holds that</w:t>
      </w:r>
      <w:bookmarkStart w:id="5044" w:name="Bookmark_LNHNREFclscc8_19"/>
      <w:bookmarkEnd w:id="5044"/>
      <w:r>
        <w:rPr>
          <w:rFonts w:ascii="Arial" w:eastAsia="Arial" w:hAnsi="Arial" w:cs="Arial"/>
          <w:color w:val="000000"/>
          <w:sz w:val="20"/>
        </w:rPr>
        <w:t xml:space="preserve"> "placement of persons with mental disabilities in community settings rather than in institutions" is required under the ADA "when the State's treatment [**26]  professionals have determined that community placement is appropriate, the transfer from institutional care to a less restrictive setting is not opposed by the affected individual, and the placement can be reasonably accommodated, taking into account the resources available to the State and the needs of others with mental disabilities." </w:t>
      </w:r>
      <w:bookmarkStart w:id="5045" w:name="Bookmark_I5RYPR0F2HM6V90050000400"/>
      <w:bookmarkEnd w:id="5045"/>
      <w:r>
        <w:rPr>
          <w:rFonts w:ascii="Arial" w:eastAsia="Arial" w:hAnsi="Arial" w:cs="Arial"/>
          <w:i/>
          <w:color w:val="000000"/>
          <w:sz w:val="20"/>
        </w:rPr>
        <w:t>Olmstead</w:t>
      </w:r>
      <w:r>
        <w:rPr>
          <w:rFonts w:ascii="Arial" w:eastAsia="Arial" w:hAnsi="Arial" w:cs="Arial"/>
          <w:color w:val="000000"/>
          <w:sz w:val="20"/>
        </w:rPr>
        <w:t>, 527 U.S. at 587. TCH has not put forward nearly enough evidence to create a genuine issue of material fact as to whether Johnson City has run afoul of that more nuanced rule.</w:t>
      </w:r>
    </w:p>
    <w:p w:rsidR="00E456CD" w:rsidRDefault="00000000">
      <w:pPr>
        <w:pStyle w:val="Normal31"/>
        <w:widowControl w:val="0"/>
        <w:spacing w:before="200" w:line="260" w:lineRule="atLeast"/>
        <w:jc w:val="both"/>
      </w:pPr>
      <w:bookmarkStart w:id="5046" w:name="Bookmark_para_39_11"/>
      <w:bookmarkStart w:id="5047" w:name="Bookmark_I5RYPR0F2HM6VB0030000400"/>
      <w:bookmarkEnd w:id="5046"/>
      <w:bookmarkEnd w:id="5047"/>
      <w:r>
        <w:rPr>
          <w:rFonts w:ascii="Arial" w:eastAsia="Arial" w:hAnsi="Arial" w:cs="Arial"/>
          <w:color w:val="000000"/>
          <w:sz w:val="20"/>
        </w:rPr>
        <w:t xml:space="preserve">Meanwhile, TCH's argument that "state entities enjoy no Free Speech Clause Rights," </w:t>
      </w:r>
      <w:r>
        <w:rPr>
          <w:rFonts w:ascii="Arial" w:eastAsia="Arial" w:hAnsi="Arial" w:cs="Arial"/>
          <w:i/>
          <w:color w:val="000000"/>
          <w:sz w:val="20"/>
        </w:rPr>
        <w:t>see TCH II</w:t>
      </w:r>
      <w:r>
        <w:rPr>
          <w:rFonts w:ascii="Arial" w:eastAsia="Arial" w:hAnsi="Arial" w:cs="Arial"/>
          <w:color w:val="000000"/>
          <w:sz w:val="20"/>
        </w:rPr>
        <w:t xml:space="preserve"> Appellants' Br. at 18, is at best highly misleading, as even the portion of a Supreme Court opinion that TCH cites makes clear. </w:t>
      </w:r>
      <w:r>
        <w:rPr>
          <w:rFonts w:ascii="Arial" w:eastAsia="Arial" w:hAnsi="Arial" w:cs="Arial"/>
          <w:i/>
          <w:color w:val="000000"/>
          <w:sz w:val="20"/>
        </w:rPr>
        <w:t xml:space="preserve">See </w:t>
      </w:r>
      <w:bookmarkStart w:id="5048" w:name="Bookmark_I5RYPR0F2HM6VB0020000400"/>
      <w:bookmarkEnd w:id="5048"/>
      <w:r>
        <w:rPr>
          <w:rFonts w:ascii="Arial" w:eastAsia="Arial" w:hAnsi="Arial" w:cs="Arial"/>
          <w:i/>
          <w:color w:val="000000"/>
          <w:sz w:val="20"/>
        </w:rPr>
        <w:t>Columbia Broad. Sys., Inc. v. Democratic Nat'l Comm.</w:t>
      </w:r>
      <w:r>
        <w:rPr>
          <w:rFonts w:ascii="Arial" w:eastAsia="Arial" w:hAnsi="Arial" w:cs="Arial"/>
          <w:color w:val="000000"/>
          <w:sz w:val="20"/>
        </w:rPr>
        <w:t xml:space="preserve">, 412 U.S. 94, 139, 93 S. Ct. 2080, 36 L. Ed. 2d 772 &amp; n.7 (1973) (Stewart, J., concurring); </w:t>
      </w:r>
      <w:r>
        <w:rPr>
          <w:rFonts w:ascii="Arial" w:eastAsia="Arial" w:hAnsi="Arial" w:cs="Arial"/>
          <w:i/>
          <w:color w:val="000000"/>
          <w:sz w:val="20"/>
        </w:rPr>
        <w:t xml:space="preserve">see also </w:t>
      </w:r>
      <w:bookmarkStart w:id="5049" w:name="Bookmark_I5RYPR0F2HM6VB0040000400"/>
      <w:bookmarkEnd w:id="5049"/>
      <w:r>
        <w:rPr>
          <w:rFonts w:ascii="Arial" w:eastAsia="Arial" w:hAnsi="Arial" w:cs="Arial"/>
          <w:i/>
          <w:color w:val="000000"/>
          <w:sz w:val="20"/>
        </w:rPr>
        <w:t>Walker v. Sons of Confederate Veterans, Inc.</w:t>
      </w:r>
      <w:r>
        <w:rPr>
          <w:rFonts w:ascii="Arial" w:eastAsia="Arial" w:hAnsi="Arial" w:cs="Arial"/>
          <w:color w:val="000000"/>
          <w:sz w:val="20"/>
        </w:rPr>
        <w:t xml:space="preserve">, 135 S. Ct. 2239, 2246, 192 L. Ed. 2d 274 (2015) ("[A]s a general matter, when the government speaks it is entitled to promote a program, to espouse a policy, or to take a position."); </w:t>
      </w:r>
      <w:bookmarkStart w:id="5050" w:name="Bookmark_I5RYPR0F2SF8040010000400"/>
      <w:bookmarkEnd w:id="5050"/>
      <w:r>
        <w:rPr>
          <w:rFonts w:ascii="Arial" w:eastAsia="Arial" w:hAnsi="Arial" w:cs="Arial"/>
          <w:i/>
          <w:color w:val="000000"/>
          <w:sz w:val="20"/>
        </w:rPr>
        <w:t>Pleasant Grove City v. Summum</w:t>
      </w:r>
      <w:r>
        <w:rPr>
          <w:rFonts w:ascii="Arial" w:eastAsia="Arial" w:hAnsi="Arial" w:cs="Arial"/>
          <w:color w:val="000000"/>
          <w:sz w:val="20"/>
        </w:rPr>
        <w:t>, 555 U.S. 460, 467, 129 S. Ct. 1125, 172 L. Ed. 2d 853 (2009) ("A government entity has the right to 'speak for itself.'" (citation omitted)). Johnson City does not have a right to discriminate, to be sure, but it did have a right to express its nondiscriminatory views.</w:t>
      </w:r>
    </w:p>
    <w:p w:rsidR="00E456CD" w:rsidRDefault="00000000">
      <w:pPr>
        <w:pStyle w:val="Normal31"/>
        <w:widowControl w:val="0"/>
        <w:spacing w:before="200" w:line="260" w:lineRule="atLeast"/>
        <w:jc w:val="both"/>
      </w:pPr>
      <w:bookmarkStart w:id="5051" w:name="Bookmark_para_40_10"/>
      <w:bookmarkEnd w:id="5051"/>
      <w:r>
        <w:rPr>
          <w:rFonts w:ascii="Arial" w:eastAsia="Arial" w:hAnsi="Arial" w:cs="Arial"/>
          <w:color w:val="000000"/>
          <w:sz w:val="20"/>
        </w:rPr>
        <w:t xml:space="preserve">Nor does Johnson City's zoning ordinance appear to have been intended to affect (nor does it appear to have affected) [**27]  TCH's CON application itself. As noted above, Christoffersen urged HSDA board members not to take zoning into account in determining their votes, </w:t>
      </w:r>
      <w:r>
        <w:rPr>
          <w:rFonts w:ascii="Arial" w:eastAsia="Arial" w:hAnsi="Arial" w:cs="Arial"/>
          <w:i/>
          <w:color w:val="000000"/>
          <w:sz w:val="20"/>
        </w:rPr>
        <w:t>TCH III</w:t>
      </w:r>
      <w:r>
        <w:rPr>
          <w:rFonts w:ascii="Arial" w:eastAsia="Arial" w:hAnsi="Arial" w:cs="Arial"/>
          <w:color w:val="000000"/>
          <w:sz w:val="20"/>
        </w:rPr>
        <w:t xml:space="preserve"> R. 31-3 (Tr. of CON Application Hr'g at 8) (Page ID #1026), and there is no evidence in the record to the contrary. Similarly, TCH's claim that "TDMHSAS issued a negative report that TCH had only 'possibly established economic feasibility,' in part because Johnson City had refused TCH zoning approval based on its discriminatory zoning ordinance," </w:t>
      </w:r>
      <w:r>
        <w:rPr>
          <w:rFonts w:ascii="Arial" w:eastAsia="Arial" w:hAnsi="Arial" w:cs="Arial"/>
          <w:i/>
          <w:color w:val="000000"/>
          <w:sz w:val="20"/>
        </w:rPr>
        <w:t>TCH II</w:t>
      </w:r>
      <w:r>
        <w:rPr>
          <w:rFonts w:ascii="Arial" w:eastAsia="Arial" w:hAnsi="Arial" w:cs="Arial"/>
          <w:color w:val="000000"/>
          <w:sz w:val="20"/>
        </w:rPr>
        <w:t xml:space="preserve"> Appellants' Br. at 9 (quoting </w:t>
      </w:r>
      <w:r>
        <w:rPr>
          <w:rFonts w:ascii="Arial" w:eastAsia="Arial" w:hAnsi="Arial" w:cs="Arial"/>
          <w:i/>
          <w:color w:val="000000"/>
          <w:sz w:val="20"/>
        </w:rPr>
        <w:t>TCH II</w:t>
      </w:r>
      <w:r>
        <w:rPr>
          <w:rFonts w:ascii="Arial" w:eastAsia="Arial" w:hAnsi="Arial" w:cs="Arial"/>
          <w:color w:val="000000"/>
          <w:sz w:val="20"/>
        </w:rPr>
        <w:t xml:space="preserve"> R. 214-4 (Review of CON Application at 5-7) (Page ID #6012-14)), is at best highly confused. First of all, "economic feasibility" was TCH's </w:t>
      </w:r>
      <w:r>
        <w:rPr>
          <w:rFonts w:ascii="Arial" w:eastAsia="Arial" w:hAnsi="Arial" w:cs="Arial"/>
          <w:i/>
          <w:color w:val="000000"/>
          <w:sz w:val="20"/>
        </w:rPr>
        <w:t>best</w:t>
      </w:r>
      <w:r>
        <w:rPr>
          <w:rFonts w:ascii="Arial" w:eastAsia="Arial" w:hAnsi="Arial" w:cs="Arial"/>
          <w:color w:val="000000"/>
          <w:sz w:val="20"/>
        </w:rPr>
        <w:t xml:space="preserve"> score in the DMHSAS report: DMHSAS  [*311]  rated that factor "possibly . . . established," whereas it found both need and "contribut[ion] to the orderly development of healthcare" lacking. </w:t>
      </w:r>
      <w:r>
        <w:rPr>
          <w:rFonts w:ascii="Arial" w:eastAsia="Arial" w:hAnsi="Arial" w:cs="Arial"/>
          <w:i/>
          <w:color w:val="000000"/>
          <w:sz w:val="20"/>
        </w:rPr>
        <w:t>See TCH II</w:t>
      </w:r>
      <w:r>
        <w:rPr>
          <w:rFonts w:ascii="Arial" w:eastAsia="Arial" w:hAnsi="Arial" w:cs="Arial"/>
          <w:color w:val="000000"/>
          <w:sz w:val="20"/>
        </w:rPr>
        <w:t xml:space="preserve"> R. 214-4 (Review of CON Application at 5-7) (Page ID #6012-14). So it is odd for TCH to suggest that any harm to its economic-feasibility rating made a difference, when two other factors that it neglects to mention revealed bigger red flags. But even more importantly, the reason that DMHSAS found TCH's economic feasibility only </w:t>
      </w:r>
      <w:r>
        <w:rPr>
          <w:rFonts w:ascii="Arial" w:eastAsia="Arial" w:hAnsi="Arial" w:cs="Arial"/>
          <w:i/>
          <w:color w:val="000000"/>
          <w:sz w:val="20"/>
        </w:rPr>
        <w:t>possibly</w:t>
      </w:r>
      <w:r>
        <w:rPr>
          <w:rFonts w:ascii="Arial" w:eastAsia="Arial" w:hAnsi="Arial" w:cs="Arial"/>
          <w:color w:val="000000"/>
          <w:sz w:val="20"/>
        </w:rPr>
        <w:t xml:space="preserve"> established was not because of zoning, but [**28]  rather because TCH's application was missing "requested documentation." </w:t>
      </w:r>
      <w:r>
        <w:rPr>
          <w:rFonts w:ascii="Arial" w:eastAsia="Arial" w:hAnsi="Arial" w:cs="Arial"/>
          <w:i/>
          <w:color w:val="000000"/>
          <w:sz w:val="20"/>
        </w:rPr>
        <w:t>Id.</w:t>
      </w:r>
      <w:r>
        <w:rPr>
          <w:rFonts w:ascii="Arial" w:eastAsia="Arial" w:hAnsi="Arial" w:cs="Arial"/>
          <w:color w:val="000000"/>
          <w:sz w:val="20"/>
        </w:rPr>
        <w:t xml:space="preserve"> at 5 (Page ID #6012). And while the DMHSAS report </w:t>
      </w:r>
      <w:r>
        <w:rPr>
          <w:rFonts w:ascii="Arial" w:eastAsia="Arial" w:hAnsi="Arial" w:cs="Arial"/>
          <w:i/>
          <w:color w:val="000000"/>
          <w:sz w:val="20"/>
        </w:rPr>
        <w:t>does</w:t>
      </w:r>
      <w:r>
        <w:rPr>
          <w:rFonts w:ascii="Arial" w:eastAsia="Arial" w:hAnsi="Arial" w:cs="Arial"/>
          <w:color w:val="000000"/>
          <w:sz w:val="20"/>
        </w:rPr>
        <w:t xml:space="preserve"> mention the zoning issue under "orderly development of healthcare," all that it observes there is that TCH has not yet "provide[d] a current letter from the City of Johnson City that the proposed site meets zoning requirements" and that "the Applicant has requested zoning variances." </w:t>
      </w:r>
      <w:r>
        <w:rPr>
          <w:rFonts w:ascii="Arial" w:eastAsia="Arial" w:hAnsi="Arial" w:cs="Arial"/>
          <w:i/>
          <w:color w:val="000000"/>
          <w:sz w:val="20"/>
        </w:rPr>
        <w:t>Id.</w:t>
      </w:r>
      <w:r>
        <w:rPr>
          <w:rFonts w:ascii="Arial" w:eastAsia="Arial" w:hAnsi="Arial" w:cs="Arial"/>
          <w:color w:val="000000"/>
          <w:sz w:val="20"/>
        </w:rPr>
        <w:t xml:space="preserve"> at 7 (Page ID #6014). While doing so, the report also notes a bevy of other problems, including TCH's lack of "existing agreements and affiliations," its lack of "letters of support" from "local universities and professional societies," the lack of information about whether it can meet its proposed "staffing requirements," and the lack of clarity from its responses as to "whether [TCH] is fully aware of and understands the complexity of all federal, Tennessee, and local laws, regulations, rules, and ordinances" involved in its undertaking. </w:t>
      </w:r>
      <w:r>
        <w:rPr>
          <w:rFonts w:ascii="Arial" w:eastAsia="Arial" w:hAnsi="Arial" w:cs="Arial"/>
          <w:i/>
          <w:color w:val="000000"/>
          <w:sz w:val="20"/>
        </w:rPr>
        <w:t>Id.</w:t>
      </w:r>
      <w:r>
        <w:rPr>
          <w:rFonts w:ascii="Arial" w:eastAsia="Arial" w:hAnsi="Arial" w:cs="Arial"/>
          <w:color w:val="000000"/>
          <w:sz w:val="20"/>
        </w:rPr>
        <w:t xml:space="preserve"> at 6-7 (Page ID #6013-14). In short, the report does not help TCH's case.</w:t>
      </w:r>
    </w:p>
    <w:p w:rsidR="00E456CD" w:rsidRDefault="00000000">
      <w:pPr>
        <w:pStyle w:val="Normal31"/>
        <w:widowControl w:val="0"/>
        <w:spacing w:before="200" w:line="260" w:lineRule="atLeast"/>
        <w:jc w:val="both"/>
      </w:pPr>
      <w:bookmarkStart w:id="5052" w:name="Bookmark_para_41_9"/>
      <w:bookmarkStart w:id="5053" w:name="Bookmark_I37197BDR8J000BRKCT0008F"/>
      <w:bookmarkStart w:id="5054" w:name="Bookmark_I5RYPR0F2SF8040040000400"/>
      <w:bookmarkEnd w:id="5052"/>
      <w:bookmarkEnd w:id="5053"/>
      <w:bookmarkEnd w:id="5054"/>
      <w:r>
        <w:rPr>
          <w:rFonts w:ascii="Arial" w:eastAsia="Arial" w:hAnsi="Arial" w:cs="Arial"/>
          <w:color w:val="000000"/>
          <w:sz w:val="20"/>
        </w:rPr>
        <w:t xml:space="preserve">Perhaps most importantly, the record of the CON hearing itself does not disclose the "wide-spread community animus," </w:t>
      </w:r>
      <w:r>
        <w:rPr>
          <w:rFonts w:ascii="Arial" w:eastAsia="Arial" w:hAnsi="Arial" w:cs="Arial"/>
          <w:i/>
          <w:color w:val="000000"/>
          <w:sz w:val="20"/>
        </w:rPr>
        <w:t>TCH III</w:t>
      </w:r>
      <w:r>
        <w:rPr>
          <w:rFonts w:ascii="Arial" w:eastAsia="Arial" w:hAnsi="Arial" w:cs="Arial"/>
          <w:color w:val="000000"/>
          <w:sz w:val="20"/>
        </w:rPr>
        <w:t xml:space="preserve"> Appellants' Br. at 12, against opioid-addicted persons that [**29]  TCH claims. Such cases certainly do exist: in </w:t>
      </w:r>
      <w:bookmarkStart w:id="5055" w:name="Bookmark_I5RYPR0F2SF8040030000400"/>
      <w:bookmarkEnd w:id="5055"/>
      <w:r>
        <w:rPr>
          <w:rFonts w:ascii="Arial" w:eastAsia="Arial" w:hAnsi="Arial" w:cs="Arial"/>
          <w:i/>
          <w:color w:val="000000"/>
          <w:sz w:val="20"/>
        </w:rPr>
        <w:t>MX Group, Inc. v. City of Covington</w:t>
      </w:r>
      <w:r>
        <w:rPr>
          <w:rFonts w:ascii="Arial" w:eastAsia="Arial" w:hAnsi="Arial" w:cs="Arial"/>
          <w:color w:val="000000"/>
          <w:sz w:val="20"/>
        </w:rPr>
        <w:t xml:space="preserve">, 293 F.3d 326 (6th Cir. 2002), for example, we affirmed a judgment for a methadone clinic after it had its zoning permit revoked following substantial and suspicious public opposition—including an assistant police chief testifying, without supporting evidence, about supposed crime risks associated with methadone clinics, </w:t>
      </w:r>
      <w:bookmarkStart w:id="5056" w:name="Bookmark_I5RYPR0F2SF8040050000400"/>
      <w:bookmarkEnd w:id="5056"/>
      <w:r>
        <w:rPr>
          <w:rFonts w:ascii="Arial" w:eastAsia="Arial" w:hAnsi="Arial" w:cs="Arial"/>
          <w:i/>
          <w:color w:val="000000"/>
          <w:sz w:val="20"/>
        </w:rPr>
        <w:t>id.</w:t>
      </w:r>
      <w:r>
        <w:rPr>
          <w:rFonts w:ascii="Arial" w:eastAsia="Arial" w:hAnsi="Arial" w:cs="Arial"/>
          <w:color w:val="000000"/>
          <w:sz w:val="20"/>
        </w:rPr>
        <w:t xml:space="preserve"> at 329-30—and where, after that, the city passed a zoning amendment that "completely foreclosed" the clinic's "opportunity to locate in the city," </w:t>
      </w:r>
      <w:bookmarkStart w:id="5057" w:name="Bookmark_I5RYPR0F2N1R0J0020000400"/>
      <w:bookmarkEnd w:id="5057"/>
      <w:r>
        <w:rPr>
          <w:rFonts w:ascii="Arial" w:eastAsia="Arial" w:hAnsi="Arial" w:cs="Arial"/>
          <w:i/>
          <w:color w:val="000000"/>
          <w:sz w:val="20"/>
        </w:rPr>
        <w:t>id.</w:t>
      </w:r>
      <w:r>
        <w:rPr>
          <w:rFonts w:ascii="Arial" w:eastAsia="Arial" w:hAnsi="Arial" w:cs="Arial"/>
          <w:color w:val="000000"/>
          <w:sz w:val="20"/>
        </w:rPr>
        <w:t xml:space="preserve"> at 331. But that is not this case. Instead, as is already clear, the record here is devoid of animus against people struggling with addiction, and instead principally reflects two kinds of permissible skepticism unrelated to disability: first, skepticism that methadone is better than buprenorphine (which was already plentifully available), and second, skepticism about Kester and the type of operation that he was likely to lead.</w:t>
      </w:r>
      <w:r>
        <w:rPr>
          <w:rFonts w:ascii="Arial" w:eastAsia="Arial" w:hAnsi="Arial" w:cs="Arial"/>
          <w:vertAlign w:val="superscript"/>
        </w:rPr>
        <w:footnoteReference w:customMarkFollows="1" w:id="225"/>
        <w:t>14</w:t>
      </w:r>
      <w:r>
        <w:rPr>
          <w:rFonts w:ascii="Arial" w:eastAsia="Arial" w:hAnsi="Arial" w:cs="Arial"/>
          <w:color w:val="000000"/>
          <w:sz w:val="20"/>
        </w:rPr>
        <w:t xml:space="preserve"> We express no view on whether either vein of skepticism was ultimately correct; what matters is that there is no evidence that either was motivated by (or, for that matter, used to conceal) animus against the protected group.</w:t>
      </w:r>
      <w:r>
        <w:rPr>
          <w:rFonts w:ascii="Arial" w:eastAsia="Arial" w:hAnsi="Arial" w:cs="Arial"/>
          <w:vertAlign w:val="superscript"/>
        </w:rPr>
        <w:footnoteReference w:customMarkFollows="1" w:id="226"/>
        <w:t>15</w:t>
      </w:r>
    </w:p>
    <w:p w:rsidR="00E456CD" w:rsidRDefault="00000000">
      <w:pPr>
        <w:pStyle w:val="Normal31"/>
        <w:widowControl w:val="0"/>
        <w:spacing w:before="200" w:line="260" w:lineRule="atLeast"/>
        <w:jc w:val="both"/>
      </w:pPr>
      <w:bookmarkStart w:id="5060" w:name="Bookmark_para_42_8"/>
      <w:bookmarkEnd w:id="5060"/>
      <w:r>
        <w:rPr>
          <w:rFonts w:ascii="Arial" w:eastAsia="Arial" w:hAnsi="Arial" w:cs="Arial"/>
          <w:color w:val="000000"/>
          <w:sz w:val="20"/>
        </w:rPr>
        <w:t xml:space="preserve"> [*312]  TCH seeks to avoid this conclusion by picking [**30]  out two quotes from the hearing that, divorced from context, understandably give pause. The first quote is an HSDA board member's having characterized Johnson City's response as "staunch opposition in this particular area to this kind of treatment." </w:t>
      </w:r>
      <w:r>
        <w:rPr>
          <w:rFonts w:ascii="Arial" w:eastAsia="Arial" w:hAnsi="Arial" w:cs="Arial"/>
          <w:i/>
          <w:color w:val="000000"/>
          <w:sz w:val="20"/>
        </w:rPr>
        <w:t>See TCH III</w:t>
      </w:r>
      <w:r>
        <w:rPr>
          <w:rFonts w:ascii="Arial" w:eastAsia="Arial" w:hAnsi="Arial" w:cs="Arial"/>
          <w:color w:val="000000"/>
          <w:sz w:val="20"/>
        </w:rPr>
        <w:t xml:space="preserve"> R. 31-3 (Tr. of CON Application Hr'g at 186) (Page ID #1204). But closer inspection belies the significance that TCH ascribes to this quote. For one, the quote clearly refers to an apparent preference for a </w:t>
      </w:r>
      <w:r>
        <w:rPr>
          <w:rFonts w:ascii="Arial" w:eastAsia="Arial" w:hAnsi="Arial" w:cs="Arial"/>
          <w:i/>
          <w:color w:val="000000"/>
          <w:sz w:val="20"/>
        </w:rPr>
        <w:t>different</w:t>
      </w:r>
      <w:r>
        <w:rPr>
          <w:rFonts w:ascii="Arial" w:eastAsia="Arial" w:hAnsi="Arial" w:cs="Arial"/>
          <w:color w:val="000000"/>
          <w:sz w:val="20"/>
        </w:rPr>
        <w:t xml:space="preserve"> kind of treatment—buprenorphine—which, as already discussed, is hardly a smoking gun for animus. And moreover, TCH's quotation omits the end of the sentence, which, reproduced in full, reads: "I see it really as a staunch opposition in this particular area to this kind of treatment, and also, obviously, opposition to the provider themselves." </w:t>
      </w:r>
      <w:r>
        <w:rPr>
          <w:rFonts w:ascii="Arial" w:eastAsia="Arial" w:hAnsi="Arial" w:cs="Arial"/>
          <w:i/>
          <w:color w:val="000000"/>
          <w:sz w:val="20"/>
        </w:rPr>
        <w:t>Id.</w:t>
      </w:r>
      <w:r>
        <w:rPr>
          <w:rFonts w:ascii="Arial" w:eastAsia="Arial" w:hAnsi="Arial" w:cs="Arial"/>
          <w:color w:val="000000"/>
          <w:sz w:val="20"/>
        </w:rPr>
        <w:t xml:space="preserve"> at 186 (Page ID #1204). As likewise discussed, the record amply supports the accuracy of this second clause.</w:t>
      </w:r>
    </w:p>
    <w:p w:rsidR="00E456CD" w:rsidRDefault="00000000">
      <w:pPr>
        <w:pStyle w:val="Normal31"/>
        <w:widowControl w:val="0"/>
        <w:spacing w:before="200" w:line="260" w:lineRule="atLeast"/>
        <w:jc w:val="both"/>
      </w:pPr>
      <w:bookmarkStart w:id="5061" w:name="Bookmark_para_43_6"/>
      <w:bookmarkEnd w:id="5061"/>
      <w:r>
        <w:rPr>
          <w:rFonts w:ascii="Arial" w:eastAsia="Arial" w:hAnsi="Arial" w:cs="Arial"/>
          <w:color w:val="000000"/>
          <w:sz w:val="20"/>
        </w:rPr>
        <w:t xml:space="preserve">The other snippet that TCH carves out is even more misleading. "At the CON hearing," TCH states in its brief, "a </w:t>
      </w:r>
      <w:r>
        <w:rPr>
          <w:rFonts w:ascii="Arial" w:eastAsia="Arial" w:hAnsi="Arial" w:cs="Arial"/>
          <w:i/>
          <w:color w:val="000000"/>
          <w:sz w:val="20"/>
        </w:rPr>
        <w:t>Johnson City Press</w:t>
      </w:r>
      <w:r>
        <w:rPr>
          <w:rFonts w:ascii="Arial" w:eastAsia="Arial" w:hAnsi="Arial" w:cs="Arial"/>
          <w:color w:val="000000"/>
          <w:sz w:val="20"/>
        </w:rPr>
        <w:t xml:space="preserve"> news story was read aloud quoting a Johnson City Commissioner, saying 'We want the applicant to get the message methadone clinics are not welcome [**31]  in Johnson City.'" </w:t>
      </w:r>
      <w:r>
        <w:rPr>
          <w:rFonts w:ascii="Arial" w:eastAsia="Arial" w:hAnsi="Arial" w:cs="Arial"/>
          <w:i/>
          <w:color w:val="000000"/>
          <w:sz w:val="20"/>
        </w:rPr>
        <w:t>TCH II</w:t>
      </w:r>
      <w:r>
        <w:rPr>
          <w:rFonts w:ascii="Arial" w:eastAsia="Arial" w:hAnsi="Arial" w:cs="Arial"/>
          <w:color w:val="000000"/>
          <w:sz w:val="20"/>
        </w:rPr>
        <w:t xml:space="preserve"> Appellants' Br. at 10; </w:t>
      </w:r>
      <w:r>
        <w:rPr>
          <w:rFonts w:ascii="Arial" w:eastAsia="Arial" w:hAnsi="Arial" w:cs="Arial"/>
          <w:i/>
          <w:color w:val="000000"/>
          <w:sz w:val="20"/>
        </w:rPr>
        <w:t>TCH III</w:t>
      </w:r>
      <w:r>
        <w:rPr>
          <w:rFonts w:ascii="Arial" w:eastAsia="Arial" w:hAnsi="Arial" w:cs="Arial"/>
          <w:color w:val="000000"/>
          <w:sz w:val="20"/>
        </w:rPr>
        <w:t xml:space="preserve"> Appellants' Br. at 12. If this were in fact telling evidence, there might well be a genuine dispute of material fact. But, for one, the full quote makes clear that the news story in question was more than a decade old and unrelated to the CON application at issue. </w:t>
      </w:r>
      <w:bookmarkStart w:id="5062" w:name="Bookmark_I5RYPR0F2N1R0J0050000400"/>
      <w:bookmarkEnd w:id="5062"/>
      <w:r>
        <w:rPr>
          <w:rFonts w:ascii="Arial" w:eastAsia="Arial" w:hAnsi="Arial" w:cs="Arial"/>
          <w:i/>
          <w:color w:val="000000"/>
          <w:sz w:val="20"/>
        </w:rPr>
        <w:t>See TCH III</w:t>
      </w:r>
      <w:r>
        <w:rPr>
          <w:rFonts w:ascii="Arial" w:eastAsia="Arial" w:hAnsi="Arial" w:cs="Arial"/>
          <w:color w:val="000000"/>
          <w:sz w:val="20"/>
        </w:rPr>
        <w:t xml:space="preserve"> R. 31-3 (Tr. of CON Application Hr'g at 84-85) (Page ID #1102-03). Second, the attendee who chose to read this outdated and largely irrelevant quote into the record was not a city participant or disinterested onlooker, but rather Kester himself. </w:t>
      </w:r>
      <w:r>
        <w:rPr>
          <w:rFonts w:ascii="Arial" w:eastAsia="Arial" w:hAnsi="Arial" w:cs="Arial"/>
          <w:i/>
          <w:color w:val="000000"/>
          <w:sz w:val="20"/>
        </w:rPr>
        <w:t>Id.</w:t>
      </w:r>
      <w:r>
        <w:rPr>
          <w:rFonts w:ascii="Arial" w:eastAsia="Arial" w:hAnsi="Arial" w:cs="Arial"/>
          <w:color w:val="000000"/>
          <w:sz w:val="20"/>
        </w:rPr>
        <w:t xml:space="preserve"> </w:t>
      </w:r>
      <w:bookmarkStart w:id="5063" w:name="Bookmark_LNHNREFclscc9_15"/>
      <w:bookmarkEnd w:id="5063"/>
      <w:r>
        <w:rPr>
          <w:rFonts w:ascii="Arial" w:eastAsia="Arial" w:hAnsi="Arial" w:cs="Arial"/>
          <w:color w:val="000000"/>
          <w:sz w:val="20"/>
        </w:rPr>
        <w:t xml:space="preserve">A plaintiff (or, in this case, its agent and partial owner) cannot avert summary judgment by "manufactur[ing] a genuine issue of material fact" in this way. </w:t>
      </w:r>
      <w:r>
        <w:rPr>
          <w:rFonts w:ascii="Arial" w:eastAsia="Arial" w:hAnsi="Arial" w:cs="Arial"/>
          <w:i/>
          <w:color w:val="000000"/>
          <w:sz w:val="20"/>
        </w:rPr>
        <w:t xml:space="preserve">See </w:t>
      </w:r>
      <w:bookmarkStart w:id="5064" w:name="Bookmark_I5RYPR0F2N1R0J0040000400"/>
      <w:bookmarkEnd w:id="5064"/>
      <w:r>
        <w:rPr>
          <w:rFonts w:ascii="Arial" w:eastAsia="Arial" w:hAnsi="Arial" w:cs="Arial"/>
          <w:i/>
          <w:color w:val="000000"/>
          <w:sz w:val="20"/>
        </w:rPr>
        <w:t>Brenneman v. MedCentral Health Sys.</w:t>
      </w:r>
      <w:r>
        <w:rPr>
          <w:rFonts w:ascii="Arial" w:eastAsia="Arial" w:hAnsi="Arial" w:cs="Arial"/>
          <w:color w:val="000000"/>
          <w:sz w:val="20"/>
        </w:rPr>
        <w:t>, 366 F.3d 412, 420 (6th Cir. 2004). This claim fails.</w:t>
      </w:r>
    </w:p>
    <w:p w:rsidR="00E456CD" w:rsidRDefault="00000000">
      <w:pPr>
        <w:pStyle w:val="Normal31"/>
        <w:widowControl w:val="0"/>
        <w:spacing w:before="240" w:line="260" w:lineRule="atLeast"/>
      </w:pPr>
      <w:r>
        <w:br/>
      </w:r>
      <w:r>
        <w:rPr>
          <w:rFonts w:ascii="Arial" w:eastAsia="Arial" w:hAnsi="Arial" w:cs="Arial"/>
          <w:b/>
          <w:color w:val="000000"/>
          <w:sz w:val="20"/>
        </w:rPr>
        <w:t>E. Issue 3: The HSDA's Denial of a CON</w:t>
      </w:r>
    </w:p>
    <w:p w:rsidR="00E456CD" w:rsidRDefault="00000000">
      <w:pPr>
        <w:pStyle w:val="Normal31"/>
        <w:widowControl w:val="0"/>
        <w:spacing w:before="200" w:line="260" w:lineRule="atLeast"/>
        <w:jc w:val="both"/>
      </w:pPr>
      <w:bookmarkStart w:id="5065" w:name="Bookmark_para_44_6"/>
      <w:bookmarkStart w:id="5066" w:name="Bookmark_I5RYPR0F2SF8050020000400"/>
      <w:bookmarkStart w:id="5067" w:name="Bookmark_I5RYPR0F2N1R0K0010000400"/>
      <w:bookmarkEnd w:id="5065"/>
      <w:bookmarkEnd w:id="5066"/>
      <w:bookmarkEnd w:id="5067"/>
      <w:r>
        <w:rPr>
          <w:rFonts w:ascii="Arial" w:eastAsia="Arial" w:hAnsi="Arial" w:cs="Arial"/>
          <w:color w:val="000000"/>
          <w:sz w:val="20"/>
        </w:rPr>
        <w:t xml:space="preserve">In light of the foregoing, the question of whether the HSDA violated the ADA in denying TCH's CON application can be dealt with more briefly. The public benefit that TCH sought here was a CON. </w:t>
      </w:r>
      <w:bookmarkStart w:id="5068" w:name="Bookmark_LNHNREFclscc10_14"/>
      <w:bookmarkEnd w:id="5068"/>
      <w:r>
        <w:rPr>
          <w:rFonts w:ascii="Arial" w:eastAsia="Arial" w:hAnsi="Arial" w:cs="Arial"/>
          <w:color w:val="000000"/>
          <w:sz w:val="20"/>
        </w:rPr>
        <w:t xml:space="preserve">In making available a public benefit, like a CON, state actors are not required to ensure that each applicant accrues purely "equal results from the provision of the benefit." </w:t>
      </w:r>
      <w:r>
        <w:rPr>
          <w:rFonts w:ascii="Arial" w:eastAsia="Arial" w:hAnsi="Arial" w:cs="Arial"/>
          <w:i/>
          <w:color w:val="000000"/>
          <w:sz w:val="20"/>
        </w:rPr>
        <w:t xml:space="preserve">See </w:t>
      </w:r>
      <w:bookmarkStart w:id="5069" w:name="Bookmark_I5RYPR0F2SF8050010000400"/>
      <w:bookmarkEnd w:id="5069"/>
      <w:r>
        <w:rPr>
          <w:rFonts w:ascii="Arial" w:eastAsia="Arial" w:hAnsi="Arial" w:cs="Arial"/>
          <w:i/>
          <w:color w:val="000000"/>
          <w:sz w:val="20"/>
        </w:rPr>
        <w:t>Jones v. City of Monroe</w:t>
      </w:r>
      <w:r>
        <w:rPr>
          <w:rFonts w:ascii="Arial" w:eastAsia="Arial" w:hAnsi="Arial" w:cs="Arial"/>
          <w:color w:val="000000"/>
          <w:sz w:val="20"/>
        </w:rPr>
        <w:t xml:space="preserve">, 341 F.3d 474, 479 (6th Cir. 2003); </w:t>
      </w:r>
      <w:r>
        <w:rPr>
          <w:rFonts w:ascii="Arial" w:eastAsia="Arial" w:hAnsi="Arial" w:cs="Arial"/>
          <w:i/>
          <w:color w:val="000000"/>
          <w:sz w:val="20"/>
        </w:rPr>
        <w:t xml:space="preserve">see also </w:t>
      </w:r>
      <w:bookmarkStart w:id="5070" w:name="Bookmark_I5RYPR0F2SF8050030000400"/>
      <w:bookmarkEnd w:id="5070"/>
      <w:r>
        <w:rPr>
          <w:rFonts w:ascii="Arial" w:eastAsia="Arial" w:hAnsi="Arial" w:cs="Arial"/>
          <w:i/>
          <w:color w:val="000000"/>
          <w:sz w:val="20"/>
        </w:rPr>
        <w:t>Alexander v. Choate</w:t>
      </w:r>
      <w:r>
        <w:rPr>
          <w:rFonts w:ascii="Arial" w:eastAsia="Arial" w:hAnsi="Arial" w:cs="Arial"/>
          <w:color w:val="000000"/>
          <w:sz w:val="20"/>
        </w:rPr>
        <w:t xml:space="preserve">, 469 U.S. 287, 302-03, 105 S. Ct. 712, 83 L. Ed. 2d 661 (1985). Rather, as noted [**32]  above, it is TCH's burden to "present evidence that animus against the protected group was a significant factor in the" board's decision to withhold a CON. </w:t>
      </w:r>
      <w:r>
        <w:rPr>
          <w:rFonts w:ascii="Arial" w:eastAsia="Arial" w:hAnsi="Arial" w:cs="Arial"/>
          <w:i/>
          <w:color w:val="000000"/>
          <w:sz w:val="20"/>
        </w:rPr>
        <w:t xml:space="preserve">See </w:t>
      </w:r>
      <w:bookmarkStart w:id="5071" w:name="Bookmark_I5RYPR0F2SF8050050000400"/>
      <w:bookmarkEnd w:id="5071"/>
      <w:r>
        <w:rPr>
          <w:rFonts w:ascii="Arial" w:eastAsia="Arial" w:hAnsi="Arial" w:cs="Arial"/>
          <w:i/>
          <w:color w:val="000000"/>
          <w:sz w:val="20"/>
        </w:rPr>
        <w:t>Anderson</w:t>
      </w:r>
      <w:r>
        <w:rPr>
          <w:rFonts w:ascii="Arial" w:eastAsia="Arial" w:hAnsi="Arial" w:cs="Arial"/>
          <w:color w:val="000000"/>
          <w:sz w:val="20"/>
        </w:rPr>
        <w:t xml:space="preserve">, 798 F.3d at 357 (quoting </w:t>
      </w:r>
      <w:bookmarkStart w:id="5072" w:name="Bookmark_I5RYPR0F2N1R0K0020000400"/>
      <w:bookmarkEnd w:id="5072"/>
      <w:r>
        <w:rPr>
          <w:rFonts w:ascii="Arial" w:eastAsia="Arial" w:hAnsi="Arial" w:cs="Arial"/>
          <w:i/>
          <w:color w:val="000000"/>
          <w:sz w:val="20"/>
        </w:rPr>
        <w:t>Turner</w:t>
      </w:r>
      <w:r>
        <w:rPr>
          <w:rFonts w:ascii="Arial" w:eastAsia="Arial" w:hAnsi="Arial" w:cs="Arial"/>
          <w:color w:val="000000"/>
          <w:sz w:val="20"/>
        </w:rPr>
        <w:t>, 195 F. App'x at 353).</w:t>
      </w:r>
    </w:p>
    <w:p w:rsidR="00E456CD" w:rsidRDefault="00000000">
      <w:pPr>
        <w:pStyle w:val="Normal31"/>
        <w:widowControl w:val="0"/>
        <w:spacing w:before="200" w:line="260" w:lineRule="atLeast"/>
        <w:jc w:val="both"/>
      </w:pPr>
      <w:bookmarkStart w:id="5073" w:name="Bookmark_para_45_6"/>
      <w:bookmarkEnd w:id="5073"/>
      <w:r>
        <w:rPr>
          <w:rFonts w:ascii="Arial" w:eastAsia="Arial" w:hAnsi="Arial" w:cs="Arial"/>
          <w:color w:val="000000"/>
          <w:sz w:val="20"/>
        </w:rPr>
        <w:t xml:space="preserve">As the preceding discussion helps make clear, TCH has failed to present such evidence. None of the participants in the CON meeting, let alone any of the HSDA board members, expressed animus against disabled persons or the entities that serve them. Rather, as already discussed, the participants primarily expressed skepticism about methadone as a treatment as compared against </w:t>
      </w:r>
      <w:r>
        <w:rPr>
          <w:rFonts w:ascii="Arial" w:eastAsia="Arial" w:hAnsi="Arial" w:cs="Arial"/>
          <w:i/>
          <w:color w:val="000000"/>
          <w:sz w:val="20"/>
        </w:rPr>
        <w:t>other</w:t>
      </w:r>
      <w:r>
        <w:rPr>
          <w:rFonts w:ascii="Arial" w:eastAsia="Arial" w:hAnsi="Arial" w:cs="Arial"/>
          <w:color w:val="000000"/>
          <w:sz w:val="20"/>
        </w:rPr>
        <w:t xml:space="preserve"> types of already-available treatments (chiefly buprenorphine), and skepticism about Kester and his business model. Nor does the DMHSAS report on which the board relied reveal any discriminatory animus, but rather a sober, lengthy analysis of the relevant, statutorily prescribed factors. </w:t>
      </w:r>
      <w:r>
        <w:rPr>
          <w:rFonts w:ascii="Arial" w:eastAsia="Arial" w:hAnsi="Arial" w:cs="Arial"/>
          <w:i/>
          <w:color w:val="000000"/>
          <w:sz w:val="20"/>
        </w:rPr>
        <w:t>See</w:t>
      </w:r>
      <w:r>
        <w:rPr>
          <w:rFonts w:ascii="Arial" w:eastAsia="Arial" w:hAnsi="Arial" w:cs="Arial"/>
          <w:color w:val="000000"/>
          <w:sz w:val="20"/>
        </w:rPr>
        <w:t xml:space="preserve"> Tenn. Code Ann. §§ 68-11-1608(a),  [*313]  -1609(b), -1614; </w:t>
      </w:r>
      <w:r>
        <w:rPr>
          <w:rFonts w:ascii="Arial" w:eastAsia="Arial" w:hAnsi="Arial" w:cs="Arial"/>
          <w:i/>
          <w:color w:val="000000"/>
          <w:sz w:val="20"/>
        </w:rPr>
        <w:t>TCH III</w:t>
      </w:r>
      <w:r>
        <w:rPr>
          <w:rFonts w:ascii="Arial" w:eastAsia="Arial" w:hAnsi="Arial" w:cs="Arial"/>
          <w:color w:val="000000"/>
          <w:sz w:val="20"/>
        </w:rPr>
        <w:t xml:space="preserve"> R. 15-1 (Review of CON Application) (Page ID #130-47).</w:t>
      </w:r>
    </w:p>
    <w:p w:rsidR="00E456CD" w:rsidRDefault="00000000">
      <w:pPr>
        <w:pStyle w:val="Normal31"/>
        <w:widowControl w:val="0"/>
        <w:spacing w:before="200" w:line="260" w:lineRule="atLeast"/>
        <w:jc w:val="both"/>
      </w:pPr>
      <w:bookmarkStart w:id="5074" w:name="Bookmark_para_46_5"/>
      <w:bookmarkEnd w:id="5074"/>
      <w:r>
        <w:rPr>
          <w:rFonts w:ascii="Arial" w:eastAsia="Arial" w:hAnsi="Arial" w:cs="Arial"/>
          <w:color w:val="000000"/>
          <w:sz w:val="20"/>
        </w:rPr>
        <w:t xml:space="preserve">TCH's allegations of discriminatory intent on HSDA's part are also difficult to square with Kester's own declaration that other, similar clinics had received CONs and were "operating in other parts of Tennessee," </w:t>
      </w:r>
      <w:r>
        <w:rPr>
          <w:rFonts w:ascii="Arial" w:eastAsia="Arial" w:hAnsi="Arial" w:cs="Arial"/>
          <w:i/>
          <w:color w:val="000000"/>
          <w:sz w:val="20"/>
        </w:rPr>
        <w:t>TCH II</w:t>
      </w:r>
      <w:r>
        <w:rPr>
          <w:rFonts w:ascii="Arial" w:eastAsia="Arial" w:hAnsi="Arial" w:cs="Arial"/>
          <w:color w:val="000000"/>
          <w:sz w:val="20"/>
        </w:rPr>
        <w:t xml:space="preserve"> R. 46 (Kester Decl. at 3 ¶ 16) (Page ID #3010), as well [**33]  as with the HSDA's having granted a CON for a methadone clinic in the Johnson City area specifically, </w:t>
      </w:r>
      <w:r>
        <w:rPr>
          <w:rFonts w:ascii="Arial" w:eastAsia="Arial" w:hAnsi="Arial" w:cs="Arial"/>
          <w:i/>
          <w:color w:val="000000"/>
          <w:sz w:val="20"/>
        </w:rPr>
        <w:t>TCH II</w:t>
      </w:r>
      <w:r>
        <w:rPr>
          <w:rFonts w:ascii="Arial" w:eastAsia="Arial" w:hAnsi="Arial" w:cs="Arial"/>
          <w:color w:val="000000"/>
          <w:sz w:val="20"/>
        </w:rPr>
        <w:t xml:space="preserve"> R. 214-9 (Tr. of MSHA CON Application Hr'g at 8, 82) (Page ID #6057, 6131). All of which makes sense, given that the HSDA is a statewide board, quite possibly created to avoid the not-in-my-backyard-type dangers that more local review could conceivably invite.</w:t>
      </w:r>
    </w:p>
    <w:p w:rsidR="00E456CD" w:rsidRDefault="00000000">
      <w:pPr>
        <w:pStyle w:val="Normal31"/>
        <w:widowControl w:val="0"/>
        <w:spacing w:before="200" w:line="260" w:lineRule="atLeast"/>
        <w:jc w:val="both"/>
      </w:pPr>
      <w:bookmarkStart w:id="5075" w:name="Bookmark_para_47_5"/>
      <w:bookmarkStart w:id="5076" w:name="Bookmark_I5RYPR0F2N1R0K0050000400"/>
      <w:bookmarkEnd w:id="5075"/>
      <w:bookmarkEnd w:id="5076"/>
      <w:r>
        <w:rPr>
          <w:rFonts w:ascii="Arial" w:eastAsia="Arial" w:hAnsi="Arial" w:cs="Arial"/>
          <w:color w:val="000000"/>
          <w:sz w:val="20"/>
        </w:rPr>
        <w:t xml:space="preserve">Even if TCH could make out a prima facie case, it would fail at step three of the </w:t>
      </w:r>
      <w:r>
        <w:rPr>
          <w:rFonts w:ascii="Arial" w:eastAsia="Arial" w:hAnsi="Arial" w:cs="Arial"/>
          <w:i/>
          <w:color w:val="000000"/>
          <w:sz w:val="20"/>
        </w:rPr>
        <w:t>McDonnell Douglas</w:t>
      </w:r>
      <w:r>
        <w:rPr>
          <w:rFonts w:ascii="Arial" w:eastAsia="Arial" w:hAnsi="Arial" w:cs="Arial"/>
          <w:color w:val="000000"/>
          <w:sz w:val="20"/>
        </w:rPr>
        <w:t xml:space="preserve"> framework for the reasons just discussed. The reasons provided by the DMHSAS and the HSDA members plainly qualify as "legitimate" and "nondiscriminatory," and TCH has wholly failed to "present evidence allowing a jury to find that the [defendants'] explanation is a pretext for unlawful discrimination." </w:t>
      </w:r>
      <w:r>
        <w:rPr>
          <w:rFonts w:ascii="Arial" w:eastAsia="Arial" w:hAnsi="Arial" w:cs="Arial"/>
          <w:i/>
          <w:color w:val="000000"/>
          <w:sz w:val="20"/>
        </w:rPr>
        <w:t xml:space="preserve">See </w:t>
      </w:r>
      <w:bookmarkStart w:id="5077" w:name="Bookmark_I5RYPR0F2N1R0K0040000400"/>
      <w:bookmarkEnd w:id="5077"/>
      <w:r>
        <w:rPr>
          <w:rFonts w:ascii="Arial" w:eastAsia="Arial" w:hAnsi="Arial" w:cs="Arial"/>
          <w:i/>
          <w:color w:val="000000"/>
          <w:sz w:val="20"/>
        </w:rPr>
        <w:t>Anderson</w:t>
      </w:r>
      <w:r>
        <w:rPr>
          <w:rFonts w:ascii="Arial" w:eastAsia="Arial" w:hAnsi="Arial" w:cs="Arial"/>
          <w:color w:val="000000"/>
          <w:sz w:val="20"/>
        </w:rPr>
        <w:t xml:space="preserve">, 798 F.3d at 357 (quoting </w:t>
      </w:r>
      <w:bookmarkStart w:id="5078" w:name="Bookmark_I5RYPR0F2D6MVS0010000400"/>
      <w:bookmarkEnd w:id="5078"/>
      <w:r>
        <w:rPr>
          <w:rFonts w:ascii="Arial" w:eastAsia="Arial" w:hAnsi="Arial" w:cs="Arial"/>
          <w:i/>
          <w:color w:val="000000"/>
          <w:sz w:val="20"/>
        </w:rPr>
        <w:t>Sjöstrand</w:t>
      </w:r>
      <w:r>
        <w:rPr>
          <w:rFonts w:ascii="Arial" w:eastAsia="Arial" w:hAnsi="Arial" w:cs="Arial"/>
          <w:color w:val="000000"/>
          <w:sz w:val="20"/>
        </w:rPr>
        <w:t>, 750 F.3d at 599). Summary judgment was correct here too.</w:t>
      </w:r>
    </w:p>
    <w:p w:rsidR="00E456CD" w:rsidRDefault="00000000">
      <w:pPr>
        <w:pStyle w:val="Normal31"/>
        <w:widowControl w:val="0"/>
        <w:spacing w:before="240" w:line="260" w:lineRule="atLeast"/>
      </w:pPr>
      <w:r>
        <w:br/>
      </w:r>
      <w:r>
        <w:rPr>
          <w:rFonts w:ascii="Arial" w:eastAsia="Arial" w:hAnsi="Arial" w:cs="Arial"/>
          <w:b/>
          <w:color w:val="000000"/>
          <w:sz w:val="20"/>
        </w:rPr>
        <w:t>F. Issue 4: The Tennessee Notice Rule</w:t>
      </w:r>
    </w:p>
    <w:p w:rsidR="00E456CD" w:rsidRDefault="00000000">
      <w:pPr>
        <w:pStyle w:val="Normal31"/>
        <w:widowControl w:val="0"/>
        <w:spacing w:before="200" w:line="260" w:lineRule="atLeast"/>
        <w:jc w:val="both"/>
      </w:pPr>
      <w:bookmarkStart w:id="5079" w:name="Bookmark_para_48_5"/>
      <w:bookmarkEnd w:id="5079"/>
      <w:r>
        <w:rPr>
          <w:rFonts w:ascii="Arial" w:eastAsia="Arial" w:hAnsi="Arial" w:cs="Arial"/>
          <w:color w:val="000000"/>
          <w:sz w:val="20"/>
        </w:rPr>
        <w:t xml:space="preserve">TCH also appeals the district court's grant of summary judgment against its claims that Tenn. Code Ann. § 68-11-1607(c)(9)(A)—the "Notice Rule" formerly codified at § 68-11-1607(c)(3)—violates the ADA and RA. </w:t>
      </w:r>
      <w:r>
        <w:rPr>
          <w:rFonts w:ascii="Arial" w:eastAsia="Arial" w:hAnsi="Arial" w:cs="Arial"/>
          <w:i/>
          <w:color w:val="000000"/>
          <w:sz w:val="20"/>
        </w:rPr>
        <w:t>See TCH II</w:t>
      </w:r>
      <w:r>
        <w:rPr>
          <w:rFonts w:ascii="Arial" w:eastAsia="Arial" w:hAnsi="Arial" w:cs="Arial"/>
          <w:color w:val="000000"/>
          <w:sz w:val="20"/>
        </w:rPr>
        <w:t xml:space="preserve"> Appellants' Br. at 14-15. TCH argues that this requirement burdens "applicants serving the disabled" (here, people addicted to opioids) and "operates to galvanize local opposition [**34]  to treatment for the disabled." </w:t>
      </w:r>
      <w:r>
        <w:rPr>
          <w:rFonts w:ascii="Arial" w:eastAsia="Arial" w:hAnsi="Arial" w:cs="Arial"/>
          <w:i/>
          <w:color w:val="000000"/>
          <w:sz w:val="20"/>
        </w:rPr>
        <w:t>Id.</w:t>
      </w:r>
      <w:r>
        <w:rPr>
          <w:rFonts w:ascii="Arial" w:eastAsia="Arial" w:hAnsi="Arial" w:cs="Arial"/>
          <w:color w:val="000000"/>
          <w:sz w:val="20"/>
        </w:rPr>
        <w:t xml:space="preserve"> at 6. The HSDA argues instead that, as the district court held, the statute does "not impose any burden . . . [that] would, in any way, disadvantage TCH in receiving a CON," </w:t>
      </w:r>
      <w:r>
        <w:rPr>
          <w:rFonts w:ascii="Arial" w:eastAsia="Arial" w:hAnsi="Arial" w:cs="Arial"/>
          <w:i/>
          <w:color w:val="000000"/>
          <w:sz w:val="20"/>
        </w:rPr>
        <w:t>TCH II</w:t>
      </w:r>
      <w:r>
        <w:rPr>
          <w:rFonts w:ascii="Arial" w:eastAsia="Arial" w:hAnsi="Arial" w:cs="Arial"/>
          <w:color w:val="000000"/>
          <w:sz w:val="20"/>
        </w:rPr>
        <w:t xml:space="preserve"> HSDA Appellees' Br. at 17 (quoting R. 246 (Dist. Ct. Op. &amp; Order at 23) (Page ID #6900)), and that nothing in the "current" or "historical record" shows that the notice requirement generates the kind of vociferous opposition that TCH asserts, </w:t>
      </w:r>
      <w:r>
        <w:rPr>
          <w:rFonts w:ascii="Arial" w:eastAsia="Arial" w:hAnsi="Arial" w:cs="Arial"/>
          <w:i/>
          <w:color w:val="000000"/>
          <w:sz w:val="20"/>
        </w:rPr>
        <w:t>TCH II</w:t>
      </w:r>
      <w:r>
        <w:rPr>
          <w:rFonts w:ascii="Arial" w:eastAsia="Arial" w:hAnsi="Arial" w:cs="Arial"/>
          <w:color w:val="000000"/>
          <w:sz w:val="20"/>
        </w:rPr>
        <w:t xml:space="preserve"> HSDA Appellees' Br. at 18-19.</w:t>
      </w:r>
    </w:p>
    <w:p w:rsidR="00E456CD" w:rsidRDefault="00000000">
      <w:pPr>
        <w:pStyle w:val="Normal31"/>
        <w:widowControl w:val="0"/>
        <w:spacing w:before="200" w:line="260" w:lineRule="atLeast"/>
        <w:jc w:val="both"/>
      </w:pPr>
      <w:bookmarkStart w:id="5080" w:name="Bookmark_para_49_5"/>
      <w:bookmarkStart w:id="5081" w:name="Bookmark_I5RYPR0F2D6MVS0040000400"/>
      <w:bookmarkEnd w:id="5080"/>
      <w:bookmarkEnd w:id="5081"/>
      <w:r>
        <w:rPr>
          <w:rFonts w:ascii="Arial" w:eastAsia="Arial" w:hAnsi="Arial" w:cs="Arial"/>
          <w:color w:val="000000"/>
          <w:sz w:val="20"/>
        </w:rPr>
        <w:t xml:space="preserve">Though it is a close case, we think that summary judgment was proper. </w:t>
      </w:r>
      <w:bookmarkStart w:id="5082" w:name="Bookmark_I5RYPR0F2D6MVT0010000400"/>
      <w:bookmarkStart w:id="5083" w:name="Bookmark_LNHNREFclscc11_13"/>
      <w:bookmarkEnd w:id="5082"/>
      <w:bookmarkEnd w:id="5083"/>
      <w:r>
        <w:rPr>
          <w:rFonts w:ascii="Arial" w:eastAsia="Arial" w:hAnsi="Arial" w:cs="Arial"/>
          <w:color w:val="000000"/>
          <w:sz w:val="20"/>
        </w:rPr>
        <w:t xml:space="preserve">To establish a prima facie case, TCH must present evidence that disabled persons were "excluded from participation in, denied the benefits of, or subjected to discrimination" by the statute. </w:t>
      </w:r>
      <w:r>
        <w:rPr>
          <w:rFonts w:ascii="Arial" w:eastAsia="Arial" w:hAnsi="Arial" w:cs="Arial"/>
          <w:i/>
          <w:color w:val="000000"/>
          <w:sz w:val="20"/>
        </w:rPr>
        <w:t xml:space="preserve">See </w:t>
      </w:r>
      <w:bookmarkStart w:id="5084" w:name="Bookmark_I5RYPR0F2D6MVS0030000400"/>
      <w:bookmarkEnd w:id="5084"/>
      <w:r>
        <w:rPr>
          <w:rFonts w:ascii="Arial" w:eastAsia="Arial" w:hAnsi="Arial" w:cs="Arial"/>
          <w:i/>
          <w:color w:val="000000"/>
          <w:sz w:val="20"/>
        </w:rPr>
        <w:t>Anderson</w:t>
      </w:r>
      <w:r>
        <w:rPr>
          <w:rFonts w:ascii="Arial" w:eastAsia="Arial" w:hAnsi="Arial" w:cs="Arial"/>
          <w:color w:val="000000"/>
          <w:sz w:val="20"/>
        </w:rPr>
        <w:t xml:space="preserve">, 798 F.3d at 357. </w:t>
      </w:r>
      <w:bookmarkStart w:id="5085" w:name="Bookmark_I5RYPR0F2D6MVT0010000400_2"/>
      <w:bookmarkStart w:id="5086" w:name="Bookmark_I5RYPR0F2D6MVT0030000400"/>
      <w:bookmarkEnd w:id="5085"/>
      <w:bookmarkEnd w:id="5086"/>
      <w:r>
        <w:rPr>
          <w:rFonts w:ascii="Arial" w:eastAsia="Arial" w:hAnsi="Arial" w:cs="Arial"/>
          <w:color w:val="000000"/>
          <w:sz w:val="20"/>
        </w:rPr>
        <w:t xml:space="preserve">The scope of these protections is broad, but it is also "subject . . . to the bounds of reasonableness." </w:t>
      </w:r>
      <w:bookmarkStart w:id="5087" w:name="Bookmark_I5RYPR0F2D6MVS0050000400"/>
      <w:bookmarkEnd w:id="5087"/>
      <w:r>
        <w:rPr>
          <w:rFonts w:ascii="Arial" w:eastAsia="Arial" w:hAnsi="Arial" w:cs="Arial"/>
          <w:i/>
          <w:color w:val="000000"/>
          <w:sz w:val="20"/>
        </w:rPr>
        <w:t>Johnson</w:t>
      </w:r>
      <w:r>
        <w:rPr>
          <w:rFonts w:ascii="Arial" w:eastAsia="Arial" w:hAnsi="Arial" w:cs="Arial"/>
          <w:color w:val="000000"/>
          <w:sz w:val="20"/>
        </w:rPr>
        <w:t xml:space="preserve">, 151 F.3d at 571. </w:t>
      </w:r>
      <w:bookmarkStart w:id="5088" w:name="Bookmark_I5RYPR0F2D6MVT0030000400_2"/>
      <w:bookmarkEnd w:id="5088"/>
      <w:r>
        <w:rPr>
          <w:rFonts w:ascii="Arial" w:eastAsia="Arial" w:hAnsi="Arial" w:cs="Arial"/>
          <w:color w:val="000000"/>
          <w:sz w:val="20"/>
        </w:rPr>
        <w:t xml:space="preserve">We have accordingly ruled in the past that a plaintiff lacked grounds for a claim under the ADA where any harm asserted was truly de minimis. </w:t>
      </w:r>
      <w:r>
        <w:rPr>
          <w:rFonts w:ascii="Arial" w:eastAsia="Arial" w:hAnsi="Arial" w:cs="Arial"/>
          <w:i/>
          <w:color w:val="000000"/>
          <w:sz w:val="20"/>
        </w:rPr>
        <w:t xml:space="preserve">See </w:t>
      </w:r>
      <w:bookmarkStart w:id="5089" w:name="Bookmark_I5RYPR0F2D6MVT0020000400"/>
      <w:bookmarkEnd w:id="5089"/>
      <w:r>
        <w:rPr>
          <w:rFonts w:ascii="Arial" w:eastAsia="Arial" w:hAnsi="Arial" w:cs="Arial"/>
          <w:i/>
          <w:color w:val="000000"/>
          <w:sz w:val="20"/>
        </w:rPr>
        <w:t>Robinson v. Corr. Corp. of Am.</w:t>
      </w:r>
      <w:r>
        <w:rPr>
          <w:rFonts w:ascii="Arial" w:eastAsia="Arial" w:hAnsi="Arial" w:cs="Arial"/>
          <w:color w:val="000000"/>
          <w:sz w:val="20"/>
        </w:rPr>
        <w:t>, 14 F. App'x 382, 383 (6th Cir. 2001).</w:t>
      </w:r>
    </w:p>
    <w:p w:rsidR="00E456CD" w:rsidRDefault="00000000">
      <w:pPr>
        <w:pStyle w:val="Normal31"/>
        <w:widowControl w:val="0"/>
        <w:spacing w:before="200" w:line="260" w:lineRule="atLeast"/>
        <w:jc w:val="both"/>
      </w:pPr>
      <w:bookmarkStart w:id="5090" w:name="Bookmark_para_50_5"/>
      <w:bookmarkEnd w:id="5090"/>
      <w:r>
        <w:rPr>
          <w:rFonts w:ascii="Arial" w:eastAsia="Arial" w:hAnsi="Arial" w:cs="Arial"/>
          <w:color w:val="000000"/>
          <w:sz w:val="20"/>
        </w:rPr>
        <w:t xml:space="preserve">This is a low bar, but it is one that TCH has failed to meet given the evidence that it has offered here. </w:t>
      </w:r>
      <w:bookmarkStart w:id="5091" w:name="Bookmark_LNHNREFclscc12_11"/>
      <w:bookmarkEnd w:id="5091"/>
      <w:r>
        <w:rPr>
          <w:rFonts w:ascii="Arial" w:eastAsia="Arial" w:hAnsi="Arial" w:cs="Arial"/>
          <w:color w:val="000000"/>
          <w:sz w:val="20"/>
        </w:rPr>
        <w:t xml:space="preserve">The notice requirement does not add cognizably to the burdens that all CON applicants [**35]  face, given that nothing but bare notice is required, </w:t>
      </w:r>
      <w:r>
        <w:rPr>
          <w:rFonts w:ascii="Arial" w:eastAsia="Arial" w:hAnsi="Arial" w:cs="Arial"/>
          <w:i/>
          <w:color w:val="000000"/>
          <w:sz w:val="20"/>
        </w:rPr>
        <w:t>see</w:t>
      </w:r>
      <w:r>
        <w:rPr>
          <w:rFonts w:ascii="Arial" w:eastAsia="Arial" w:hAnsi="Arial" w:cs="Arial"/>
          <w:color w:val="000000"/>
          <w:sz w:val="20"/>
        </w:rPr>
        <w:t xml:space="preserve"> Tenn. Code Ann. §68-11-1607(c)(9)(A), and all applicants must file "letter[s] of intent" and then publish these letters "in a newspaper of general circulation in the proposed service area of the project" anyway, </w:t>
      </w:r>
      <w:r>
        <w:rPr>
          <w:rFonts w:ascii="Arial" w:eastAsia="Arial" w:hAnsi="Arial" w:cs="Arial"/>
          <w:i/>
          <w:color w:val="000000"/>
          <w:sz w:val="20"/>
        </w:rPr>
        <w:t>id.</w:t>
      </w:r>
      <w:r>
        <w:rPr>
          <w:rFonts w:ascii="Arial" w:eastAsia="Arial" w:hAnsi="Arial" w:cs="Arial"/>
          <w:color w:val="000000"/>
          <w:sz w:val="20"/>
        </w:rPr>
        <w:t xml:space="preserve"> § 68-11-1607(c)(1). Any additional burden, in other words, appears to be so vanishingly small that we cannot say that there was, in fact, any kind of exclusion, deprivation, or discrimination.</w:t>
      </w:r>
    </w:p>
    <w:p w:rsidR="00E456CD" w:rsidRDefault="00000000">
      <w:pPr>
        <w:pStyle w:val="Normal31"/>
        <w:widowControl w:val="0"/>
        <w:spacing w:before="200" w:line="260" w:lineRule="atLeast"/>
        <w:jc w:val="both"/>
      </w:pPr>
      <w:bookmarkStart w:id="5092" w:name="Bookmark_para_51_5"/>
      <w:bookmarkStart w:id="5093" w:name="Bookmark_I5RYPR0F2D6MVT0050000400"/>
      <w:bookmarkStart w:id="5094" w:name="Bookmark_I5RYPR0F28T4YC0020000400"/>
      <w:bookmarkEnd w:id="5092"/>
      <w:bookmarkEnd w:id="5093"/>
      <w:bookmarkEnd w:id="5094"/>
      <w:r>
        <w:rPr>
          <w:rFonts w:ascii="Arial" w:eastAsia="Arial" w:hAnsi="Arial" w:cs="Arial"/>
          <w:color w:val="000000"/>
          <w:sz w:val="20"/>
        </w:rPr>
        <w:t xml:space="preserve">In so deciding, we pause to note how limited our ruling here is. After all, </w:t>
      </w:r>
      <w:bookmarkStart w:id="5095" w:name="Bookmark_LNHNREFclscc13_8"/>
      <w:bookmarkEnd w:id="5095"/>
      <w:r>
        <w:rPr>
          <w:rFonts w:ascii="Arial" w:eastAsia="Arial" w:hAnsi="Arial" w:cs="Arial"/>
          <w:color w:val="000000"/>
          <w:sz w:val="20"/>
        </w:rPr>
        <w:t xml:space="preserve">classifications that appear to treat people with disabilities differently raise serious concerns  [*314]  under the ADA and RA. </w:t>
      </w:r>
      <w:r>
        <w:rPr>
          <w:rFonts w:ascii="Arial" w:eastAsia="Arial" w:hAnsi="Arial" w:cs="Arial"/>
          <w:i/>
          <w:color w:val="000000"/>
          <w:sz w:val="20"/>
        </w:rPr>
        <w:t>See</w:t>
      </w:r>
      <w:r>
        <w:rPr>
          <w:rFonts w:ascii="Arial" w:eastAsia="Arial" w:hAnsi="Arial" w:cs="Arial"/>
          <w:color w:val="000000"/>
          <w:sz w:val="20"/>
        </w:rPr>
        <w:t xml:space="preserve"> 42 U.S.C. § 12132; </w:t>
      </w:r>
      <w:bookmarkStart w:id="5096" w:name="Bookmark_I5RYPR0F2D6MVT0040000400"/>
      <w:bookmarkEnd w:id="5096"/>
      <w:r>
        <w:rPr>
          <w:rFonts w:ascii="Arial" w:eastAsia="Arial" w:hAnsi="Arial" w:cs="Arial"/>
          <w:i/>
          <w:color w:val="000000"/>
          <w:sz w:val="20"/>
        </w:rPr>
        <w:t>Sch. Bd. of Nassau Cty. v. Arline</w:t>
      </w:r>
      <w:r>
        <w:rPr>
          <w:rFonts w:ascii="Arial" w:eastAsia="Arial" w:hAnsi="Arial" w:cs="Arial"/>
          <w:color w:val="000000"/>
          <w:sz w:val="20"/>
        </w:rPr>
        <w:t xml:space="preserve">, 480 U.S. 273, 287, 107 S. Ct. 1123, 94 L. Ed. 2d 307 (1987) (noting the RA's "goal of protecting handicapped individuals from deprivations based on prejudice, stereotypes, or unfounded fear"). Were the differences here more extreme, summary judgment could well be inappropriate. </w:t>
      </w:r>
      <w:r>
        <w:rPr>
          <w:rFonts w:ascii="Arial" w:eastAsia="Arial" w:hAnsi="Arial" w:cs="Arial"/>
          <w:i/>
          <w:color w:val="000000"/>
          <w:sz w:val="20"/>
        </w:rPr>
        <w:t xml:space="preserve">Cf. </w:t>
      </w:r>
      <w:bookmarkStart w:id="5097" w:name="Bookmark_I5RYPR0F28T4YC0010000400"/>
      <w:bookmarkEnd w:id="5097"/>
      <w:r>
        <w:rPr>
          <w:rFonts w:ascii="Arial" w:eastAsia="Arial" w:hAnsi="Arial" w:cs="Arial"/>
          <w:i/>
          <w:color w:val="000000"/>
          <w:sz w:val="20"/>
        </w:rPr>
        <w:t>New Directions Treatment Servs. v. City of Reading</w:t>
      </w:r>
      <w:r>
        <w:rPr>
          <w:rFonts w:ascii="Arial" w:eastAsia="Arial" w:hAnsi="Arial" w:cs="Arial"/>
          <w:color w:val="000000"/>
          <w:sz w:val="20"/>
        </w:rPr>
        <w:t xml:space="preserve">, 490 F.3d 293, 304-05 (3d Cir. 2007) (ruling that zoning law seriously restricting placement of methadone clinics violates ADA); </w:t>
      </w:r>
      <w:bookmarkStart w:id="5098" w:name="Bookmark_I5RYPR0F28T4YC0030000400"/>
      <w:bookmarkEnd w:id="5098"/>
      <w:r>
        <w:rPr>
          <w:rFonts w:ascii="Arial" w:eastAsia="Arial" w:hAnsi="Arial" w:cs="Arial"/>
          <w:i/>
          <w:color w:val="000000"/>
          <w:sz w:val="20"/>
        </w:rPr>
        <w:t>MX Grp.</w:t>
      </w:r>
      <w:r>
        <w:rPr>
          <w:rFonts w:ascii="Arial" w:eastAsia="Arial" w:hAnsi="Arial" w:cs="Arial"/>
          <w:color w:val="000000"/>
          <w:sz w:val="20"/>
        </w:rPr>
        <w:t xml:space="preserve">, 293 F.3d at 345 (agreeing that a "blanket prohibition of all methadone clinics from [an] entire city is discriminatory on its face"); </w:t>
      </w:r>
      <w:bookmarkStart w:id="5099" w:name="Bookmark_I5RYPR0F28T4YC0050000400"/>
      <w:bookmarkEnd w:id="5099"/>
      <w:r>
        <w:rPr>
          <w:rFonts w:ascii="Arial" w:eastAsia="Arial" w:hAnsi="Arial" w:cs="Arial"/>
          <w:i/>
          <w:color w:val="000000"/>
          <w:sz w:val="20"/>
        </w:rPr>
        <w:t>Potomac Grp. Home Corp. v. Montgomery Cty.</w:t>
      </w:r>
      <w:r>
        <w:rPr>
          <w:rFonts w:ascii="Arial" w:eastAsia="Arial" w:hAnsi="Arial" w:cs="Arial"/>
          <w:color w:val="000000"/>
          <w:sz w:val="20"/>
        </w:rPr>
        <w:t>, 823 F. Supp. 1285, 1296 (D. Md. 1993) (deeming facially invalid, under the Fair Housing Amendments Act, a notice requirement directing any "prospective provider of group home services to the elderly" both to "notify [**36]  neighbors and civic organizations" about future disabled residents and to "invite [those] neighbors to comment").</w:t>
      </w:r>
    </w:p>
    <w:p w:rsidR="00E456CD" w:rsidRDefault="00000000">
      <w:pPr>
        <w:pStyle w:val="Normal31"/>
        <w:widowControl w:val="0"/>
        <w:spacing w:before="200" w:line="260" w:lineRule="atLeast"/>
        <w:jc w:val="both"/>
      </w:pPr>
      <w:bookmarkStart w:id="5100" w:name="Bookmark_para_52_5"/>
      <w:bookmarkEnd w:id="5100"/>
      <w:r>
        <w:rPr>
          <w:rFonts w:ascii="Arial" w:eastAsia="Arial" w:hAnsi="Arial" w:cs="Arial"/>
          <w:color w:val="000000"/>
          <w:sz w:val="20"/>
        </w:rPr>
        <w:t xml:space="preserve">Moreover, our ruling is especially narrow because TCH has failed to present any evidence that the notice provision at issue did or generally does operate to generate opprobrium. While it is conceivable that such a provision could operate to generate discriminatory opposition, the record </w:t>
      </w:r>
      <w:r>
        <w:rPr>
          <w:rFonts w:ascii="Arial" w:eastAsia="Arial" w:hAnsi="Arial" w:cs="Arial"/>
          <w:i/>
          <w:color w:val="000000"/>
          <w:sz w:val="20"/>
        </w:rPr>
        <w:t>here</w:t>
      </w:r>
      <w:r>
        <w:rPr>
          <w:rFonts w:ascii="Arial" w:eastAsia="Arial" w:hAnsi="Arial" w:cs="Arial"/>
          <w:color w:val="000000"/>
          <w:sz w:val="20"/>
        </w:rPr>
        <w:t xml:space="preserve"> is devoid of any such evidence. And uncontroverted evidence in the record actually indicates that TCH's assertions are "not supported by the historical record," which instead "reveals instances in which public officials neither supported nor opposed such applications," and "at least two . . . applications [that] were </w:t>
      </w:r>
      <w:r>
        <w:rPr>
          <w:rFonts w:ascii="Arial" w:eastAsia="Arial" w:hAnsi="Arial" w:cs="Arial"/>
          <w:color w:val="000000"/>
          <w:sz w:val="20"/>
          <w:u w:val="single"/>
        </w:rPr>
        <w:t>supported</w:t>
      </w:r>
      <w:r>
        <w:rPr>
          <w:rFonts w:ascii="Arial" w:eastAsia="Arial" w:hAnsi="Arial" w:cs="Arial"/>
          <w:color w:val="000000"/>
          <w:sz w:val="20"/>
        </w:rPr>
        <w:t xml:space="preserve"> by elected public officials to whom the applicants were required to provide notice." R. 90 (Hill Decl. at 3 ¶ 7) (Page ID #3407). On the record that TCH developed here, with all justifiable inferences made in TCH's favor, we affirm the district court's grant of summary judgment.</w:t>
      </w:r>
    </w:p>
    <w:p w:rsidR="00E456CD" w:rsidRDefault="00000000">
      <w:pPr>
        <w:pStyle w:val="Normal31"/>
        <w:widowControl w:val="0"/>
        <w:spacing w:before="240" w:line="260" w:lineRule="atLeast"/>
      </w:pPr>
      <w:r>
        <w:br/>
      </w:r>
      <w:r>
        <w:rPr>
          <w:rFonts w:ascii="Arial" w:eastAsia="Arial" w:hAnsi="Arial" w:cs="Arial"/>
          <w:b/>
          <w:color w:val="000000"/>
          <w:sz w:val="20"/>
        </w:rPr>
        <w:t>G. Issue 5: Failure to Make a Reasonable Modification</w:t>
      </w:r>
    </w:p>
    <w:p w:rsidR="00E456CD" w:rsidRDefault="00000000">
      <w:pPr>
        <w:pStyle w:val="Normal31"/>
        <w:widowControl w:val="0"/>
        <w:spacing w:before="200" w:line="260" w:lineRule="atLeast"/>
        <w:jc w:val="both"/>
      </w:pPr>
      <w:bookmarkStart w:id="5101" w:name="Bookmark_para_53_5"/>
      <w:bookmarkEnd w:id="5101"/>
      <w:r>
        <w:rPr>
          <w:rFonts w:ascii="Arial" w:eastAsia="Arial" w:hAnsi="Arial" w:cs="Arial"/>
          <w:color w:val="000000"/>
          <w:sz w:val="20"/>
        </w:rPr>
        <w:t xml:space="preserve">TCH also appeals the district court's rejection of TCH's argument that it was denied reasonable modifications of existing policies that [**37]  would have enabled its CON application to be granted. </w:t>
      </w:r>
      <w:r>
        <w:rPr>
          <w:rFonts w:ascii="Arial" w:eastAsia="Arial" w:hAnsi="Arial" w:cs="Arial"/>
          <w:i/>
          <w:color w:val="000000"/>
          <w:sz w:val="20"/>
        </w:rPr>
        <w:t>See TCH II</w:t>
      </w:r>
      <w:r>
        <w:rPr>
          <w:rFonts w:ascii="Arial" w:eastAsia="Arial" w:hAnsi="Arial" w:cs="Arial"/>
          <w:color w:val="000000"/>
          <w:sz w:val="20"/>
        </w:rPr>
        <w:t xml:space="preserve"> Appellants' Br. at 25-27; </w:t>
      </w:r>
      <w:r>
        <w:rPr>
          <w:rFonts w:ascii="Arial" w:eastAsia="Arial" w:hAnsi="Arial" w:cs="Arial"/>
          <w:i/>
          <w:color w:val="000000"/>
          <w:sz w:val="20"/>
        </w:rPr>
        <w:t>TCH III</w:t>
      </w:r>
      <w:r>
        <w:rPr>
          <w:rFonts w:ascii="Arial" w:eastAsia="Arial" w:hAnsi="Arial" w:cs="Arial"/>
          <w:color w:val="000000"/>
          <w:sz w:val="20"/>
        </w:rPr>
        <w:t xml:space="preserve"> Appellants' Br. at 16. It levels this argument in essentially every possible direction: at Johnson City for not modifying its zoning regulations; at the HSDA for not modifying its application of the CON criteria; at DMHSAS for not modifying its interpretation of the CON criteria; and even at ALJ Summers (and related state defendants) for not modifying her adjudication of TCH's claims. TCH also argues that these various defendants impermissibly failed to provide an explanation of why such a modification was not required. </w:t>
      </w:r>
      <w:r>
        <w:rPr>
          <w:rFonts w:ascii="Arial" w:eastAsia="Arial" w:hAnsi="Arial" w:cs="Arial"/>
          <w:i/>
          <w:color w:val="000000"/>
          <w:sz w:val="20"/>
        </w:rPr>
        <w:t>See TCH II</w:t>
      </w:r>
      <w:r>
        <w:rPr>
          <w:rFonts w:ascii="Arial" w:eastAsia="Arial" w:hAnsi="Arial" w:cs="Arial"/>
          <w:color w:val="000000"/>
          <w:sz w:val="20"/>
        </w:rPr>
        <w:t xml:space="preserve"> Appellants' Br. at 27; </w:t>
      </w:r>
      <w:r>
        <w:rPr>
          <w:rFonts w:ascii="Arial" w:eastAsia="Arial" w:hAnsi="Arial" w:cs="Arial"/>
          <w:i/>
          <w:color w:val="000000"/>
          <w:sz w:val="20"/>
        </w:rPr>
        <w:t>TCH III</w:t>
      </w:r>
      <w:r>
        <w:rPr>
          <w:rFonts w:ascii="Arial" w:eastAsia="Arial" w:hAnsi="Arial" w:cs="Arial"/>
          <w:color w:val="000000"/>
          <w:sz w:val="20"/>
        </w:rPr>
        <w:t xml:space="preserve"> Appellants' Br. at 17-22.</w:t>
      </w:r>
    </w:p>
    <w:p w:rsidR="00E456CD" w:rsidRDefault="00000000">
      <w:pPr>
        <w:pStyle w:val="Normal31"/>
        <w:widowControl w:val="0"/>
        <w:spacing w:before="200" w:line="260" w:lineRule="atLeast"/>
        <w:jc w:val="both"/>
      </w:pPr>
      <w:bookmarkStart w:id="5102" w:name="Bookmark_para_54_5"/>
      <w:bookmarkEnd w:id="5102"/>
      <w:r>
        <w:rPr>
          <w:rFonts w:ascii="Arial" w:eastAsia="Arial" w:hAnsi="Arial" w:cs="Arial"/>
          <w:color w:val="000000"/>
          <w:sz w:val="20"/>
        </w:rPr>
        <w:t xml:space="preserve">The Johnson City branch of this multidirectional claim can be dealt with quickly, in that it is not analytically distinct from the issues already deemed unripe (and then not appealed) in </w:t>
      </w:r>
      <w:r>
        <w:rPr>
          <w:rFonts w:ascii="Arial" w:eastAsia="Arial" w:hAnsi="Arial" w:cs="Arial"/>
          <w:i/>
          <w:color w:val="000000"/>
          <w:sz w:val="20"/>
        </w:rPr>
        <w:t>Tri-Cities I. See TCH II</w:t>
      </w:r>
      <w:r>
        <w:rPr>
          <w:rFonts w:ascii="Arial" w:eastAsia="Arial" w:hAnsi="Arial" w:cs="Arial"/>
          <w:color w:val="000000"/>
          <w:sz w:val="20"/>
        </w:rPr>
        <w:t xml:space="preserve"> R. 19-1 (</w:t>
      </w:r>
      <w:r>
        <w:rPr>
          <w:rFonts w:ascii="Arial" w:eastAsia="Arial" w:hAnsi="Arial" w:cs="Arial"/>
          <w:i/>
          <w:color w:val="000000"/>
          <w:sz w:val="20"/>
        </w:rPr>
        <w:t>Tri-Cities I</w:t>
      </w:r>
      <w:r>
        <w:rPr>
          <w:rFonts w:ascii="Arial" w:eastAsia="Arial" w:hAnsi="Arial" w:cs="Arial"/>
          <w:color w:val="000000"/>
          <w:sz w:val="20"/>
        </w:rPr>
        <w:t xml:space="preserve"> Dist. Ct. Op. &amp; Order) (Page ID #456-65). Because that prior determination has issue preclusive effect, this branch of TCH's claim fails.</w:t>
      </w:r>
    </w:p>
    <w:p w:rsidR="00E456CD" w:rsidRDefault="00000000">
      <w:pPr>
        <w:pStyle w:val="Normal31"/>
        <w:widowControl w:val="0"/>
        <w:spacing w:before="200" w:line="260" w:lineRule="atLeast"/>
        <w:jc w:val="both"/>
      </w:pPr>
      <w:bookmarkStart w:id="5103" w:name="Bookmark_para_55_5"/>
      <w:bookmarkStart w:id="5104" w:name="Bookmark_I5RYPR0F28T4YD0030000400"/>
      <w:bookmarkStart w:id="5105" w:name="Bookmark_I5RYPR0F28T4YD0050000400"/>
      <w:bookmarkEnd w:id="5103"/>
      <w:bookmarkEnd w:id="5104"/>
      <w:bookmarkEnd w:id="5105"/>
      <w:r>
        <w:rPr>
          <w:rFonts w:ascii="Arial" w:eastAsia="Arial" w:hAnsi="Arial" w:cs="Arial"/>
          <w:color w:val="000000"/>
          <w:sz w:val="20"/>
        </w:rPr>
        <w:t xml:space="preserve">TCH's claims against DMHSAS and ALJ Summers can also be dealt with fairly quickly. </w:t>
      </w:r>
      <w:bookmarkStart w:id="5106" w:name="Bookmark_I5RYPR0F2HM6VC0020000400"/>
      <w:bookmarkEnd w:id="5106"/>
      <w:r>
        <w:rPr>
          <w:rFonts w:ascii="Arial" w:eastAsia="Arial" w:hAnsi="Arial" w:cs="Arial"/>
          <w:color w:val="000000"/>
          <w:sz w:val="20"/>
        </w:rPr>
        <w:t xml:space="preserve">As noted above, </w:t>
      </w:r>
      <w:bookmarkStart w:id="5107" w:name="Bookmark_LNHNREFclscc14_6"/>
      <w:bookmarkEnd w:id="5107"/>
      <w:r>
        <w:rPr>
          <w:rFonts w:ascii="Arial" w:eastAsia="Arial" w:hAnsi="Arial" w:cs="Arial"/>
          <w:color w:val="000000"/>
          <w:sz w:val="20"/>
        </w:rPr>
        <w:t xml:space="preserve">discrimination by a public entity against [**38]  a qualified individual "must relate to services, programs, or activities." </w:t>
      </w:r>
      <w:bookmarkStart w:id="5108" w:name="Bookmark_I5RYPR0F28T4YD0020000400"/>
      <w:bookmarkEnd w:id="5108"/>
      <w:r>
        <w:rPr>
          <w:rFonts w:ascii="Arial" w:eastAsia="Arial" w:hAnsi="Arial" w:cs="Arial"/>
          <w:i/>
          <w:color w:val="000000"/>
          <w:sz w:val="20"/>
        </w:rPr>
        <w:t>Johnson</w:t>
      </w:r>
      <w:r>
        <w:rPr>
          <w:rFonts w:ascii="Arial" w:eastAsia="Arial" w:hAnsi="Arial" w:cs="Arial"/>
          <w:color w:val="000000"/>
          <w:sz w:val="20"/>
        </w:rPr>
        <w:t xml:space="preserve">, 151 F.3d at 569. While we have understood that "phrase" to "encompass[] virtually everything that a public entity does," </w:t>
      </w:r>
      <w:r>
        <w:rPr>
          <w:rFonts w:ascii="Arial" w:eastAsia="Arial" w:hAnsi="Arial" w:cs="Arial"/>
          <w:i/>
          <w:color w:val="000000"/>
          <w:sz w:val="20"/>
        </w:rPr>
        <w:t>id.</w:t>
      </w:r>
      <w:r>
        <w:rPr>
          <w:rFonts w:ascii="Arial" w:eastAsia="Arial" w:hAnsi="Arial" w:cs="Arial"/>
          <w:color w:val="000000"/>
          <w:sz w:val="20"/>
        </w:rPr>
        <w:t xml:space="preserve">, it does not cover everything that is in any way </w:t>
      </w:r>
      <w:r>
        <w:rPr>
          <w:rFonts w:ascii="Arial" w:eastAsia="Arial" w:hAnsi="Arial" w:cs="Arial"/>
          <w:i/>
          <w:color w:val="000000"/>
          <w:sz w:val="20"/>
        </w:rPr>
        <w:t>related to</w:t>
      </w:r>
      <w:r>
        <w:rPr>
          <w:rFonts w:ascii="Arial" w:eastAsia="Arial" w:hAnsi="Arial" w:cs="Arial"/>
          <w:color w:val="000000"/>
          <w:sz w:val="20"/>
        </w:rPr>
        <w:t xml:space="preserve"> a given government function,  [*315]  because the requirement itself is "subject . . . to the bounds of reasonableness." </w:t>
      </w:r>
      <w:r>
        <w:rPr>
          <w:rFonts w:ascii="Arial" w:eastAsia="Arial" w:hAnsi="Arial" w:cs="Arial"/>
          <w:i/>
          <w:color w:val="000000"/>
          <w:sz w:val="20"/>
        </w:rPr>
        <w:t xml:space="preserve">See </w:t>
      </w:r>
      <w:bookmarkStart w:id="5109" w:name="Bookmark_I5RYPR0F28T4YD0040000400"/>
      <w:bookmarkEnd w:id="5109"/>
      <w:r>
        <w:rPr>
          <w:rFonts w:ascii="Arial" w:eastAsia="Arial" w:hAnsi="Arial" w:cs="Arial"/>
          <w:i/>
          <w:color w:val="000000"/>
          <w:sz w:val="20"/>
        </w:rPr>
        <w:t>id.</w:t>
      </w:r>
      <w:r>
        <w:rPr>
          <w:rFonts w:ascii="Arial" w:eastAsia="Arial" w:hAnsi="Arial" w:cs="Arial"/>
          <w:color w:val="000000"/>
          <w:sz w:val="20"/>
        </w:rPr>
        <w:t xml:space="preserve"> at 571. </w:t>
      </w:r>
      <w:bookmarkStart w:id="5110" w:name="Bookmark_I5RYPR0F2HM6VC0020000400_2"/>
      <w:bookmarkEnd w:id="5110"/>
      <w:r>
        <w:rPr>
          <w:rFonts w:ascii="Arial" w:eastAsia="Arial" w:hAnsi="Arial" w:cs="Arial"/>
          <w:color w:val="000000"/>
          <w:sz w:val="20"/>
        </w:rPr>
        <w:t xml:space="preserve">Thus, the scope of a benefit cannot be so "amorphous" as to sweep in protection against all possible outcomes, </w:t>
      </w:r>
      <w:r>
        <w:rPr>
          <w:rFonts w:ascii="Arial" w:eastAsia="Arial" w:hAnsi="Arial" w:cs="Arial"/>
          <w:i/>
          <w:color w:val="000000"/>
          <w:sz w:val="20"/>
        </w:rPr>
        <w:t xml:space="preserve">see </w:t>
      </w:r>
      <w:bookmarkStart w:id="5111" w:name="Bookmark_I5RYPR0F2HM6VC0010000400"/>
      <w:bookmarkEnd w:id="5111"/>
      <w:r>
        <w:rPr>
          <w:rFonts w:ascii="Arial" w:eastAsia="Arial" w:hAnsi="Arial" w:cs="Arial"/>
          <w:i/>
          <w:color w:val="000000"/>
          <w:sz w:val="20"/>
        </w:rPr>
        <w:t>Choate</w:t>
      </w:r>
      <w:r>
        <w:rPr>
          <w:rFonts w:ascii="Arial" w:eastAsia="Arial" w:hAnsi="Arial" w:cs="Arial"/>
          <w:color w:val="000000"/>
          <w:sz w:val="20"/>
        </w:rPr>
        <w:t xml:space="preserve">, 469 U.S. at 303, or liability for all possible government actors, </w:t>
      </w:r>
      <w:r>
        <w:rPr>
          <w:rFonts w:ascii="Arial" w:eastAsia="Arial" w:hAnsi="Arial" w:cs="Arial"/>
          <w:i/>
          <w:color w:val="000000"/>
          <w:sz w:val="20"/>
        </w:rPr>
        <w:t xml:space="preserve">cf. </w:t>
      </w:r>
      <w:bookmarkStart w:id="5112" w:name="Bookmark_I5RYPR0F2HM6VC0030000400"/>
      <w:bookmarkEnd w:id="5112"/>
      <w:r>
        <w:rPr>
          <w:rFonts w:ascii="Arial" w:eastAsia="Arial" w:hAnsi="Arial" w:cs="Arial"/>
          <w:i/>
          <w:color w:val="000000"/>
          <w:sz w:val="20"/>
        </w:rPr>
        <w:t>Bowers v. Nat'l Collegiate Athletic Ass'n</w:t>
      </w:r>
      <w:r>
        <w:rPr>
          <w:rFonts w:ascii="Arial" w:eastAsia="Arial" w:hAnsi="Arial" w:cs="Arial"/>
          <w:color w:val="000000"/>
          <w:sz w:val="20"/>
        </w:rPr>
        <w:t>, 9 F. Supp. 2d 460, 485 (D.N.J. 1998) (noting that "it would be odd to saddle someone with liability for a certain discriminatory condition . . . when it is not that person who manages, controls, or regulates . . . that particular condition" and questioning "what relief could [even] be obtained from someone who has no power to effect a remedy for the violation").</w:t>
      </w:r>
    </w:p>
    <w:p w:rsidR="00E456CD" w:rsidRDefault="00000000">
      <w:pPr>
        <w:pStyle w:val="Normal31"/>
        <w:widowControl w:val="0"/>
        <w:spacing w:before="200" w:line="260" w:lineRule="atLeast"/>
        <w:jc w:val="both"/>
      </w:pPr>
      <w:bookmarkStart w:id="5113" w:name="Bookmark_para_56_5"/>
      <w:bookmarkEnd w:id="5113"/>
      <w:r>
        <w:rPr>
          <w:rFonts w:ascii="Arial" w:eastAsia="Arial" w:hAnsi="Arial" w:cs="Arial"/>
          <w:color w:val="000000"/>
          <w:sz w:val="20"/>
        </w:rPr>
        <w:t xml:space="preserve">Here, DMHSAS and ALJ Summers are not responsible for granting or denying CON applications. </w:t>
      </w:r>
      <w:bookmarkStart w:id="5114" w:name="Bookmark_I5RYPR0F2SF8060010000400"/>
      <w:bookmarkEnd w:id="5114"/>
      <w:r>
        <w:rPr>
          <w:rFonts w:ascii="Arial" w:eastAsia="Arial" w:hAnsi="Arial" w:cs="Arial"/>
          <w:color w:val="000000"/>
          <w:sz w:val="20"/>
        </w:rPr>
        <w:t xml:space="preserve">Rather, they are responsible, respectively, for preparing a report for the HSDA that checks a CON application's claims and evaluates that application in light of statutorily determined factors, </w:t>
      </w:r>
      <w:r>
        <w:rPr>
          <w:rFonts w:ascii="Arial" w:eastAsia="Arial" w:hAnsi="Arial" w:cs="Arial"/>
          <w:i/>
          <w:color w:val="000000"/>
          <w:sz w:val="20"/>
        </w:rPr>
        <w:t>see</w:t>
      </w:r>
      <w:r>
        <w:rPr>
          <w:rFonts w:ascii="Arial" w:eastAsia="Arial" w:hAnsi="Arial" w:cs="Arial"/>
          <w:color w:val="000000"/>
          <w:sz w:val="20"/>
        </w:rPr>
        <w:t xml:space="preserve"> Tenn. Code Ann. §§ 68-11-1608(a), -1609(b), -1614; </w:t>
      </w:r>
      <w:r>
        <w:rPr>
          <w:rFonts w:ascii="Arial" w:eastAsia="Arial" w:hAnsi="Arial" w:cs="Arial"/>
          <w:i/>
          <w:color w:val="000000"/>
          <w:sz w:val="20"/>
        </w:rPr>
        <w:t>TCH III</w:t>
      </w:r>
      <w:r>
        <w:rPr>
          <w:rFonts w:ascii="Arial" w:eastAsia="Arial" w:hAnsi="Arial" w:cs="Arial"/>
          <w:color w:val="000000"/>
          <w:sz w:val="20"/>
        </w:rPr>
        <w:t xml:space="preserve"> R. 15-1 (Review of CON [**39]  Application) (Page ID #130-47), and for adjudicating contested CON application decisions, </w:t>
      </w:r>
      <w:r>
        <w:rPr>
          <w:rFonts w:ascii="Arial" w:eastAsia="Arial" w:hAnsi="Arial" w:cs="Arial"/>
          <w:i/>
          <w:color w:val="000000"/>
          <w:sz w:val="20"/>
        </w:rPr>
        <w:t>see</w:t>
      </w:r>
      <w:r>
        <w:rPr>
          <w:rFonts w:ascii="Arial" w:eastAsia="Arial" w:hAnsi="Arial" w:cs="Arial"/>
          <w:color w:val="000000"/>
          <w:sz w:val="20"/>
        </w:rPr>
        <w:t xml:space="preserve"> Tenn. Code Ann. § 68-11-1610. While these defendants were certainly required to discharge </w:t>
      </w:r>
      <w:r>
        <w:rPr>
          <w:rFonts w:ascii="Arial" w:eastAsia="Arial" w:hAnsi="Arial" w:cs="Arial"/>
          <w:i/>
          <w:color w:val="000000"/>
          <w:sz w:val="20"/>
        </w:rPr>
        <w:t>those</w:t>
      </w:r>
      <w:r>
        <w:rPr>
          <w:rFonts w:ascii="Arial" w:eastAsia="Arial" w:hAnsi="Arial" w:cs="Arial"/>
          <w:color w:val="000000"/>
          <w:sz w:val="20"/>
        </w:rPr>
        <w:t xml:space="preserve"> responsibilities in a nondiscriminatory fashion, they were not in charge of the CON application program itself. As a matter of law, therefore, they were not responsible for providing a reasonable modification to that program.</w:t>
      </w:r>
      <w:r>
        <w:rPr>
          <w:rFonts w:ascii="Arial" w:eastAsia="Arial" w:hAnsi="Arial" w:cs="Arial"/>
          <w:vertAlign w:val="superscript"/>
        </w:rPr>
        <w:footnoteReference w:customMarkFollows="1" w:id="227"/>
        <w:t>16</w:t>
      </w:r>
    </w:p>
    <w:p w:rsidR="00E456CD" w:rsidRDefault="00000000">
      <w:pPr>
        <w:pStyle w:val="Normal31"/>
        <w:widowControl w:val="0"/>
        <w:spacing w:before="200" w:line="260" w:lineRule="atLeast"/>
        <w:jc w:val="both"/>
      </w:pPr>
      <w:bookmarkStart w:id="5118" w:name="Bookmark_para_57_5"/>
      <w:bookmarkStart w:id="5119" w:name="Bookmark_I5RYPR0F2SF8060050000400"/>
      <w:bookmarkStart w:id="5120" w:name="Bookmark_I5RYPR0F2D6MVV0020000400"/>
      <w:bookmarkEnd w:id="5118"/>
      <w:bookmarkEnd w:id="5119"/>
      <w:bookmarkEnd w:id="5120"/>
      <w:r>
        <w:rPr>
          <w:rFonts w:ascii="Arial" w:eastAsia="Arial" w:hAnsi="Arial" w:cs="Arial"/>
          <w:color w:val="000000"/>
          <w:sz w:val="20"/>
        </w:rPr>
        <w:t xml:space="preserve">That leaves the HSDA itself, which </w:t>
      </w:r>
      <w:r>
        <w:rPr>
          <w:rFonts w:ascii="Arial" w:eastAsia="Arial" w:hAnsi="Arial" w:cs="Arial"/>
          <w:i/>
          <w:color w:val="000000"/>
          <w:sz w:val="20"/>
        </w:rPr>
        <w:t>is</w:t>
      </w:r>
      <w:r>
        <w:rPr>
          <w:rFonts w:ascii="Arial" w:eastAsia="Arial" w:hAnsi="Arial" w:cs="Arial"/>
          <w:color w:val="000000"/>
          <w:sz w:val="20"/>
        </w:rPr>
        <w:t xml:space="preserve"> responsible for granting or denying CON applications. As noted above, </w:t>
      </w:r>
      <w:bookmarkStart w:id="5121" w:name="Bookmark_LNHNREFclscc15_5"/>
      <w:bookmarkEnd w:id="5121"/>
      <w:r>
        <w:rPr>
          <w:rFonts w:ascii="Arial" w:eastAsia="Arial" w:hAnsi="Arial" w:cs="Arial"/>
          <w:color w:val="000000"/>
          <w:sz w:val="20"/>
        </w:rPr>
        <w:t xml:space="preserve">public entities must "make reasonable modifications in policies, practices, or procedures when the modifications are necessary to avoid discrimination on the basis of disability, unless the public entity can demonstrate that making the modifications would fundamentally alter the nature of the service, program, or activity." 28 C.F.R. § 35.130(b)(7)(i); </w:t>
      </w:r>
      <w:r>
        <w:rPr>
          <w:rFonts w:ascii="Arial" w:eastAsia="Arial" w:hAnsi="Arial" w:cs="Arial"/>
          <w:i/>
          <w:color w:val="000000"/>
          <w:sz w:val="20"/>
        </w:rPr>
        <w:t xml:space="preserve">see also, e.g., </w:t>
      </w:r>
      <w:bookmarkStart w:id="5122" w:name="Bookmark_I5RYPR0F2SF8060040000400"/>
      <w:bookmarkEnd w:id="5122"/>
      <w:r>
        <w:rPr>
          <w:rFonts w:ascii="Arial" w:eastAsia="Arial" w:hAnsi="Arial" w:cs="Arial"/>
          <w:i/>
          <w:color w:val="000000"/>
          <w:sz w:val="20"/>
        </w:rPr>
        <w:t>Jones</w:t>
      </w:r>
      <w:r>
        <w:rPr>
          <w:rFonts w:ascii="Arial" w:eastAsia="Arial" w:hAnsi="Arial" w:cs="Arial"/>
          <w:color w:val="000000"/>
          <w:sz w:val="20"/>
        </w:rPr>
        <w:t>, 341 F.3d at 480. "The public entity bears the burden of proving that the accommodation would fundamentally alter the program."</w:t>
      </w:r>
      <w:r>
        <w:rPr>
          <w:rFonts w:ascii="Arial" w:eastAsia="Arial" w:hAnsi="Arial" w:cs="Arial"/>
          <w:vertAlign w:val="superscript"/>
        </w:rPr>
        <w:footnoteReference w:customMarkFollows="1" w:id="228"/>
        <w:t>17</w:t>
      </w:r>
      <w:bookmarkStart w:id="5128" w:name="Bookmark_I5RYPR0F2D6MVV0010000400"/>
      <w:bookmarkEnd w:id="5128"/>
      <w:r>
        <w:rPr>
          <w:rFonts w:ascii="Arial" w:eastAsia="Arial" w:hAnsi="Arial" w:cs="Arial"/>
          <w:i/>
          <w:color w:val="000000"/>
          <w:sz w:val="20"/>
        </w:rPr>
        <w:t>Jones</w:t>
      </w:r>
      <w:r>
        <w:rPr>
          <w:rFonts w:ascii="Arial" w:eastAsia="Arial" w:hAnsi="Arial" w:cs="Arial"/>
          <w:color w:val="000000"/>
          <w:sz w:val="20"/>
        </w:rPr>
        <w:t>, 341 F.3d at 480.</w:t>
      </w:r>
    </w:p>
    <w:p w:rsidR="00E456CD" w:rsidRDefault="00000000">
      <w:pPr>
        <w:pStyle w:val="Normal31"/>
        <w:widowControl w:val="0"/>
        <w:spacing w:before="200" w:line="260" w:lineRule="atLeast"/>
        <w:jc w:val="both"/>
      </w:pPr>
      <w:bookmarkStart w:id="5129" w:name="Bookmark_para_58_5"/>
      <w:bookmarkStart w:id="5130" w:name="Bookmark_I5RYPR0F2SF8070030000400"/>
      <w:bookmarkStart w:id="5131" w:name="Bookmark_I5RYPR0F2SF8070050000400"/>
      <w:bookmarkEnd w:id="5129"/>
      <w:bookmarkEnd w:id="5130"/>
      <w:bookmarkEnd w:id="5131"/>
      <w:r>
        <w:rPr>
          <w:rFonts w:ascii="Arial" w:eastAsia="Arial" w:hAnsi="Arial" w:cs="Arial"/>
          <w:color w:val="000000"/>
          <w:sz w:val="20"/>
        </w:rPr>
        <w:t xml:space="preserve">"In cases involving waiver of applicable rules and regulations, the overall focus should be on 'whether waiver of the rule in the particular case would be so at odds with the purposes behind the rule that [**40]  it would be a fundamental and unreasonable change.'" </w:t>
      </w:r>
      <w:r>
        <w:rPr>
          <w:rFonts w:ascii="Arial" w:eastAsia="Arial" w:hAnsi="Arial" w:cs="Arial"/>
          <w:i/>
          <w:color w:val="000000"/>
          <w:sz w:val="20"/>
        </w:rPr>
        <w:t>Id.</w:t>
      </w:r>
      <w:r>
        <w:rPr>
          <w:rFonts w:ascii="Arial" w:eastAsia="Arial" w:hAnsi="Arial" w:cs="Arial"/>
          <w:color w:val="000000"/>
          <w:sz w:val="20"/>
        </w:rPr>
        <w:t xml:space="preserve"> (quoting </w:t>
      </w:r>
      <w:bookmarkStart w:id="5132" w:name="Bookmark_I5RYPR0F2SF8070020000400"/>
      <w:bookmarkEnd w:id="5132"/>
      <w:r>
        <w:rPr>
          <w:rFonts w:ascii="Arial" w:eastAsia="Arial" w:hAnsi="Arial" w:cs="Arial"/>
          <w:i/>
          <w:color w:val="000000"/>
          <w:sz w:val="20"/>
        </w:rPr>
        <w:t>Dadian v. Village of Wilmette</w:t>
      </w:r>
      <w:r>
        <w:rPr>
          <w:rFonts w:ascii="Arial" w:eastAsia="Arial" w:hAnsi="Arial" w:cs="Arial"/>
          <w:color w:val="000000"/>
          <w:sz w:val="20"/>
        </w:rPr>
        <w:t xml:space="preserve">, 269 F.3d 831, 838-39 (7th Cir. 2001)). Accordingly, in a case in which a city had provided free "all-day and one-hour parking in specific locations" to encourage "downtown shopping and other downtown business activities," </w:t>
      </w:r>
      <w:bookmarkStart w:id="5133" w:name="Bookmark_I5RYPR0F2SF8070040000400"/>
      <w:bookmarkEnd w:id="5133"/>
      <w:r>
        <w:rPr>
          <w:rFonts w:ascii="Arial" w:eastAsia="Arial" w:hAnsi="Arial" w:cs="Arial"/>
          <w:i/>
          <w:color w:val="000000"/>
          <w:sz w:val="20"/>
        </w:rPr>
        <w:t>id.</w:t>
      </w:r>
      <w:r>
        <w:rPr>
          <w:rFonts w:ascii="Arial" w:eastAsia="Arial" w:hAnsi="Arial" w:cs="Arial"/>
          <w:color w:val="000000"/>
          <w:sz w:val="20"/>
        </w:rPr>
        <w:t xml:space="preserve"> at 477-78, we ruled that a resident with a disability was not denied a reasonable modification when the city declined to allow her to park all day at one of the one-hour spots  [*316]  near her office, </w:t>
      </w:r>
      <w:bookmarkStart w:id="5134" w:name="Bookmark_I5RYPR0F2HM6VF0010000400"/>
      <w:bookmarkEnd w:id="5134"/>
      <w:r>
        <w:rPr>
          <w:rFonts w:ascii="Arial" w:eastAsia="Arial" w:hAnsi="Arial" w:cs="Arial"/>
          <w:i/>
          <w:color w:val="000000"/>
          <w:sz w:val="20"/>
        </w:rPr>
        <w:t>id.</w:t>
      </w:r>
      <w:r>
        <w:rPr>
          <w:rFonts w:ascii="Arial" w:eastAsia="Arial" w:hAnsi="Arial" w:cs="Arial"/>
          <w:color w:val="000000"/>
          <w:sz w:val="20"/>
        </w:rPr>
        <w:t xml:space="preserve"> 480. That was because, we explained, "[b]y its very nature, the benefit of one-hour free public parking cannot be altered to permit disabled individuals to park all day without jeopardizing the availability of spaces to other disabled and nondisabled individuals," which would in turn vitiate "the rule itself." </w:t>
      </w:r>
      <w:r>
        <w:rPr>
          <w:rFonts w:ascii="Arial" w:eastAsia="Arial" w:hAnsi="Arial" w:cs="Arial"/>
          <w:i/>
          <w:color w:val="000000"/>
          <w:sz w:val="20"/>
        </w:rPr>
        <w:t>Id.</w:t>
      </w:r>
    </w:p>
    <w:p w:rsidR="00E456CD" w:rsidRDefault="00000000">
      <w:pPr>
        <w:pStyle w:val="Normal31"/>
        <w:widowControl w:val="0"/>
        <w:spacing w:before="200" w:line="260" w:lineRule="atLeast"/>
        <w:jc w:val="both"/>
      </w:pPr>
      <w:bookmarkStart w:id="5135" w:name="Bookmark_para_59_5"/>
      <w:bookmarkEnd w:id="5135"/>
      <w:r>
        <w:rPr>
          <w:rFonts w:ascii="Arial" w:eastAsia="Arial" w:hAnsi="Arial" w:cs="Arial"/>
          <w:color w:val="000000"/>
          <w:sz w:val="20"/>
        </w:rPr>
        <w:t xml:space="preserve">This logic applies with stronger force here. </w:t>
      </w:r>
      <w:bookmarkStart w:id="5136" w:name="Bookmark_LNHNREFclscc16_5"/>
      <w:bookmarkEnd w:id="5136"/>
      <w:r>
        <w:rPr>
          <w:rFonts w:ascii="Arial" w:eastAsia="Arial" w:hAnsi="Arial" w:cs="Arial"/>
          <w:color w:val="000000"/>
          <w:sz w:val="20"/>
        </w:rPr>
        <w:t xml:space="preserve">As directed by the Tennessee legislature, the HSDA is responsible for applying neutral criteria to determine whether a given applicant is qualified to operate its proposed facility. </w:t>
      </w:r>
      <w:bookmarkStart w:id="5137" w:name="Bookmark_I5RYPR0F2HM6VF0040000400"/>
      <w:bookmarkEnd w:id="5137"/>
      <w:r>
        <w:rPr>
          <w:rFonts w:ascii="Arial" w:eastAsia="Arial" w:hAnsi="Arial" w:cs="Arial"/>
          <w:i/>
          <w:color w:val="000000"/>
          <w:sz w:val="20"/>
        </w:rPr>
        <w:t>See</w:t>
      </w:r>
      <w:r>
        <w:rPr>
          <w:rFonts w:ascii="Arial" w:eastAsia="Arial" w:hAnsi="Arial" w:cs="Arial"/>
          <w:color w:val="000000"/>
          <w:sz w:val="20"/>
        </w:rPr>
        <w:t xml:space="preserve"> Tenn. Code Ann. § 68-11-1609. By their very nature, neither these criteria nor their application can be altered to provide a waiver to TCH without jeopardizing Tennessee's interest in ensuring that healthcare institutions meet the nondiscriminatory qualifications [**41]  that its legislators and regulators have set. To require the HSDA or the state itself to give up its interest in ensuring that those qualifications are met by each aspiring provider would surely impose a fundamental alteration. </w:t>
      </w:r>
      <w:r>
        <w:rPr>
          <w:rFonts w:ascii="Arial" w:eastAsia="Arial" w:hAnsi="Arial" w:cs="Arial"/>
          <w:i/>
          <w:color w:val="000000"/>
          <w:sz w:val="20"/>
        </w:rPr>
        <w:t xml:space="preserve">See </w:t>
      </w:r>
      <w:bookmarkStart w:id="5138" w:name="Bookmark_I5RYPR0F2HM6VF0030000400"/>
      <w:bookmarkEnd w:id="5138"/>
      <w:r>
        <w:rPr>
          <w:rFonts w:ascii="Arial" w:eastAsia="Arial" w:hAnsi="Arial" w:cs="Arial"/>
          <w:i/>
          <w:color w:val="000000"/>
          <w:sz w:val="20"/>
        </w:rPr>
        <w:t>Jones</w:t>
      </w:r>
      <w:r>
        <w:rPr>
          <w:rFonts w:ascii="Arial" w:eastAsia="Arial" w:hAnsi="Arial" w:cs="Arial"/>
          <w:color w:val="000000"/>
          <w:sz w:val="20"/>
        </w:rPr>
        <w:t>, 341 F.3d at 480.</w:t>
      </w:r>
    </w:p>
    <w:p w:rsidR="00E456CD" w:rsidRDefault="00000000">
      <w:pPr>
        <w:pStyle w:val="Normal31"/>
        <w:widowControl w:val="0"/>
        <w:spacing w:before="200" w:line="260" w:lineRule="atLeast"/>
        <w:jc w:val="both"/>
      </w:pPr>
      <w:bookmarkStart w:id="5139" w:name="Bookmark_para_60_5"/>
      <w:bookmarkStart w:id="5140" w:name="Bookmark_I5RYPR0F2SF8080010000400"/>
      <w:bookmarkStart w:id="5141" w:name="Bookmark_I5RYPR0F2SF8080050000400"/>
      <w:bookmarkStart w:id="5142" w:name="Bookmark_I5RYPR0F2HM6VG0040000400"/>
      <w:bookmarkEnd w:id="5139"/>
      <w:bookmarkEnd w:id="5140"/>
      <w:bookmarkEnd w:id="5141"/>
      <w:bookmarkEnd w:id="5142"/>
      <w:r>
        <w:rPr>
          <w:rFonts w:ascii="Arial" w:eastAsia="Arial" w:hAnsi="Arial" w:cs="Arial"/>
          <w:color w:val="000000"/>
          <w:sz w:val="20"/>
        </w:rPr>
        <w:t xml:space="preserve">Moreover, waiver is especially likely to impose a fundamental alteration when the question of whether to grant such a waiver would require complex, "case-by-case assessments." </w:t>
      </w:r>
      <w:r>
        <w:rPr>
          <w:rFonts w:ascii="Arial" w:eastAsia="Arial" w:hAnsi="Arial" w:cs="Arial"/>
          <w:i/>
          <w:color w:val="000000"/>
          <w:sz w:val="20"/>
        </w:rPr>
        <w:t xml:space="preserve">See </w:t>
      </w:r>
      <w:bookmarkStart w:id="5143" w:name="Bookmark_I5RYPR0F2HM6VF0050000400"/>
      <w:bookmarkEnd w:id="5143"/>
      <w:r>
        <w:rPr>
          <w:rFonts w:ascii="Arial" w:eastAsia="Arial" w:hAnsi="Arial" w:cs="Arial"/>
          <w:i/>
          <w:color w:val="000000"/>
          <w:sz w:val="20"/>
        </w:rPr>
        <w:t>McPherson</w:t>
      </w:r>
      <w:r>
        <w:rPr>
          <w:rFonts w:ascii="Arial" w:eastAsia="Arial" w:hAnsi="Arial" w:cs="Arial"/>
          <w:color w:val="000000"/>
          <w:sz w:val="20"/>
        </w:rPr>
        <w:t xml:space="preserve">, 119 F.3d at 462; </w:t>
      </w:r>
      <w:r>
        <w:rPr>
          <w:rFonts w:ascii="Arial" w:eastAsia="Arial" w:hAnsi="Arial" w:cs="Arial"/>
          <w:i/>
          <w:color w:val="000000"/>
          <w:sz w:val="20"/>
        </w:rPr>
        <w:t xml:space="preserve">see also </w:t>
      </w:r>
      <w:bookmarkStart w:id="5144" w:name="Bookmark_I5RYPR0F2SF8080020000400"/>
      <w:bookmarkEnd w:id="5144"/>
      <w:r>
        <w:rPr>
          <w:rFonts w:ascii="Arial" w:eastAsia="Arial" w:hAnsi="Arial" w:cs="Arial"/>
          <w:i/>
          <w:color w:val="000000"/>
          <w:sz w:val="20"/>
        </w:rPr>
        <w:t>Sandison v. Michigan High Sch. Athletic Ass'n</w:t>
      </w:r>
      <w:r>
        <w:rPr>
          <w:rFonts w:ascii="Arial" w:eastAsia="Arial" w:hAnsi="Arial" w:cs="Arial"/>
          <w:color w:val="000000"/>
          <w:sz w:val="20"/>
        </w:rPr>
        <w:t xml:space="preserve">, 64 F.3d 1026, 1035 (6th Cir. 1995). </w:t>
      </w:r>
      <w:bookmarkStart w:id="5145" w:name="Bookmark_I5RYPR0F2SF8090010000400"/>
      <w:bookmarkEnd w:id="5145"/>
      <w:r>
        <w:rPr>
          <w:rFonts w:ascii="Arial" w:eastAsia="Arial" w:hAnsi="Arial" w:cs="Arial"/>
          <w:color w:val="000000"/>
          <w:sz w:val="20"/>
        </w:rPr>
        <w:t xml:space="preserve">Thus, where nineteen-year-old students with learning disabilities sought waiver of the state high school athletic association's age requirement, </w:t>
      </w:r>
      <w:bookmarkStart w:id="5146" w:name="Bookmark_I5RYPR0F2SF8080040000400"/>
      <w:bookmarkEnd w:id="5146"/>
      <w:r>
        <w:rPr>
          <w:rFonts w:ascii="Arial" w:eastAsia="Arial" w:hAnsi="Arial" w:cs="Arial"/>
          <w:i/>
          <w:color w:val="000000"/>
          <w:sz w:val="20"/>
        </w:rPr>
        <w:t>Sandison</w:t>
      </w:r>
      <w:r>
        <w:rPr>
          <w:rFonts w:ascii="Arial" w:eastAsia="Arial" w:hAnsi="Arial" w:cs="Arial"/>
          <w:color w:val="000000"/>
          <w:sz w:val="20"/>
        </w:rPr>
        <w:t xml:space="preserve">, 64 F.3d at 1028, we reasoned that waiver of the age requirement would "fundamentally alter[]" that rule by vitiating its ability to ensure fair competition, </w:t>
      </w:r>
      <w:bookmarkStart w:id="5147" w:name="Bookmark_I5RYPR0F2HM6VG0010000400"/>
      <w:bookmarkEnd w:id="5147"/>
      <w:r>
        <w:rPr>
          <w:rFonts w:ascii="Arial" w:eastAsia="Arial" w:hAnsi="Arial" w:cs="Arial"/>
          <w:i/>
          <w:color w:val="000000"/>
          <w:sz w:val="20"/>
        </w:rPr>
        <w:t>id.</w:t>
      </w:r>
      <w:r>
        <w:rPr>
          <w:rFonts w:ascii="Arial" w:eastAsia="Arial" w:hAnsi="Arial" w:cs="Arial"/>
          <w:color w:val="000000"/>
          <w:sz w:val="20"/>
        </w:rPr>
        <w:t xml:space="preserve"> at 1035. </w:t>
      </w:r>
      <w:bookmarkStart w:id="5148" w:name="Bookmark_I5RYPR0F2SF8090030000400"/>
      <w:bookmarkEnd w:id="5148"/>
      <w:r>
        <w:rPr>
          <w:rFonts w:ascii="Arial" w:eastAsia="Arial" w:hAnsi="Arial" w:cs="Arial"/>
          <w:color w:val="000000"/>
          <w:sz w:val="20"/>
        </w:rPr>
        <w:t xml:space="preserve">Referencing the possibility that there would be no fundamental alteration because the plaintiffs were not "were not 'star' players," </w:t>
      </w:r>
      <w:bookmarkStart w:id="5149" w:name="Bookmark_I5RYPR0F2HM6VG0030000400"/>
      <w:bookmarkEnd w:id="5149"/>
      <w:r>
        <w:rPr>
          <w:rFonts w:ascii="Arial" w:eastAsia="Arial" w:hAnsi="Arial" w:cs="Arial"/>
          <w:i/>
          <w:color w:val="000000"/>
          <w:sz w:val="20"/>
        </w:rPr>
        <w:t>id.</w:t>
      </w:r>
      <w:r>
        <w:rPr>
          <w:rFonts w:ascii="Arial" w:eastAsia="Arial" w:hAnsi="Arial" w:cs="Arial"/>
          <w:color w:val="000000"/>
          <w:sz w:val="20"/>
        </w:rPr>
        <w:t xml:space="preserve"> at 1029, we reasoned that it would be "an undue burden" to ask an athletic association to assess whether a particular candidate's "average athletic skills . . . would . . . fundamentally alter the program," given the number of complex variables involved. </w:t>
      </w:r>
      <w:bookmarkStart w:id="5150" w:name="Bookmark_I5RYPR0F2SF8090030000400_2"/>
      <w:bookmarkStart w:id="5151" w:name="Bookmark_I5RYPR0F2SF8090010000400_2"/>
      <w:bookmarkStart w:id="5152" w:name="Bookmark_I5RYPR0F2HM6VG0050000400"/>
      <w:bookmarkEnd w:id="5150"/>
      <w:bookmarkEnd w:id="5151"/>
      <w:bookmarkEnd w:id="5152"/>
      <w:r>
        <w:rPr>
          <w:rFonts w:ascii="Arial" w:eastAsia="Arial" w:hAnsi="Arial" w:cs="Arial"/>
          <w:i/>
          <w:color w:val="000000"/>
          <w:sz w:val="20"/>
        </w:rPr>
        <w:t>Id.</w:t>
      </w:r>
      <w:r>
        <w:rPr>
          <w:rFonts w:ascii="Arial" w:eastAsia="Arial" w:hAnsi="Arial" w:cs="Arial"/>
          <w:color w:val="000000"/>
          <w:sz w:val="20"/>
        </w:rPr>
        <w:t xml:space="preserve"> at 1035. "It is unreasonable," we explained, "to call upon coaches and physicians to make these near-impossible [**42]  determinations."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5153" w:name="Bookmark_I5RYPR0F2SF8090020000400"/>
      <w:bookmarkEnd w:id="5153"/>
      <w:r>
        <w:rPr>
          <w:rFonts w:ascii="Arial" w:eastAsia="Arial" w:hAnsi="Arial" w:cs="Arial"/>
          <w:i/>
          <w:color w:val="000000"/>
          <w:sz w:val="20"/>
        </w:rPr>
        <w:t>McPherson</w:t>
      </w:r>
      <w:r>
        <w:rPr>
          <w:rFonts w:ascii="Arial" w:eastAsia="Arial" w:hAnsi="Arial" w:cs="Arial"/>
          <w:color w:val="000000"/>
          <w:sz w:val="20"/>
        </w:rPr>
        <w:t>, 119 F.3d at 462.</w:t>
      </w:r>
    </w:p>
    <w:p w:rsidR="00E456CD" w:rsidRDefault="00000000">
      <w:pPr>
        <w:pStyle w:val="Normal31"/>
        <w:widowControl w:val="0"/>
        <w:spacing w:before="200" w:line="260" w:lineRule="atLeast"/>
        <w:jc w:val="both"/>
      </w:pPr>
      <w:bookmarkStart w:id="5154" w:name="Bookmark_para_61_5"/>
      <w:bookmarkStart w:id="5155" w:name="Bookmark_I5RYPR0F2SF8090050000400"/>
      <w:bookmarkEnd w:id="5154"/>
      <w:bookmarkEnd w:id="5155"/>
      <w:r>
        <w:rPr>
          <w:rFonts w:ascii="Arial" w:eastAsia="Arial" w:hAnsi="Arial" w:cs="Arial"/>
          <w:color w:val="000000"/>
          <w:sz w:val="20"/>
        </w:rPr>
        <w:t xml:space="preserve">Again, the logic of those precedents applies with stronger force here. The HSDA is not only responsible for deciding whether TCH qualifies for a CON, but also for deciding whether a host of applicants across the State of Tennessee qualify for CONs. Even if TCH, as it has steadfastly maintained, is worthy of a CON in some abstract sense that could be honored by adjusting the CON criteria, TCH offers no answer to how the HSDA ought to determine which CON applicants deserve to have the CON criteria adjusted in their favor and which do not. "It is unreasonable to call upon [the HSDA] to make these near-impossible determinations." </w:t>
      </w:r>
      <w:bookmarkStart w:id="5156" w:name="Bookmark_I5RYPR0F2SF8090040000400"/>
      <w:bookmarkEnd w:id="5156"/>
      <w:r>
        <w:rPr>
          <w:rFonts w:ascii="Arial" w:eastAsia="Arial" w:hAnsi="Arial" w:cs="Arial"/>
          <w:i/>
          <w:color w:val="000000"/>
          <w:sz w:val="20"/>
        </w:rPr>
        <w:t>Sandison</w:t>
      </w:r>
      <w:r>
        <w:rPr>
          <w:rFonts w:ascii="Arial" w:eastAsia="Arial" w:hAnsi="Arial" w:cs="Arial"/>
          <w:color w:val="000000"/>
          <w:sz w:val="20"/>
        </w:rPr>
        <w:t>, 64 F.3d at 1035. We affirm summary judgment on this set of issues as well.</w:t>
      </w:r>
    </w:p>
    <w:p w:rsidR="00E456CD" w:rsidRDefault="00000000">
      <w:pPr>
        <w:pStyle w:val="Normal31"/>
        <w:widowControl w:val="0"/>
        <w:spacing w:before="240" w:line="260" w:lineRule="atLeast"/>
      </w:pPr>
      <w:r>
        <w:br/>
      </w:r>
      <w:r>
        <w:rPr>
          <w:rFonts w:ascii="Arial" w:eastAsia="Arial" w:hAnsi="Arial" w:cs="Arial"/>
          <w:b/>
          <w:color w:val="000000"/>
          <w:sz w:val="20"/>
        </w:rPr>
        <w:t>H. Issue 6: Retaliation for Engaging in Protected Activity</w:t>
      </w:r>
    </w:p>
    <w:p w:rsidR="00E456CD" w:rsidRDefault="00000000">
      <w:pPr>
        <w:pStyle w:val="Normal31"/>
        <w:widowControl w:val="0"/>
        <w:spacing w:before="200" w:line="260" w:lineRule="atLeast"/>
        <w:jc w:val="both"/>
      </w:pPr>
      <w:bookmarkStart w:id="5157" w:name="Bookmark_para_62_5"/>
      <w:bookmarkStart w:id="5158" w:name="Bookmark_I5RYPR0F2D6MVX0020000400"/>
      <w:bookmarkEnd w:id="5157"/>
      <w:bookmarkEnd w:id="5158"/>
      <w:r>
        <w:rPr>
          <w:rFonts w:ascii="Arial" w:eastAsia="Arial" w:hAnsi="Arial" w:cs="Arial"/>
          <w:color w:val="000000"/>
          <w:sz w:val="20"/>
        </w:rPr>
        <w:t>TCH presses one more charge under the ADA and RA on appeal: that ALJ Summers retaliated in violation of these statutes</w:t>
      </w:r>
      <w:r>
        <w:rPr>
          <w:rFonts w:ascii="Arial" w:eastAsia="Arial" w:hAnsi="Arial" w:cs="Arial"/>
          <w:vertAlign w:val="superscript"/>
        </w:rPr>
        <w:footnoteReference w:customMarkFollows="1" w:id="229"/>
        <w:t>18</w:t>
      </w:r>
      <w:r>
        <w:rPr>
          <w:rFonts w:ascii="Arial" w:eastAsia="Arial" w:hAnsi="Arial" w:cs="Arial"/>
          <w:color w:val="000000"/>
          <w:sz w:val="20"/>
        </w:rPr>
        <w:t xml:space="preserve"> by revoking Dunlap's </w:t>
      </w:r>
      <w:r>
        <w:rPr>
          <w:rFonts w:ascii="Arial" w:eastAsia="Arial" w:hAnsi="Arial" w:cs="Arial"/>
          <w:i/>
          <w:color w:val="000000"/>
          <w:sz w:val="20"/>
        </w:rPr>
        <w:t>pro hac vice</w:t>
      </w:r>
      <w:r>
        <w:rPr>
          <w:rFonts w:ascii="Arial" w:eastAsia="Arial" w:hAnsi="Arial" w:cs="Arial"/>
          <w:color w:val="000000"/>
          <w:sz w:val="20"/>
        </w:rPr>
        <w:t xml:space="preserve"> admission. </w:t>
      </w:r>
      <w:r>
        <w:rPr>
          <w:rFonts w:ascii="Arial" w:eastAsia="Arial" w:hAnsi="Arial" w:cs="Arial"/>
          <w:i/>
          <w:color w:val="000000"/>
          <w:sz w:val="20"/>
        </w:rPr>
        <w:t>TCH III</w:t>
      </w:r>
      <w:r>
        <w:rPr>
          <w:rFonts w:ascii="Arial" w:eastAsia="Arial" w:hAnsi="Arial" w:cs="Arial"/>
          <w:color w:val="000000"/>
          <w:sz w:val="20"/>
        </w:rPr>
        <w:t xml:space="preserve"> Appellants' Br. at 26-29. The state defendants argue that the district court was correct to grant summary judgment to them for two independently  [*317]  sufficient reasons: first, because the issue of what caused the revocation is subject to preclusion [**43]  based on TCH's prior litigation in state court, and second, because TCH cannot establish sufficient proof that TCH's engaging in protected activity motivated ALJ Summers's adverse action. </w:t>
      </w:r>
      <w:r>
        <w:rPr>
          <w:rFonts w:ascii="Arial" w:eastAsia="Arial" w:hAnsi="Arial" w:cs="Arial"/>
          <w:i/>
          <w:color w:val="000000"/>
          <w:sz w:val="20"/>
        </w:rPr>
        <w:t>TCH III</w:t>
      </w:r>
      <w:r>
        <w:rPr>
          <w:rFonts w:ascii="Arial" w:eastAsia="Arial" w:hAnsi="Arial" w:cs="Arial"/>
          <w:color w:val="000000"/>
          <w:sz w:val="20"/>
        </w:rPr>
        <w:t xml:space="preserve"> Appellees' Br. at 24-29.</w:t>
      </w:r>
    </w:p>
    <w:p w:rsidR="00E456CD" w:rsidRDefault="00000000">
      <w:pPr>
        <w:pStyle w:val="Normal31"/>
        <w:widowControl w:val="0"/>
        <w:spacing w:before="200" w:line="260" w:lineRule="atLeast"/>
        <w:jc w:val="both"/>
      </w:pPr>
      <w:bookmarkStart w:id="5161" w:name="Bookmark_para_63_5"/>
      <w:bookmarkStart w:id="5162" w:name="Bookmark_I5RYPR0F2D6MVX0040000400"/>
      <w:bookmarkEnd w:id="5161"/>
      <w:bookmarkEnd w:id="5162"/>
      <w:r>
        <w:rPr>
          <w:rFonts w:ascii="Arial" w:eastAsia="Arial" w:hAnsi="Arial" w:cs="Arial"/>
          <w:color w:val="000000"/>
          <w:sz w:val="20"/>
        </w:rPr>
        <w:t xml:space="preserve">We need not decide whether issue preclusion resolves this claim in its entirety; even if it does not, TCH has failed to provide sufficient proof of retaliatory motive. </w:t>
      </w:r>
      <w:bookmarkStart w:id="5163" w:name="Bookmark_LNHNREFclscc17_4"/>
      <w:bookmarkEnd w:id="5163"/>
      <w:r>
        <w:rPr>
          <w:rFonts w:ascii="Arial" w:eastAsia="Arial" w:hAnsi="Arial" w:cs="Arial"/>
          <w:color w:val="000000"/>
          <w:sz w:val="20"/>
        </w:rPr>
        <w:t xml:space="preserve">"Retaliation claims are also analyzed under the </w:t>
      </w:r>
      <w:r>
        <w:rPr>
          <w:rFonts w:ascii="Arial" w:eastAsia="Arial" w:hAnsi="Arial" w:cs="Arial"/>
          <w:i/>
          <w:color w:val="000000"/>
          <w:sz w:val="20"/>
        </w:rPr>
        <w:t>McDonnell Douglas</w:t>
      </w:r>
      <w:r>
        <w:rPr>
          <w:rFonts w:ascii="Arial" w:eastAsia="Arial" w:hAnsi="Arial" w:cs="Arial"/>
          <w:color w:val="000000"/>
          <w:sz w:val="20"/>
        </w:rPr>
        <w:t xml:space="preserve"> framework where, as here, there is no direct evidence of retaliation." </w:t>
      </w:r>
      <w:bookmarkStart w:id="5164" w:name="Bookmark_I5RYPR0F2D6MVX0030000400"/>
      <w:bookmarkEnd w:id="5164"/>
      <w:r>
        <w:rPr>
          <w:rFonts w:ascii="Arial" w:eastAsia="Arial" w:hAnsi="Arial" w:cs="Arial"/>
          <w:i/>
          <w:color w:val="000000"/>
          <w:sz w:val="20"/>
        </w:rPr>
        <w:t>Williams v. AT&amp;T Mobility Servs. LLC</w:t>
      </w:r>
      <w:r>
        <w:rPr>
          <w:rFonts w:ascii="Arial" w:eastAsia="Arial" w:hAnsi="Arial" w:cs="Arial"/>
          <w:color w:val="000000"/>
          <w:sz w:val="20"/>
        </w:rPr>
        <w:t>, 847 F.3d 384, 396 (6th Cir. 2017). As we have explained in an analogous context:</w:t>
      </w:r>
    </w:p>
    <w:p w:rsidR="00E456CD" w:rsidRDefault="00000000">
      <w:pPr>
        <w:pStyle w:val="Normal31"/>
        <w:widowControl w:val="0"/>
        <w:spacing w:line="260" w:lineRule="atLeast"/>
        <w:ind w:left="400"/>
        <w:jc w:val="both"/>
      </w:pPr>
      <w:bookmarkStart w:id="5165" w:name="Bookmark_para_64_5"/>
      <w:bookmarkEnd w:id="5165"/>
      <w:r>
        <w:rPr>
          <w:rFonts w:ascii="Arial" w:eastAsia="Arial" w:hAnsi="Arial" w:cs="Arial"/>
          <w:color w:val="000000"/>
          <w:sz w:val="20"/>
        </w:rPr>
        <w:t xml:space="preserve">The initial burden falls on Plaintiffs to present a prima facie case of retaliation. </w:t>
      </w:r>
      <w:bookmarkStart w:id="5166" w:name="Bookmark_I5RYPR0F2HM6VH0010000400"/>
      <w:bookmarkEnd w:id="5166"/>
      <w:r>
        <w:rPr>
          <w:rFonts w:ascii="Arial" w:eastAsia="Arial" w:hAnsi="Arial" w:cs="Arial"/>
          <w:color w:val="000000"/>
          <w:sz w:val="20"/>
        </w:rPr>
        <w:t>That requires them to establish that: (1) they engaged in activity protected under Section 504 and the ADA; (2) [the defendants] knew of this protected activity; (3) [the defendants] then took adverse action against Plaintiffs; and (4) there was a causal connection between the protected activity and the adverse action. "The burden of establishing a prima facie case in a retaliation action is not onerous, but one easily met."</w:t>
      </w:r>
    </w:p>
    <w:p w:rsidR="00E456CD" w:rsidRDefault="00000000">
      <w:pPr>
        <w:pStyle w:val="Normal31"/>
        <w:widowControl w:val="0"/>
        <w:spacing w:before="200" w:line="260" w:lineRule="atLeast"/>
        <w:jc w:val="both"/>
      </w:pPr>
      <w:bookmarkStart w:id="5167" w:name="Bookmark_I5RYPR0F2HM6VH0010000400_2"/>
      <w:bookmarkStart w:id="5168" w:name="Bookmark_I5RYPR0F2HM6VH0050000400"/>
      <w:bookmarkStart w:id="5169" w:name="Bookmark_I5RYPR0F2D6MVX0050000400"/>
      <w:bookmarkEnd w:id="5167"/>
      <w:bookmarkEnd w:id="5168"/>
      <w:bookmarkEnd w:id="5169"/>
      <w:r>
        <w:rPr>
          <w:rFonts w:ascii="Arial" w:eastAsia="Arial" w:hAnsi="Arial" w:cs="Arial"/>
          <w:i/>
          <w:color w:val="000000"/>
          <w:sz w:val="20"/>
        </w:rPr>
        <w:t>A.C. ex rel. J.C. v. Shelby Cty. Bd. of Educ.</w:t>
      </w:r>
      <w:r>
        <w:rPr>
          <w:rFonts w:ascii="Arial" w:eastAsia="Arial" w:hAnsi="Arial" w:cs="Arial"/>
          <w:color w:val="000000"/>
          <w:sz w:val="20"/>
        </w:rPr>
        <w:t xml:space="preserve">, 711 F.3d 687, 697 (6th Cir. 2013) (quoting </w:t>
      </w:r>
      <w:bookmarkStart w:id="5170" w:name="Bookmark_I5RYPR0F2HM6VH0020000400"/>
      <w:bookmarkEnd w:id="5170"/>
      <w:r>
        <w:rPr>
          <w:rFonts w:ascii="Arial" w:eastAsia="Arial" w:hAnsi="Arial" w:cs="Arial"/>
          <w:i/>
          <w:color w:val="000000"/>
          <w:sz w:val="20"/>
        </w:rPr>
        <w:t>Nguyen v. City of Cleveland</w:t>
      </w:r>
      <w:r>
        <w:rPr>
          <w:rFonts w:ascii="Arial" w:eastAsia="Arial" w:hAnsi="Arial" w:cs="Arial"/>
          <w:color w:val="000000"/>
          <w:sz w:val="20"/>
        </w:rPr>
        <w:t xml:space="preserve">, 229 F.3d 559, 563 (6th Cir. 2000)) (citations omitted). </w:t>
      </w:r>
      <w:bookmarkStart w:id="5171" w:name="Bookmark_I5RYPR0F2HM6VH0050000400_2"/>
      <w:bookmarkStart w:id="5172" w:name="Bookmark_I5RYPR0F2D6MVY0020000400"/>
      <w:bookmarkEnd w:id="5171"/>
      <w:bookmarkEnd w:id="5172"/>
      <w:r>
        <w:rPr>
          <w:rFonts w:ascii="Arial" w:eastAsia="Arial" w:hAnsi="Arial" w:cs="Arial"/>
          <w:color w:val="000000"/>
          <w:sz w:val="20"/>
        </w:rPr>
        <w:t xml:space="preserve">"If the plaintiff does so, then the burden shifts to the employer to articulate a legitimate, nondiscriminatory [**44]  reason for the adverse . . . action. The plaintiff must then show that the reason given . . . was actually a pretext designed to mask retaliation." </w:t>
      </w:r>
      <w:bookmarkStart w:id="5173" w:name="Bookmark_I5RYPR0F2HM6VH0040000400"/>
      <w:bookmarkEnd w:id="5173"/>
      <w:r>
        <w:rPr>
          <w:rFonts w:ascii="Arial" w:eastAsia="Arial" w:hAnsi="Arial" w:cs="Arial"/>
          <w:i/>
          <w:color w:val="000000"/>
          <w:sz w:val="20"/>
        </w:rPr>
        <w:t>Williams</w:t>
      </w:r>
      <w:r>
        <w:rPr>
          <w:rFonts w:ascii="Arial" w:eastAsia="Arial" w:hAnsi="Arial" w:cs="Arial"/>
          <w:color w:val="000000"/>
          <w:sz w:val="20"/>
        </w:rPr>
        <w:t xml:space="preserve">, 847 F.3d at 396 (citation omitted). </w:t>
      </w:r>
      <w:bookmarkStart w:id="5174" w:name="Bookmark_I5RYPR0F2D6MVY0020000400_2"/>
      <w:bookmarkEnd w:id="5174"/>
      <w:r>
        <w:rPr>
          <w:rFonts w:ascii="Arial" w:eastAsia="Arial" w:hAnsi="Arial" w:cs="Arial"/>
          <w:color w:val="000000"/>
          <w:sz w:val="20"/>
        </w:rPr>
        <w:t>"To establish pretext, a plaintiff must demonstrate '</w:t>
      </w:r>
      <w:r>
        <w:rPr>
          <w:rFonts w:ascii="Arial" w:eastAsia="Arial" w:hAnsi="Arial" w:cs="Arial"/>
          <w:i/>
          <w:color w:val="000000"/>
          <w:sz w:val="20"/>
        </w:rPr>
        <w:t>both</w:t>
      </w:r>
      <w:r>
        <w:rPr>
          <w:rFonts w:ascii="Arial" w:eastAsia="Arial" w:hAnsi="Arial" w:cs="Arial"/>
          <w:color w:val="000000"/>
          <w:sz w:val="20"/>
        </w:rPr>
        <w:t xml:space="preserve"> that the [defendant's] proffered reason was not the real reason for its action, </w:t>
      </w:r>
      <w:r>
        <w:rPr>
          <w:rFonts w:ascii="Arial" w:eastAsia="Arial" w:hAnsi="Arial" w:cs="Arial"/>
          <w:i/>
          <w:color w:val="000000"/>
          <w:sz w:val="20"/>
        </w:rPr>
        <w:t>and</w:t>
      </w:r>
      <w:r>
        <w:rPr>
          <w:rFonts w:ascii="Arial" w:eastAsia="Arial" w:hAnsi="Arial" w:cs="Arial"/>
          <w:color w:val="000000"/>
          <w:sz w:val="20"/>
        </w:rPr>
        <w:t xml:space="preserve"> that the [defendant's] real reason was unlawful.'" </w:t>
      </w:r>
      <w:r>
        <w:rPr>
          <w:rFonts w:ascii="Arial" w:eastAsia="Arial" w:hAnsi="Arial" w:cs="Arial"/>
          <w:i/>
          <w:color w:val="000000"/>
          <w:sz w:val="20"/>
        </w:rPr>
        <w:t>Id.</w:t>
      </w:r>
      <w:r>
        <w:rPr>
          <w:rFonts w:ascii="Arial" w:eastAsia="Arial" w:hAnsi="Arial" w:cs="Arial"/>
          <w:color w:val="000000"/>
          <w:sz w:val="20"/>
        </w:rPr>
        <w:t xml:space="preserve"> (quoting </w:t>
      </w:r>
      <w:bookmarkStart w:id="5175" w:name="Bookmark_I5RYPR0F2D6MVY0010000400"/>
      <w:bookmarkEnd w:id="5175"/>
      <w:r>
        <w:rPr>
          <w:rFonts w:ascii="Arial" w:eastAsia="Arial" w:hAnsi="Arial" w:cs="Arial"/>
          <w:i/>
          <w:color w:val="000000"/>
          <w:sz w:val="20"/>
        </w:rPr>
        <w:t>EEOC v. Ford Motor Co.</w:t>
      </w:r>
      <w:r>
        <w:rPr>
          <w:rFonts w:ascii="Arial" w:eastAsia="Arial" w:hAnsi="Arial" w:cs="Arial"/>
          <w:color w:val="000000"/>
          <w:sz w:val="20"/>
        </w:rPr>
        <w:t>, 782 F.3d 753, 767 (6th Cir. 2015) (en banc)).</w:t>
      </w:r>
    </w:p>
    <w:p w:rsidR="00E456CD" w:rsidRDefault="00000000">
      <w:pPr>
        <w:pStyle w:val="Normal31"/>
        <w:widowControl w:val="0"/>
        <w:spacing w:before="200" w:line="260" w:lineRule="atLeast"/>
        <w:jc w:val="both"/>
      </w:pPr>
      <w:bookmarkStart w:id="5176" w:name="Bookmark_para_65_5"/>
      <w:bookmarkEnd w:id="5176"/>
      <w:r>
        <w:rPr>
          <w:rFonts w:ascii="Arial" w:eastAsia="Arial" w:hAnsi="Arial" w:cs="Arial"/>
          <w:color w:val="000000"/>
          <w:sz w:val="20"/>
        </w:rPr>
        <w:t xml:space="preserve">Regardless of whether TCH could make out a prima facie case, TCH cannot satisfy step three of this analysis. At step two, the state defendants can clearly put forward a legitimate, nondiscriminatory reason for Dunlap's expulsion: Dunlap's unprofessional behavior. </w:t>
      </w:r>
      <w:bookmarkStart w:id="5177" w:name="Bookmark_I5RYPR0F2D6MVY0040000400"/>
      <w:bookmarkEnd w:id="5177"/>
      <w:r>
        <w:rPr>
          <w:rFonts w:ascii="Arial" w:eastAsia="Arial" w:hAnsi="Arial" w:cs="Arial"/>
          <w:color w:val="000000"/>
          <w:sz w:val="20"/>
        </w:rPr>
        <w:t xml:space="preserve">That, after all, was ALJ Summers's stated reason for revoking Dunlap's </w:t>
      </w:r>
      <w:r>
        <w:rPr>
          <w:rFonts w:ascii="Arial" w:eastAsia="Arial" w:hAnsi="Arial" w:cs="Arial"/>
          <w:i/>
          <w:color w:val="000000"/>
          <w:sz w:val="20"/>
        </w:rPr>
        <w:t>pro hac vice</w:t>
      </w:r>
      <w:r>
        <w:rPr>
          <w:rFonts w:ascii="Arial" w:eastAsia="Arial" w:hAnsi="Arial" w:cs="Arial"/>
          <w:color w:val="000000"/>
          <w:sz w:val="20"/>
        </w:rPr>
        <w:t xml:space="preserve"> admission—that his "coercion and misrepresentations" violated three Tennessee Rules of Professional Conduct as well as, in her view, the Tennessee extortion statute. </w:t>
      </w:r>
      <w:r>
        <w:rPr>
          <w:rFonts w:ascii="Arial" w:eastAsia="Arial" w:hAnsi="Arial" w:cs="Arial"/>
          <w:i/>
          <w:color w:val="000000"/>
          <w:sz w:val="20"/>
        </w:rPr>
        <w:t>See TCH III</w:t>
      </w:r>
      <w:r>
        <w:rPr>
          <w:rFonts w:ascii="Arial" w:eastAsia="Arial" w:hAnsi="Arial" w:cs="Arial"/>
          <w:color w:val="000000"/>
          <w:sz w:val="20"/>
        </w:rPr>
        <w:t xml:space="preserve"> R. 15-12 (Order Revoking Permission to Appear </w:t>
      </w:r>
      <w:r>
        <w:rPr>
          <w:rFonts w:ascii="Arial" w:eastAsia="Arial" w:hAnsi="Arial" w:cs="Arial"/>
          <w:i/>
          <w:color w:val="000000"/>
          <w:sz w:val="20"/>
        </w:rPr>
        <w:t>Pro Hac Vice</w:t>
      </w:r>
      <w:r>
        <w:rPr>
          <w:rFonts w:ascii="Arial" w:eastAsia="Arial" w:hAnsi="Arial" w:cs="Arial"/>
          <w:color w:val="000000"/>
          <w:sz w:val="20"/>
        </w:rPr>
        <w:t xml:space="preserve"> at 10) (Page ID #557). </w:t>
      </w:r>
      <w:bookmarkStart w:id="5178" w:name="Bookmark_I5RYPR0F2HM6VJ0010000400"/>
      <w:bookmarkEnd w:id="5178"/>
      <w:r>
        <w:rPr>
          <w:rFonts w:ascii="Arial" w:eastAsia="Arial" w:hAnsi="Arial" w:cs="Arial"/>
          <w:color w:val="000000"/>
          <w:sz w:val="20"/>
        </w:rPr>
        <w:t xml:space="preserve">And the Tennessee Court of Appeals ratified her conclusion regarding the three Tennessee Rules (while expressing no opinion on the extortion statute), deeming ALJ Summers's decision "reasonable" and "consistent with a proper [**45]  application of the controlling legal principles." </w:t>
      </w:r>
      <w:bookmarkStart w:id="5179" w:name="Bookmark_I5RYPR0F2D6MVY0030000400"/>
      <w:bookmarkEnd w:id="5179"/>
      <w:r>
        <w:rPr>
          <w:rFonts w:ascii="Arial" w:eastAsia="Arial" w:hAnsi="Arial" w:cs="Arial"/>
          <w:i/>
          <w:color w:val="000000"/>
          <w:sz w:val="20"/>
        </w:rPr>
        <w:t>Tri-Cities Holdings, LLC v. Tenn. Health Servs. &amp; Dev. Agency</w:t>
      </w:r>
      <w:r>
        <w:rPr>
          <w:rFonts w:ascii="Arial" w:eastAsia="Arial" w:hAnsi="Arial" w:cs="Arial"/>
          <w:color w:val="000000"/>
          <w:sz w:val="20"/>
        </w:rPr>
        <w:t xml:space="preserve">, No. M2015-00058-COA-R3-CV, 2016 Tenn. App. LEXIS 135, 2016 WL 721067, at *10 (Tenn. Ct. App. Feb. 22, 2016) (citation omitted), </w:t>
      </w:r>
      <w:r>
        <w:rPr>
          <w:rFonts w:ascii="Arial" w:eastAsia="Arial" w:hAnsi="Arial" w:cs="Arial"/>
          <w:i/>
          <w:color w:val="000000"/>
          <w:sz w:val="20"/>
        </w:rPr>
        <w:t>appeal denied</w:t>
      </w:r>
      <w:r>
        <w:rPr>
          <w:rFonts w:ascii="Arial" w:eastAsia="Arial" w:hAnsi="Arial" w:cs="Arial"/>
          <w:color w:val="000000"/>
          <w:sz w:val="20"/>
        </w:rPr>
        <w:t xml:space="preserve"> (June 23, 2016). </w:t>
      </w:r>
      <w:bookmarkStart w:id="5180" w:name="Bookmark_I5RYPR0F2HM6VJ0010000400_2"/>
      <w:bookmarkEnd w:id="5180"/>
      <w:r>
        <w:rPr>
          <w:rFonts w:ascii="Arial" w:eastAsia="Arial" w:hAnsi="Arial" w:cs="Arial"/>
          <w:color w:val="000000"/>
          <w:sz w:val="20"/>
        </w:rPr>
        <w:t xml:space="preserve">There is no cause to doubt this conclusion in light of the record, and, in any event, the Tennessee Court of Appeals's ruling that ALJ Summers's conclusions were </w:t>
      </w:r>
      <w:r>
        <w:rPr>
          <w:rFonts w:ascii="Arial" w:eastAsia="Arial" w:hAnsi="Arial" w:cs="Arial"/>
          <w:i/>
          <w:color w:val="000000"/>
          <w:sz w:val="20"/>
        </w:rPr>
        <w:t>reasonable</w:t>
      </w:r>
      <w:r>
        <w:rPr>
          <w:rFonts w:ascii="Arial" w:eastAsia="Arial" w:hAnsi="Arial" w:cs="Arial"/>
          <w:color w:val="000000"/>
          <w:sz w:val="20"/>
        </w:rPr>
        <w:t xml:space="preserve"> does have issue-preclusive effect. </w:t>
      </w:r>
      <w:bookmarkStart w:id="5181" w:name="Bookmark_I5RYPR0F2HM6VJ0030000400"/>
      <w:bookmarkEnd w:id="5181"/>
      <w:r>
        <w:rPr>
          <w:rFonts w:ascii="Arial" w:eastAsia="Arial" w:hAnsi="Arial" w:cs="Arial"/>
          <w:i/>
          <w:color w:val="000000"/>
          <w:sz w:val="20"/>
        </w:rPr>
        <w:t xml:space="preserve">See </w:t>
      </w:r>
      <w:bookmarkStart w:id="5182" w:name="Bookmark_I5RYPR0F2D6MVY0050000400"/>
      <w:bookmarkEnd w:id="5182"/>
      <w:r>
        <w:rPr>
          <w:rFonts w:ascii="Arial" w:eastAsia="Arial" w:hAnsi="Arial" w:cs="Arial"/>
          <w:i/>
          <w:color w:val="000000"/>
          <w:sz w:val="20"/>
        </w:rPr>
        <w:t>Georgia-Pac. Consumer Prods.</w:t>
      </w:r>
      <w:r>
        <w:rPr>
          <w:rFonts w:ascii="Arial" w:eastAsia="Arial" w:hAnsi="Arial" w:cs="Arial"/>
          <w:color w:val="000000"/>
          <w:sz w:val="20"/>
        </w:rPr>
        <w:t xml:space="preserve">, 701 F.3d at 1098. </w:t>
      </w:r>
      <w:bookmarkStart w:id="5183" w:name="Bookmark_I5RYPR0F2HM6VJ0030000400_2"/>
      <w:bookmarkEnd w:id="5183"/>
      <w:r>
        <w:rPr>
          <w:rFonts w:ascii="Arial" w:eastAsia="Arial" w:hAnsi="Arial" w:cs="Arial"/>
          <w:color w:val="000000"/>
          <w:sz w:val="20"/>
        </w:rPr>
        <w:t xml:space="preserve">So </w:t>
      </w:r>
      <w:bookmarkStart w:id="5184" w:name="Bookmark_LNHNREFclscc18_4"/>
      <w:bookmarkEnd w:id="5184"/>
      <w:r>
        <w:rPr>
          <w:rFonts w:ascii="Arial" w:eastAsia="Arial" w:hAnsi="Arial" w:cs="Arial"/>
          <w:color w:val="000000"/>
          <w:sz w:val="20"/>
        </w:rPr>
        <w:t xml:space="preserve">TCH must show that this legitimate, nondiscriminatory reason "was not the real reason for [ALJ Summers's] action, </w:t>
      </w:r>
      <w:r>
        <w:rPr>
          <w:rFonts w:ascii="Arial" w:eastAsia="Arial" w:hAnsi="Arial" w:cs="Arial"/>
          <w:i/>
          <w:color w:val="000000"/>
          <w:sz w:val="20"/>
        </w:rPr>
        <w:t>and</w:t>
      </w:r>
      <w:r>
        <w:rPr>
          <w:rFonts w:ascii="Arial" w:eastAsia="Arial" w:hAnsi="Arial" w:cs="Arial"/>
          <w:color w:val="000000"/>
          <w:sz w:val="20"/>
        </w:rPr>
        <w:t xml:space="preserve"> that [her] real reason was" Dunlap's pressing ADA and RA claims. </w:t>
      </w:r>
      <w:r>
        <w:rPr>
          <w:rFonts w:ascii="Arial" w:eastAsia="Arial" w:hAnsi="Arial" w:cs="Arial"/>
          <w:i/>
          <w:color w:val="000000"/>
          <w:sz w:val="20"/>
        </w:rPr>
        <w:t xml:space="preserve">See </w:t>
      </w:r>
      <w:bookmarkStart w:id="5185" w:name="Bookmark_I5RYPR0F2HM6VJ0020000400"/>
      <w:bookmarkEnd w:id="5185"/>
      <w:r>
        <w:rPr>
          <w:rFonts w:ascii="Arial" w:eastAsia="Arial" w:hAnsi="Arial" w:cs="Arial"/>
          <w:i/>
          <w:color w:val="000000"/>
          <w:sz w:val="20"/>
        </w:rPr>
        <w:t>Ford Motor Co.</w:t>
      </w:r>
      <w:r>
        <w:rPr>
          <w:rFonts w:ascii="Arial" w:eastAsia="Arial" w:hAnsi="Arial" w:cs="Arial"/>
          <w:color w:val="000000"/>
          <w:sz w:val="20"/>
        </w:rPr>
        <w:t>, 782 F.3d at 767.</w:t>
      </w:r>
    </w:p>
    <w:p w:rsidR="00E456CD" w:rsidRDefault="00000000">
      <w:pPr>
        <w:pStyle w:val="Normal31"/>
        <w:widowControl w:val="0"/>
        <w:spacing w:before="200" w:line="260" w:lineRule="atLeast"/>
        <w:jc w:val="both"/>
      </w:pPr>
      <w:bookmarkStart w:id="5186" w:name="Bookmark_para_66_5"/>
      <w:bookmarkStart w:id="5187" w:name="Bookmark_I5RYPR0F2HM6VJ0050000400"/>
      <w:bookmarkEnd w:id="5186"/>
      <w:bookmarkEnd w:id="5187"/>
      <w:r>
        <w:rPr>
          <w:rFonts w:ascii="Arial" w:eastAsia="Arial" w:hAnsi="Arial" w:cs="Arial"/>
          <w:color w:val="000000"/>
          <w:sz w:val="20"/>
        </w:rPr>
        <w:t xml:space="preserve">Though plaintiffs can rely on "temporal proximity" to meet their "causal burden" at the prima facie stage, </w:t>
      </w:r>
      <w:r>
        <w:rPr>
          <w:rFonts w:ascii="Arial" w:eastAsia="Arial" w:hAnsi="Arial" w:cs="Arial"/>
          <w:i/>
          <w:color w:val="000000"/>
          <w:sz w:val="20"/>
        </w:rPr>
        <w:t xml:space="preserve">see, e.g., </w:t>
      </w:r>
      <w:bookmarkStart w:id="5188" w:name="Bookmark_I5RYPR0F2HM6VJ0040000400"/>
      <w:bookmarkEnd w:id="5188"/>
      <w:r>
        <w:rPr>
          <w:rFonts w:ascii="Arial" w:eastAsia="Arial" w:hAnsi="Arial" w:cs="Arial"/>
          <w:i/>
          <w:color w:val="000000"/>
          <w:sz w:val="20"/>
        </w:rPr>
        <w:t>A.C. ex  [*318]  rel. J.C.</w:t>
      </w:r>
      <w:r>
        <w:rPr>
          <w:rFonts w:ascii="Arial" w:eastAsia="Arial" w:hAnsi="Arial" w:cs="Arial"/>
          <w:color w:val="000000"/>
          <w:sz w:val="20"/>
        </w:rPr>
        <w:t xml:space="preserve">, 711 F.3d at 699, "temporal proximity cannot be the sole basis for finding pretext," </w:t>
      </w:r>
      <w:bookmarkStart w:id="5189" w:name="Bookmark_I5RYPR0F2N1R0S0010000400"/>
      <w:bookmarkEnd w:id="5189"/>
      <w:r>
        <w:rPr>
          <w:rFonts w:ascii="Arial" w:eastAsia="Arial" w:hAnsi="Arial" w:cs="Arial"/>
          <w:i/>
          <w:color w:val="000000"/>
          <w:sz w:val="20"/>
        </w:rPr>
        <w:t>Ford Motor Co.</w:t>
      </w:r>
      <w:r>
        <w:rPr>
          <w:rFonts w:ascii="Arial" w:eastAsia="Arial" w:hAnsi="Arial" w:cs="Arial"/>
          <w:color w:val="000000"/>
          <w:sz w:val="20"/>
        </w:rPr>
        <w:t xml:space="preserve">, 782 F.3d at 767 (quoting </w:t>
      </w:r>
      <w:bookmarkStart w:id="5190" w:name="Bookmark_I5RYPR0F2N1R0S0030000400"/>
      <w:bookmarkEnd w:id="5190"/>
      <w:r>
        <w:rPr>
          <w:rFonts w:ascii="Arial" w:eastAsia="Arial" w:hAnsi="Arial" w:cs="Arial"/>
          <w:i/>
          <w:color w:val="000000"/>
          <w:sz w:val="20"/>
        </w:rPr>
        <w:t>Donald v. Sybra, Inc.</w:t>
      </w:r>
      <w:r>
        <w:rPr>
          <w:rFonts w:ascii="Arial" w:eastAsia="Arial" w:hAnsi="Arial" w:cs="Arial"/>
          <w:color w:val="000000"/>
          <w:sz w:val="20"/>
        </w:rPr>
        <w:t xml:space="preserve">, 667 F.3d 757, 763 (6th Cir. 2012)). In other words, TCH must point to at least </w:t>
      </w:r>
      <w:r>
        <w:rPr>
          <w:rFonts w:ascii="Arial" w:eastAsia="Arial" w:hAnsi="Arial" w:cs="Arial"/>
          <w:i/>
          <w:color w:val="000000"/>
          <w:sz w:val="20"/>
        </w:rPr>
        <w:t>some</w:t>
      </w:r>
      <w:r>
        <w:rPr>
          <w:rFonts w:ascii="Arial" w:eastAsia="Arial" w:hAnsi="Arial" w:cs="Arial"/>
          <w:color w:val="000000"/>
          <w:sz w:val="20"/>
        </w:rPr>
        <w:t xml:space="preserve"> other evidence that Dunlap's violations of the Tennessee Rules of Professional Conduct were "not the real reason that" ALJ Summers revoked his </w:t>
      </w:r>
      <w:r>
        <w:rPr>
          <w:rFonts w:ascii="Arial" w:eastAsia="Arial" w:hAnsi="Arial" w:cs="Arial"/>
          <w:i/>
          <w:color w:val="000000"/>
          <w:sz w:val="20"/>
        </w:rPr>
        <w:t>pro hac vice</w:t>
      </w:r>
      <w:r>
        <w:rPr>
          <w:rFonts w:ascii="Arial" w:eastAsia="Arial" w:hAnsi="Arial" w:cs="Arial"/>
          <w:color w:val="000000"/>
          <w:sz w:val="20"/>
        </w:rPr>
        <w:t xml:space="preserve"> admission, "and that unlawful retaliation" for Dunlap's pressing ADA claims "in fact was." </w:t>
      </w:r>
      <w:r>
        <w:rPr>
          <w:rFonts w:ascii="Arial" w:eastAsia="Arial" w:hAnsi="Arial" w:cs="Arial"/>
          <w:i/>
          <w:color w:val="000000"/>
          <w:sz w:val="20"/>
        </w:rPr>
        <w:t>See id.</w:t>
      </w:r>
    </w:p>
    <w:p w:rsidR="00E456CD" w:rsidRDefault="00000000">
      <w:pPr>
        <w:pStyle w:val="Normal31"/>
        <w:widowControl w:val="0"/>
        <w:spacing w:before="200" w:line="260" w:lineRule="atLeast"/>
        <w:jc w:val="both"/>
      </w:pPr>
      <w:bookmarkStart w:id="5191" w:name="Bookmark_para_67_5"/>
      <w:bookmarkEnd w:id="5191"/>
      <w:r>
        <w:rPr>
          <w:rFonts w:ascii="Arial" w:eastAsia="Arial" w:hAnsi="Arial" w:cs="Arial"/>
          <w:color w:val="000000"/>
          <w:sz w:val="20"/>
        </w:rPr>
        <w:t xml:space="preserve">TCH has failed to do so. TCH rests its case essentially on one piece of ALJ Summers's justification: that [**46]  Dunlap's behavior amounted to extortion in violation of Tenn. Code Ann. § 39-14-112. </w:t>
      </w:r>
      <w:r>
        <w:rPr>
          <w:rFonts w:ascii="Arial" w:eastAsia="Arial" w:hAnsi="Arial" w:cs="Arial"/>
          <w:i/>
          <w:color w:val="000000"/>
          <w:sz w:val="20"/>
        </w:rPr>
        <w:t>See TCH III</w:t>
      </w:r>
      <w:r>
        <w:rPr>
          <w:rFonts w:ascii="Arial" w:eastAsia="Arial" w:hAnsi="Arial" w:cs="Arial"/>
          <w:color w:val="000000"/>
          <w:sz w:val="20"/>
        </w:rPr>
        <w:t xml:space="preserve"> Appellants' Br. at 26. </w:t>
      </w:r>
      <w:bookmarkStart w:id="5192" w:name="Bookmark_I5RYPR0F2SF80C0010000400"/>
      <w:bookmarkEnd w:id="5192"/>
      <w:r>
        <w:rPr>
          <w:rFonts w:ascii="Arial" w:eastAsia="Arial" w:hAnsi="Arial" w:cs="Arial"/>
          <w:color w:val="000000"/>
          <w:sz w:val="20"/>
        </w:rPr>
        <w:t xml:space="preserve">This statement by ALJ Summers indeed appears to have been overreaction, as the Tennessee appellate court's decision seems to suggest by negative inference. But the question here is not whether </w:t>
      </w:r>
      <w:r>
        <w:rPr>
          <w:rFonts w:ascii="Arial" w:eastAsia="Arial" w:hAnsi="Arial" w:cs="Arial"/>
          <w:i/>
          <w:color w:val="000000"/>
          <w:sz w:val="20"/>
        </w:rPr>
        <w:t>one</w:t>
      </w:r>
      <w:r>
        <w:rPr>
          <w:rFonts w:ascii="Arial" w:eastAsia="Arial" w:hAnsi="Arial" w:cs="Arial"/>
          <w:color w:val="000000"/>
          <w:sz w:val="20"/>
        </w:rPr>
        <w:t xml:space="preserve"> of ALJ Summers's justifications was an overreaction, but rather whether ALJ Summers's explanation as a whole was mere pretext to conceal a retaliatory motive. </w:t>
      </w:r>
      <w:r>
        <w:rPr>
          <w:rFonts w:ascii="Arial" w:eastAsia="Arial" w:hAnsi="Arial" w:cs="Arial"/>
          <w:i/>
          <w:color w:val="000000"/>
          <w:sz w:val="20"/>
        </w:rPr>
        <w:t xml:space="preserve">See, e.g., </w:t>
      </w:r>
      <w:bookmarkStart w:id="5193" w:name="Bookmark_I5RYPR0F2N1R0S0050000400"/>
      <w:bookmarkEnd w:id="5193"/>
      <w:r>
        <w:rPr>
          <w:rFonts w:ascii="Arial" w:eastAsia="Arial" w:hAnsi="Arial" w:cs="Arial"/>
          <w:i/>
          <w:color w:val="000000"/>
          <w:sz w:val="20"/>
        </w:rPr>
        <w:t>Bryson v. Regis Corp.</w:t>
      </w:r>
      <w:r>
        <w:rPr>
          <w:rFonts w:ascii="Arial" w:eastAsia="Arial" w:hAnsi="Arial" w:cs="Arial"/>
          <w:color w:val="000000"/>
          <w:sz w:val="20"/>
        </w:rPr>
        <w:t>, 498 F.3d 561, 572 (6th Cir. 2007). Because TCH has failed to provide any other evidence that ALJ Summers's revocation of Dunlap's admission had anything to do with retaliatory animus, summary judgment was proper.</w:t>
      </w:r>
    </w:p>
    <w:p w:rsidR="00E456CD" w:rsidRDefault="00000000">
      <w:pPr>
        <w:pStyle w:val="Normal31"/>
        <w:widowControl w:val="0"/>
        <w:spacing w:before="240" w:line="260" w:lineRule="atLeast"/>
      </w:pPr>
      <w:r>
        <w:br/>
      </w:r>
      <w:r>
        <w:rPr>
          <w:rFonts w:ascii="Arial" w:eastAsia="Arial" w:hAnsi="Arial" w:cs="Arial"/>
          <w:b/>
          <w:color w:val="000000"/>
          <w:sz w:val="20"/>
        </w:rPr>
        <w:t>I. Issue 7: TCH's Motion to File a Third Amended Complaint and Jane Doe #3's Motion to Intervene</w:t>
      </w:r>
    </w:p>
    <w:p w:rsidR="00E456CD" w:rsidRDefault="00000000">
      <w:pPr>
        <w:pStyle w:val="Normal31"/>
        <w:widowControl w:val="0"/>
        <w:spacing w:before="200" w:line="260" w:lineRule="atLeast"/>
        <w:jc w:val="both"/>
      </w:pPr>
      <w:bookmarkStart w:id="5194" w:name="Bookmark_para_68_4"/>
      <w:bookmarkStart w:id="5195" w:name="Bookmark_I5RYPR0F2SF80C0030000400"/>
      <w:bookmarkEnd w:id="5194"/>
      <w:bookmarkEnd w:id="5195"/>
      <w:r>
        <w:rPr>
          <w:rFonts w:ascii="Arial" w:eastAsia="Arial" w:hAnsi="Arial" w:cs="Arial"/>
          <w:color w:val="000000"/>
          <w:sz w:val="20"/>
        </w:rPr>
        <w:t xml:space="preserve">That leaves one final set of procedural questions: was the district court wrong to deny TCH's motion to file a third amended complaint and Jane Doe #3's motion to intervene? In one conclusory paragraph, TCH says yes, citing only Federal Rule of Civil Procedure 15(a)(2). "This perfunctory attempt at argument waives this claim." </w:t>
      </w:r>
      <w:bookmarkStart w:id="5196" w:name="Bookmark_I5RYPR0F2SF80C0020000400"/>
      <w:bookmarkEnd w:id="5196"/>
      <w:r>
        <w:rPr>
          <w:rFonts w:ascii="Arial" w:eastAsia="Arial" w:hAnsi="Arial" w:cs="Arial"/>
          <w:i/>
          <w:color w:val="000000"/>
          <w:sz w:val="20"/>
        </w:rPr>
        <w:t>Gerboc</w:t>
      </w:r>
      <w:r>
        <w:rPr>
          <w:rFonts w:ascii="Arial" w:eastAsia="Arial" w:hAnsi="Arial" w:cs="Arial"/>
          <w:color w:val="000000"/>
          <w:sz w:val="20"/>
        </w:rPr>
        <w:t>, 867 F.3d at 681-82.</w:t>
      </w:r>
    </w:p>
    <w:p w:rsidR="00E456CD" w:rsidRDefault="00000000">
      <w:pPr>
        <w:pStyle w:val="Normal31"/>
        <w:widowControl w:val="0"/>
        <w:spacing w:before="240" w:line="260" w:lineRule="atLeast"/>
      </w:pPr>
      <w:r>
        <w:br/>
      </w:r>
      <w:r>
        <w:rPr>
          <w:rFonts w:ascii="Arial" w:eastAsia="Arial" w:hAnsi="Arial" w:cs="Arial"/>
          <w:b/>
          <w:color w:val="000000"/>
          <w:sz w:val="20"/>
        </w:rPr>
        <w:t>III. CONCLUSION</w:t>
      </w:r>
    </w:p>
    <w:p w:rsidR="00E456CD" w:rsidRDefault="00000000">
      <w:pPr>
        <w:pStyle w:val="Normal31"/>
        <w:widowControl w:val="0"/>
        <w:spacing w:before="200" w:line="260" w:lineRule="atLeast"/>
        <w:jc w:val="both"/>
      </w:pPr>
      <w:bookmarkStart w:id="5197" w:name="Bookmark_para_69_4"/>
      <w:bookmarkEnd w:id="5197"/>
      <w:r>
        <w:rPr>
          <w:rFonts w:ascii="Arial" w:eastAsia="Arial" w:hAnsi="Arial" w:cs="Arial"/>
          <w:color w:val="000000"/>
          <w:sz w:val="20"/>
        </w:rPr>
        <w:t xml:space="preserve">The opioid-addiction crisis in the United States is serious, as are the mandates of the ADA and RA. Fortunately, despite TCH's claims to the contrary, the record [**47]  in this case does not indicate a lack of seriousness on the various defendants' part with regard to either, particularly in light of Johnson City's revisions to its zoning code and the recent opening of a methadone clinic in the area. Instead, the record reveals permissible skepticism with regard to TCH's proposed methods and with regard to TCH's leadership. We </w:t>
      </w:r>
      <w:r>
        <w:rPr>
          <w:rFonts w:ascii="Arial" w:eastAsia="Arial" w:hAnsi="Arial" w:cs="Arial"/>
          <w:b/>
          <w:color w:val="000000"/>
          <w:sz w:val="20"/>
        </w:rPr>
        <w:t>AFFIRM</w:t>
      </w:r>
      <w:r>
        <w:rPr>
          <w:rFonts w:ascii="Arial" w:eastAsia="Arial" w:hAnsi="Arial" w:cs="Arial"/>
          <w:color w:val="000000"/>
          <w:sz w:val="20"/>
        </w:rPr>
        <w:t xml:space="preserve"> the district court's grant of summary judgment to all defendants.</w:t>
      </w:r>
    </w:p>
    <w:p w:rsidR="00E456CD" w:rsidRDefault="00E456CD">
      <w:pPr>
        <w:pStyle w:val="Normal31"/>
      </w:pPr>
    </w:p>
    <w:p w:rsidR="00E456CD" w:rsidRDefault="00000000">
      <w:pPr>
        <w:pStyle w:val="Normal31"/>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2684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756248076"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6D2EA" id="Line 70"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2"/>
        <w:sectPr w:rsidR="00E456CD">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gutter="0"/>
          <w:cols w:space="720"/>
          <w:titlePg/>
        </w:sectPr>
      </w:pPr>
    </w:p>
    <w:p w:rsidR="00E456CD" w:rsidRDefault="00E456CD">
      <w:pPr>
        <w:pStyle w:val="Normal32"/>
      </w:pPr>
    </w:p>
    <w:p w:rsidR="00E456CD" w:rsidRDefault="00000000">
      <w:pPr>
        <w:pStyle w:val="Heading131"/>
        <w:keepNext w:val="0"/>
        <w:widowControl w:val="0"/>
        <w:spacing w:after="200" w:line="340" w:lineRule="atLeast"/>
        <w:jc w:val="center"/>
      </w:pPr>
      <w:r>
        <w:rPr>
          <w:rFonts w:eastAsia="Arial"/>
          <w:color w:val="000000"/>
          <w:sz w:val="28"/>
        </w:rPr>
        <w:t>Tull v. New York City Hous. Auth.</w:t>
      </w:r>
    </w:p>
    <w:p w:rsidR="00E456CD" w:rsidRDefault="00000000">
      <w:pPr>
        <w:pStyle w:val="Normal32"/>
        <w:widowControl w:val="0"/>
        <w:spacing w:before="120" w:line="260" w:lineRule="atLeast"/>
        <w:jc w:val="center"/>
      </w:pPr>
      <w:r>
        <w:rPr>
          <w:rFonts w:ascii="Arial" w:eastAsia="Arial" w:hAnsi="Arial" w:cs="Arial"/>
          <w:color w:val="000000"/>
          <w:sz w:val="20"/>
        </w:rPr>
        <w:t>United States Court of Appeals for the Second Circuit</w:t>
      </w:r>
    </w:p>
    <w:p w:rsidR="00E456CD" w:rsidRDefault="00000000">
      <w:pPr>
        <w:pStyle w:val="Normal32"/>
        <w:widowControl w:val="0"/>
        <w:spacing w:before="120" w:line="260" w:lineRule="atLeast"/>
        <w:jc w:val="center"/>
      </w:pPr>
      <w:r>
        <w:rPr>
          <w:rFonts w:ascii="Arial" w:eastAsia="Arial" w:hAnsi="Arial" w:cs="Arial"/>
          <w:color w:val="000000"/>
          <w:sz w:val="20"/>
        </w:rPr>
        <w:t>February 14, 2018, Decided</w:t>
      </w:r>
    </w:p>
    <w:p w:rsidR="00E456CD" w:rsidRDefault="00000000">
      <w:pPr>
        <w:pStyle w:val="Normal32"/>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16-3609-cv</w:t>
      </w:r>
    </w:p>
    <w:p w:rsidR="00E456CD" w:rsidRDefault="00E456CD">
      <w:pPr>
        <w:pStyle w:val="Normal32"/>
        <w:widowControl w:val="0"/>
        <w:spacing w:line="240" w:lineRule="atLeast"/>
        <w:jc w:val="both"/>
      </w:pPr>
      <w:bookmarkStart w:id="5198" w:name="Bookmark_33"/>
      <w:bookmarkEnd w:id="5198"/>
    </w:p>
    <w:p w:rsidR="00E456CD" w:rsidRDefault="00000000">
      <w:pPr>
        <w:pStyle w:val="Normal32"/>
        <w:widowControl w:val="0"/>
        <w:spacing w:before="200" w:line="240" w:lineRule="atLeast"/>
      </w:pPr>
      <w:bookmarkStart w:id="5199" w:name="Reporter_31"/>
      <w:bookmarkEnd w:id="5199"/>
      <w:r>
        <w:rPr>
          <w:rFonts w:ascii="Arial" w:eastAsia="Arial" w:hAnsi="Arial" w:cs="Arial"/>
          <w:b/>
          <w:color w:val="000000"/>
          <w:sz w:val="18"/>
        </w:rPr>
        <w:t>Reporter</w:t>
      </w:r>
    </w:p>
    <w:p w:rsidR="00E456CD" w:rsidRDefault="00000000">
      <w:pPr>
        <w:pStyle w:val="Normal32"/>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722 Fed. Appx. 75 *; 2018 U.S. App. LEXIS 3372 **; 2018 WL 862298</w:t>
      </w:r>
    </w:p>
    <w:p w:rsidR="00E456CD" w:rsidRDefault="00000000">
      <w:pPr>
        <w:pStyle w:val="Normal32"/>
        <w:widowControl w:val="0"/>
        <w:spacing w:before="120" w:line="260" w:lineRule="atLeast"/>
      </w:pPr>
      <w:r>
        <w:rPr>
          <w:rFonts w:ascii="Arial" w:eastAsia="Arial" w:hAnsi="Arial" w:cs="Arial"/>
          <w:color w:val="000000"/>
          <w:sz w:val="20"/>
        </w:rPr>
        <w:t>ROSALINDA TULL, Plaintiff-Appellant, v. NEW YORK CITY HOUSING AUTHORITY, Defendant-Appellee, NEW YORK CITY HOUSING AUTHORITY-PENN-WORTMAN HOUSES MANAGEMENT OFFICE, EDITH ATKINS-JOHN, MANAGER, FRANCIA ASTUDILLO, HOUSING ASSISTANT, YVONNE JONES, PREVIOUS MANAGER FOR PENN-WORTMAN HOUSES, EUGENE MELFA, PREVIOUS MANAGER FOR PENN-WORTMAN HOUSES, NEW YORK CITY HOUSING AUTHORITY-BROOKLYN BOROUGH MANAGEMENT OFFICE, PHILLIP CALANDRILLO, BROOKLYN BOROUGH DIRECTOR, MARGUERITE MANN, PREVIOUS BROOKLYN BOROUGH DIRECTOR, DARRELL LAVAL, BROOKLYN BOROUGH ADMINISTRATOR, DENISE BROCKINGTON, BROOKLYN BOROUGH ADMINISTRATOR, NEW YORK CITY HOUSING AUTHORITY ENVIRONMENTAL HEALTH &amp; SAFETY UNIT/ASBESTOS, MIKHAIL GINZBURG, TECHNICAL SERVICES, SHOLA OLATOYE, CEO AND CHAIR, JOHN RHEA, PREVIOUS CHAIRMAN, BRUNO CALCEDINO, DEPARTMENT OF GENERAL MANAGEMENT OPERATIONS, EXECUTIVE DEPARTMENT, CARLOS G. LABOY-DIAZ, DEPARTMENT OF GENERAL MANAGEMENT OPERATIONS, EXECUTIVE DEPARTMENT, GLORIA FINKELMAN, DEPARTMENT OF GENERAL MANAGEMENT OPERATIONS, EXECUTIVE DEPARTMENT, CECIL HOUSE, BOARD MEMBER, MARGARITA LOPEZ, BOARD MEMBER, NEW YORK CITY HOUSING AUTHORITY COMMUNITY OPERATIONS, JEANETTE MITCHELL, DIRECTOR, ANDRE CIRILO, DEPUTY DIRECTOR, NEW YORK CITY HOUSING AUTHORITY-LAW DEPARTMENT, HOWARD BROOKMAN, ATTORNEY, JOSEPHINE RUSSO, SUPERVISING ATTORNEY, JOAN PANNELL, HEARING OFFICER, NEW YORK STATE-DIVISION ON HUMAN RIGHTS, WILLIAM LAMOT, DIRECTOR, JONATHAN STEAD, SPECIALIST, HOUSING AND URBAN DEVELOPMENT-REGIONAL OFFICE, JAY GOLDEN, REGION II DIRECTOR, CHRISTOPHER INGRAM, DOUGLAS FEELEY, INVESTIGATOR, ROBERT NORRINGTON, SUPERVISOR, HUD-US DEPARTMENT OF HOUSING AND URBAN DEVELOPMENT, SUSAN CRAWFORD, DIRECTOR OF COMPLIANCE OF JUSTICE FOR THE DISABILITY-FAIR HOUSING AND EQUAL OPPORTUNITY, Defendants.</w:t>
      </w:r>
    </w:p>
    <w:p w:rsidR="00E456CD" w:rsidRDefault="00000000">
      <w:pPr>
        <w:pStyle w:val="Normal32"/>
        <w:widowControl w:val="0"/>
        <w:spacing w:before="240" w:line="260" w:lineRule="atLeast"/>
        <w:jc w:val="both"/>
      </w:pPr>
      <w:bookmarkStart w:id="5200" w:name="Notice_15"/>
      <w:bookmarkEnd w:id="5200"/>
      <w:r>
        <w:rPr>
          <w:rFonts w:ascii="Arial" w:eastAsia="Arial" w:hAnsi="Arial" w:cs="Arial"/>
          <w:b/>
          <w:color w:val="000000"/>
          <w:sz w:val="20"/>
        </w:rPr>
        <w:t>Notice:</w:t>
      </w:r>
      <w:r>
        <w:rPr>
          <w:rFonts w:ascii="Arial" w:eastAsia="Arial" w:hAnsi="Arial" w:cs="Arial"/>
          <w:color w:val="000000"/>
          <w:sz w:val="20"/>
        </w:rPr>
        <w:t> </w:t>
      </w:r>
      <w:bookmarkStart w:id="5201" w:name="Bookmark_para_1_31"/>
      <w:bookmarkEnd w:id="5201"/>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32"/>
        <w:widowControl w:val="0"/>
        <w:spacing w:before="240" w:line="260" w:lineRule="atLeast"/>
        <w:jc w:val="both"/>
      </w:pPr>
      <w:bookmarkStart w:id="5202" w:name="Prior_History_31"/>
      <w:bookmarkEnd w:id="5202"/>
      <w:r>
        <w:rPr>
          <w:rFonts w:ascii="Arial" w:eastAsia="Arial" w:hAnsi="Arial" w:cs="Arial"/>
          <w:b/>
          <w:color w:val="000000"/>
          <w:sz w:val="20"/>
        </w:rPr>
        <w:t>Prior History:</w:t>
      </w:r>
      <w:r>
        <w:rPr>
          <w:rFonts w:ascii="Arial" w:eastAsia="Arial" w:hAnsi="Arial" w:cs="Arial"/>
          <w:color w:val="000000"/>
          <w:sz w:val="20"/>
        </w:rPr>
        <w:t> </w:t>
      </w:r>
      <w:bookmarkStart w:id="5203" w:name="Bookmark_para_2_31"/>
      <w:bookmarkEnd w:id="5203"/>
      <w:r>
        <w:rPr>
          <w:rFonts w:ascii="Arial" w:eastAsia="Arial" w:hAnsi="Arial" w:cs="Arial"/>
          <w:color w:val="000000"/>
          <w:sz w:val="20"/>
        </w:rPr>
        <w:t> [**1] Appeal from a judgment of the United States District Court for the Eastern District of New York (Cogan, J.).</w:t>
      </w:r>
    </w:p>
    <w:p w:rsidR="00E456CD" w:rsidRDefault="00000000">
      <w:pPr>
        <w:pStyle w:val="Normal32"/>
        <w:widowControl w:val="0"/>
        <w:spacing w:before="240" w:line="260" w:lineRule="atLeast"/>
      </w:pPr>
      <w:bookmarkStart w:id="5204" w:name="Counsel_31"/>
      <w:bookmarkEnd w:id="5204"/>
      <w:r>
        <w:rPr>
          <w:rFonts w:ascii="Arial" w:eastAsia="Arial" w:hAnsi="Arial" w:cs="Arial"/>
          <w:b/>
          <w:color w:val="000000"/>
          <w:sz w:val="20"/>
        </w:rPr>
        <w:t>Counsel:</w:t>
      </w:r>
      <w:r>
        <w:rPr>
          <w:rFonts w:ascii="Arial" w:eastAsia="Arial" w:hAnsi="Arial" w:cs="Arial"/>
          <w:color w:val="000000"/>
          <w:sz w:val="20"/>
        </w:rPr>
        <w:t> For Plaintiff-Appellant: RACHEL WAINER APTER, American Civil Liberties Union Foundation, New York, NY.</w:t>
      </w:r>
    </w:p>
    <w:p w:rsidR="00E456CD" w:rsidRDefault="00000000">
      <w:pPr>
        <w:pStyle w:val="Normal32"/>
        <w:widowControl w:val="0"/>
        <w:spacing w:before="120" w:line="260" w:lineRule="atLeast"/>
      </w:pPr>
      <w:r>
        <w:rPr>
          <w:rFonts w:ascii="Arial" w:eastAsia="Arial" w:hAnsi="Arial" w:cs="Arial"/>
          <w:color w:val="000000"/>
          <w:sz w:val="20"/>
        </w:rPr>
        <w:t>For Defendant-Appellee: David Farber, Judith Agatha Joseph, Donna M. Murphy, New York City Housing Authority, New York, NY.</w:t>
      </w:r>
    </w:p>
    <w:p w:rsidR="00E456CD" w:rsidRDefault="00000000">
      <w:pPr>
        <w:pStyle w:val="Normal32"/>
        <w:widowControl w:val="0"/>
        <w:spacing w:before="240" w:line="260" w:lineRule="atLeast"/>
      </w:pPr>
      <w:bookmarkStart w:id="5205" w:name="Judges_31"/>
      <w:bookmarkEnd w:id="5205"/>
      <w:r>
        <w:rPr>
          <w:rFonts w:ascii="Arial" w:eastAsia="Arial" w:hAnsi="Arial" w:cs="Arial"/>
          <w:b/>
          <w:color w:val="000000"/>
          <w:sz w:val="20"/>
        </w:rPr>
        <w:t>Judges:</w:t>
      </w:r>
      <w:r>
        <w:rPr>
          <w:rFonts w:ascii="Arial" w:eastAsia="Arial" w:hAnsi="Arial" w:cs="Arial"/>
          <w:color w:val="000000"/>
          <w:sz w:val="20"/>
        </w:rPr>
        <w:t> PRESENT: ROBERT D. SACK, DEBRA ANN LIVINGSTON, SUSAN L. CARNEY, Circuit Judges.</w:t>
      </w:r>
    </w:p>
    <w:p w:rsidR="00E456CD" w:rsidRDefault="00000000">
      <w:pPr>
        <w:pStyle w:val="Normal32"/>
        <w:keepNext/>
        <w:widowControl w:val="0"/>
        <w:spacing w:before="240" w:line="340" w:lineRule="atLeast"/>
      </w:pPr>
      <w:bookmarkStart w:id="5206" w:name="Opinion_31"/>
      <w:bookmarkEnd w:id="5206"/>
      <w:r>
        <w:rPr>
          <w:rFonts w:ascii="Arial" w:eastAsia="Arial" w:hAnsi="Arial" w:cs="Arial"/>
          <w:b/>
          <w:color w:val="000000"/>
          <w:sz w:val="28"/>
        </w:rPr>
        <w:t>Opinion</w:t>
      </w:r>
    </w:p>
    <w:p w:rsidR="00E456CD" w:rsidRDefault="00E22289">
      <w:pPr>
        <w:pStyle w:val="Normal32"/>
        <w:spacing w:line="60" w:lineRule="exact"/>
      </w:pPr>
      <w:r>
        <w:rPr>
          <w:noProof/>
        </w:rPr>
        <mc:AlternateContent>
          <mc:Choice Requires="wps">
            <w:drawing>
              <wp:anchor distT="0" distB="0" distL="114300" distR="114300" simplePos="0" relativeHeight="25172787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811856686"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DDF4A" id="Line 71"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2"/>
        <w:spacing w:line="120" w:lineRule="exact"/>
      </w:pPr>
    </w:p>
    <w:p w:rsidR="00E456CD" w:rsidRDefault="00000000">
      <w:pPr>
        <w:pStyle w:val="Normal32"/>
        <w:widowControl w:val="0"/>
        <w:spacing w:before="240" w:line="260" w:lineRule="atLeast"/>
      </w:pPr>
      <w:r>
        <w:br/>
      </w:r>
      <w:r>
        <w:rPr>
          <w:rFonts w:ascii="Arial" w:eastAsia="Arial" w:hAnsi="Arial" w:cs="Arial"/>
          <w:color w:val="000000"/>
          <w:sz w:val="20"/>
        </w:rPr>
        <w:t xml:space="preserve"> [*77]  </w:t>
      </w:r>
      <w:r>
        <w:rPr>
          <w:rFonts w:ascii="Arial" w:eastAsia="Arial" w:hAnsi="Arial" w:cs="Arial"/>
          <w:b/>
          <w:color w:val="000000"/>
          <w:sz w:val="20"/>
          <w:u w:val="single"/>
        </w:rPr>
        <w:t>SUMMARY ORDER</w:t>
      </w:r>
    </w:p>
    <w:p w:rsidR="00E456CD" w:rsidRDefault="00000000">
      <w:pPr>
        <w:pStyle w:val="Normal32"/>
        <w:widowControl w:val="0"/>
        <w:spacing w:before="200" w:line="260" w:lineRule="atLeast"/>
        <w:jc w:val="both"/>
      </w:pPr>
      <w:bookmarkStart w:id="5207" w:name="Bookmark_para_3_31"/>
      <w:bookmarkEnd w:id="5207"/>
      <w:r>
        <w:rPr>
          <w:rFonts w:ascii="Arial" w:eastAsia="Arial" w:hAnsi="Arial" w:cs="Arial"/>
          <w:b/>
          <w:color w:val="000000"/>
          <w:sz w:val="20"/>
        </w:rPr>
        <w:t>UPON DUE CONSIDERATION, IT IS HEREBY ORDERED, ADJUDGED, AND DECREED</w:t>
      </w:r>
      <w:r>
        <w:rPr>
          <w:rFonts w:ascii="Arial" w:eastAsia="Arial" w:hAnsi="Arial" w:cs="Arial"/>
          <w:color w:val="000000"/>
          <w:sz w:val="20"/>
        </w:rPr>
        <w:t xml:space="preserve"> that the judgment of the district court is </w:t>
      </w:r>
      <w:r>
        <w:rPr>
          <w:rFonts w:ascii="Arial" w:eastAsia="Arial" w:hAnsi="Arial" w:cs="Arial"/>
          <w:b/>
          <w:color w:val="000000"/>
          <w:sz w:val="20"/>
        </w:rPr>
        <w:t>AFFIRMED</w:t>
      </w:r>
      <w:r>
        <w:rPr>
          <w:rFonts w:ascii="Arial" w:eastAsia="Arial" w:hAnsi="Arial" w:cs="Arial"/>
          <w:color w:val="000000"/>
          <w:sz w:val="20"/>
        </w:rPr>
        <w:t xml:space="preserve"> in part, </w:t>
      </w:r>
      <w:r>
        <w:rPr>
          <w:rFonts w:ascii="Arial" w:eastAsia="Arial" w:hAnsi="Arial" w:cs="Arial"/>
          <w:b/>
          <w:color w:val="000000"/>
          <w:sz w:val="20"/>
        </w:rPr>
        <w:t>VACATED</w:t>
      </w:r>
      <w:r>
        <w:rPr>
          <w:rFonts w:ascii="Arial" w:eastAsia="Arial" w:hAnsi="Arial" w:cs="Arial"/>
          <w:color w:val="000000"/>
          <w:sz w:val="20"/>
        </w:rPr>
        <w:t xml:space="preserve"> in part, and the case is </w:t>
      </w:r>
      <w:r>
        <w:rPr>
          <w:rFonts w:ascii="Arial" w:eastAsia="Arial" w:hAnsi="Arial" w:cs="Arial"/>
          <w:b/>
          <w:color w:val="000000"/>
          <w:sz w:val="20"/>
        </w:rPr>
        <w:t>REMANDED</w:t>
      </w:r>
      <w:r>
        <w:rPr>
          <w:rFonts w:ascii="Arial" w:eastAsia="Arial" w:hAnsi="Arial" w:cs="Arial"/>
          <w:color w:val="000000"/>
          <w:sz w:val="20"/>
        </w:rPr>
        <w:t xml:space="preserve"> for further proceedings consistent with this order.</w:t>
      </w:r>
    </w:p>
    <w:p w:rsidR="00E456CD" w:rsidRDefault="00000000">
      <w:pPr>
        <w:pStyle w:val="Normal32"/>
        <w:widowControl w:val="0"/>
        <w:spacing w:before="200" w:line="260" w:lineRule="atLeast"/>
        <w:jc w:val="both"/>
      </w:pPr>
      <w:bookmarkStart w:id="5208" w:name="Bookmark_para_4_31"/>
      <w:bookmarkEnd w:id="5208"/>
      <w:r>
        <w:rPr>
          <w:rFonts w:ascii="Arial" w:eastAsia="Arial" w:hAnsi="Arial" w:cs="Arial"/>
          <w:color w:val="000000"/>
          <w:sz w:val="20"/>
        </w:rPr>
        <w:t xml:space="preserve">Appellant Rosalinda Tull appeals from the district court's September 29, 2016 order granting a motion to dismiss filed by defendant New York City Housing Authority ("NYCHA"). Tull filed a pro se complaint against NYCHA alleging, </w:t>
      </w:r>
      <w:r>
        <w:rPr>
          <w:rFonts w:ascii="Arial" w:eastAsia="Arial" w:hAnsi="Arial" w:cs="Arial"/>
          <w:i/>
          <w:color w:val="000000"/>
          <w:sz w:val="20"/>
        </w:rPr>
        <w:t>inter alia</w:t>
      </w:r>
      <w:r>
        <w:rPr>
          <w:rFonts w:ascii="Arial" w:eastAsia="Arial" w:hAnsi="Arial" w:cs="Arial"/>
          <w:color w:val="000000"/>
          <w:sz w:val="20"/>
        </w:rPr>
        <w:t xml:space="preserve">, failure to accommodate her disability in violation of the Americans with Disabilities Act ("ADA"), 42 U.S.C. §§ 12101 </w:t>
      </w:r>
      <w:r>
        <w:rPr>
          <w:rFonts w:ascii="Arial" w:eastAsia="Arial" w:hAnsi="Arial" w:cs="Arial"/>
          <w:i/>
          <w:color w:val="000000"/>
          <w:sz w:val="20"/>
        </w:rPr>
        <w:t>et seq.</w:t>
      </w:r>
      <w:r>
        <w:rPr>
          <w:rFonts w:ascii="Arial" w:eastAsia="Arial" w:hAnsi="Arial" w:cs="Arial"/>
          <w:color w:val="000000"/>
          <w:sz w:val="20"/>
        </w:rPr>
        <w:t xml:space="preserve">, the Fair Housing Act ("FHA"), 42 U.S.C. §§ 3601 </w:t>
      </w:r>
      <w:r>
        <w:rPr>
          <w:rFonts w:ascii="Arial" w:eastAsia="Arial" w:hAnsi="Arial" w:cs="Arial"/>
          <w:i/>
          <w:color w:val="000000"/>
          <w:sz w:val="20"/>
        </w:rPr>
        <w:t>et seq.</w:t>
      </w:r>
      <w:r>
        <w:rPr>
          <w:rFonts w:ascii="Arial" w:eastAsia="Arial" w:hAnsi="Arial" w:cs="Arial"/>
          <w:color w:val="000000"/>
          <w:sz w:val="20"/>
        </w:rPr>
        <w:t>, and Section 504 of the Rehabilitation Act, 29 U.S.C. § 794. After Tull appeared pro se in the district court, we appointed pro bono counsel for Tull to prosecute the appeal. We affirm the district court's decision [**2]  insofar as it is in accordance with our February 6, 2017 dismissal of Tull's claims against all parties except for her reasonable accommodations claim against NYCHA. We thus focus our discussion here on Tull's reasonable accommodations claim, and we assume the parties' familiarity with the underlying facts and the procedural history of the case.</w:t>
      </w:r>
    </w:p>
    <w:p w:rsidR="00E456CD" w:rsidRDefault="00000000">
      <w:pPr>
        <w:pStyle w:val="Normal32"/>
        <w:widowControl w:val="0"/>
        <w:spacing w:before="200" w:line="260" w:lineRule="atLeast"/>
        <w:jc w:val="both"/>
      </w:pPr>
      <w:bookmarkStart w:id="5209" w:name="Bookmark_para_5_31"/>
      <w:bookmarkStart w:id="5210" w:name="Bookmark_I5RVHD8C2SF81F0020000400"/>
      <w:bookmarkStart w:id="5211" w:name="Bookmark_I5RVHD8C2SF81F0040000400"/>
      <w:bookmarkStart w:id="5212" w:name="Bookmark_I5RVHD8C28T50M0010000400"/>
      <w:bookmarkStart w:id="5213" w:name="Bookmark_LNHNREFclscc1_27"/>
      <w:bookmarkEnd w:id="5209"/>
      <w:bookmarkEnd w:id="5210"/>
      <w:bookmarkEnd w:id="5211"/>
      <w:bookmarkEnd w:id="5212"/>
      <w:bookmarkEnd w:id="5213"/>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the district court's dismissal of Tull's pro se complaint pursuant to Rule 12(b)(6), "accepting all factual claims in the complaint as true, and drawing all reasonable inferences in the plaintiff's favor." </w:t>
      </w:r>
      <w:bookmarkStart w:id="5214" w:name="Bookmark_I5RVHD8C2SF81F0010000400"/>
      <w:bookmarkEnd w:id="5214"/>
      <w:r>
        <w:rPr>
          <w:rFonts w:ascii="Arial" w:eastAsia="Arial" w:hAnsi="Arial" w:cs="Arial"/>
          <w:i/>
          <w:color w:val="000000"/>
          <w:sz w:val="20"/>
        </w:rPr>
        <w:t>Famous Horse Inc. v. 5th Ave. Photo Inc.</w:t>
      </w:r>
      <w:r>
        <w:rPr>
          <w:rFonts w:ascii="Arial" w:eastAsia="Arial" w:hAnsi="Arial" w:cs="Arial"/>
          <w:color w:val="000000"/>
          <w:sz w:val="20"/>
        </w:rPr>
        <w:t xml:space="preserve">, 624 F.3d 106, 108 (2d Cir. 2010). </w:t>
      </w:r>
      <w:bookmarkStart w:id="5215" w:name="Bookmark_I5RVHD8C28T50M0050000400"/>
      <w:bookmarkEnd w:id="5215"/>
      <w:r>
        <w:rPr>
          <w:rFonts w:ascii="Arial" w:eastAsia="Arial" w:hAnsi="Arial" w:cs="Arial"/>
          <w:color w:val="000000"/>
          <w:sz w:val="20"/>
        </w:rPr>
        <w:t xml:space="preserve">Tull's complaint may survive a Rule 12(b)(6) motion to dismiss if it pleads "enough facts to state a claim to relief that is plausible on its face." </w:t>
      </w:r>
      <w:bookmarkStart w:id="5216" w:name="Bookmark_I5RVHD8C2SF81F0030000400"/>
      <w:bookmarkEnd w:id="5216"/>
      <w:r>
        <w:rPr>
          <w:rFonts w:ascii="Arial" w:eastAsia="Arial" w:hAnsi="Arial" w:cs="Arial"/>
          <w:i/>
          <w:color w:val="000000"/>
          <w:sz w:val="20"/>
        </w:rPr>
        <w:t>Bell Atl. Corp. v. Twombly</w:t>
      </w:r>
      <w:r>
        <w:rPr>
          <w:rFonts w:ascii="Arial" w:eastAsia="Arial" w:hAnsi="Arial" w:cs="Arial"/>
          <w:color w:val="000000"/>
          <w:sz w:val="20"/>
        </w:rPr>
        <w:t xml:space="preserve">, 550 U.S. 544, 570, 127 S. Ct. 1955, 167 L. Ed. 2d 929 (2007). </w:t>
      </w:r>
      <w:bookmarkStart w:id="5217" w:name="Bookmark_I5RVHD8C28T50N0020000400"/>
      <w:bookmarkEnd w:id="5217"/>
      <w:r>
        <w:rPr>
          <w:rFonts w:ascii="Arial" w:eastAsia="Arial" w:hAnsi="Arial" w:cs="Arial"/>
          <w:color w:val="000000"/>
          <w:sz w:val="20"/>
        </w:rPr>
        <w:t xml:space="preserve">Pro se complaints, "however inartfully pleaded, must be held to less stringent standards." </w:t>
      </w:r>
      <w:bookmarkStart w:id="5218" w:name="Bookmark_I5RVHD8C2SF81F0050000400"/>
      <w:bookmarkEnd w:id="5218"/>
      <w:r>
        <w:rPr>
          <w:rFonts w:ascii="Arial" w:eastAsia="Arial" w:hAnsi="Arial" w:cs="Arial"/>
          <w:i/>
          <w:color w:val="000000"/>
          <w:sz w:val="20"/>
        </w:rPr>
        <w:t>Sealed Plaintiff v. Sealed Defendant</w:t>
      </w:r>
      <w:r>
        <w:rPr>
          <w:rFonts w:ascii="Arial" w:eastAsia="Arial" w:hAnsi="Arial" w:cs="Arial"/>
          <w:color w:val="000000"/>
          <w:sz w:val="20"/>
        </w:rPr>
        <w:t xml:space="preserve">, 537 F.3d 185, 191 (2d Cir. 2008) (quoting </w:t>
      </w:r>
      <w:bookmarkStart w:id="5219" w:name="Bookmark_I5RVHD8C28T50M0020000400"/>
      <w:bookmarkEnd w:id="5219"/>
      <w:r>
        <w:rPr>
          <w:rFonts w:ascii="Arial" w:eastAsia="Arial" w:hAnsi="Arial" w:cs="Arial"/>
          <w:i/>
          <w:color w:val="000000"/>
          <w:sz w:val="20"/>
        </w:rPr>
        <w:t>Erickson v. Pardus</w:t>
      </w:r>
      <w:r>
        <w:rPr>
          <w:rFonts w:ascii="Arial" w:eastAsia="Arial" w:hAnsi="Arial" w:cs="Arial"/>
          <w:color w:val="000000"/>
          <w:sz w:val="20"/>
        </w:rPr>
        <w:t xml:space="preserve">, 551 U.S. 89, 94, 127 S. Ct. 2197, 167 L. Ed. 2d 1081 (2007) (per curiam)). </w:t>
      </w:r>
      <w:bookmarkStart w:id="5220" w:name="Bookmark_I5RVHD8C28T50N0020000400_2"/>
      <w:bookmarkStart w:id="5221" w:name="Bookmark_I5RVHD8C28T50M0050000400_2"/>
      <w:bookmarkEnd w:id="5220"/>
      <w:bookmarkEnd w:id="5221"/>
      <w:r>
        <w:rPr>
          <w:rFonts w:ascii="Arial" w:eastAsia="Arial" w:hAnsi="Arial" w:cs="Arial"/>
          <w:color w:val="000000"/>
          <w:sz w:val="20"/>
        </w:rPr>
        <w:t xml:space="preserve">Thus, such complaints should be read with "special solicitude" and interpreted "to raise the strongest [claims] that they suggest." </w:t>
      </w:r>
      <w:bookmarkStart w:id="5222" w:name="Bookmark_I5RVHD8C28T50M0040000400"/>
      <w:bookmarkEnd w:id="5222"/>
      <w:r>
        <w:rPr>
          <w:rFonts w:ascii="Arial" w:eastAsia="Arial" w:hAnsi="Arial" w:cs="Arial"/>
          <w:i/>
          <w:color w:val="000000"/>
          <w:sz w:val="20"/>
        </w:rPr>
        <w:t>Triestman v. Fed. Bureau of Prisons</w:t>
      </w:r>
      <w:r>
        <w:rPr>
          <w:rFonts w:ascii="Arial" w:eastAsia="Arial" w:hAnsi="Arial" w:cs="Arial"/>
          <w:color w:val="000000"/>
          <w:sz w:val="20"/>
        </w:rPr>
        <w:t xml:space="preserve">, 470 F.3d 471, 477 (2d Cir. 2006) (internal quotation marks omitted). </w:t>
      </w:r>
      <w:bookmarkStart w:id="5223" w:name="Bookmark_I5RVHD8C28T50N0040000400"/>
      <w:bookmarkEnd w:id="5223"/>
      <w:r>
        <w:rPr>
          <w:rFonts w:ascii="Arial" w:eastAsia="Arial" w:hAnsi="Arial" w:cs="Arial"/>
          <w:color w:val="000000"/>
          <w:sz w:val="20"/>
        </w:rPr>
        <w:t xml:space="preserve">Pleadings should be liberally construed "particularly [] when the pro se plaintiff alleges that her civil rights have been violated." </w:t>
      </w:r>
      <w:bookmarkStart w:id="5224" w:name="Bookmark_I5RVHD8C28T50N0010000400"/>
      <w:bookmarkEnd w:id="5224"/>
      <w:r>
        <w:rPr>
          <w:rFonts w:ascii="Arial" w:eastAsia="Arial" w:hAnsi="Arial" w:cs="Arial"/>
          <w:i/>
          <w:color w:val="000000"/>
          <w:sz w:val="20"/>
        </w:rPr>
        <w:t>Sealed Plaintiff</w:t>
      </w:r>
      <w:r>
        <w:rPr>
          <w:rFonts w:ascii="Arial" w:eastAsia="Arial" w:hAnsi="Arial" w:cs="Arial"/>
          <w:color w:val="000000"/>
          <w:sz w:val="20"/>
        </w:rPr>
        <w:t xml:space="preserve">, 537 F.3d at 191. </w:t>
      </w:r>
      <w:bookmarkStart w:id="5225" w:name="Bookmark_I5RVHD8C28T50N0040000400_2"/>
      <w:bookmarkStart w:id="5226" w:name="Bookmark_LNHNREFclscc2_27"/>
      <w:bookmarkEnd w:id="5225"/>
      <w:bookmarkEnd w:id="5226"/>
      <w:r>
        <w:rPr>
          <w:rFonts w:ascii="Arial" w:eastAsia="Arial" w:hAnsi="Arial" w:cs="Arial"/>
          <w:color w:val="000000"/>
          <w:sz w:val="20"/>
        </w:rPr>
        <w:t xml:space="preserve">Tull's failure to accommodate claims pursuant to the ADA, [**3]  the FHA, and the Rehabilitation Act can be considered together. </w:t>
      </w:r>
      <w:r>
        <w:rPr>
          <w:rFonts w:ascii="Arial" w:eastAsia="Arial" w:hAnsi="Arial" w:cs="Arial"/>
          <w:i/>
          <w:color w:val="000000"/>
          <w:sz w:val="20"/>
        </w:rPr>
        <w:t xml:space="preserve">See </w:t>
      </w:r>
      <w:bookmarkStart w:id="5227" w:name="Bookmark_I5RVHD8C28T50N0030000400"/>
      <w:bookmarkEnd w:id="5227"/>
      <w:r>
        <w:rPr>
          <w:rFonts w:ascii="Arial" w:eastAsia="Arial" w:hAnsi="Arial" w:cs="Arial"/>
          <w:i/>
          <w:color w:val="000000"/>
          <w:sz w:val="20"/>
        </w:rPr>
        <w:t>Reg'l Econ. Cmty. Action Program, Inc. v. City of Middletown</w:t>
      </w:r>
      <w:r>
        <w:rPr>
          <w:rFonts w:ascii="Arial" w:eastAsia="Arial" w:hAnsi="Arial" w:cs="Arial"/>
          <w:color w:val="000000"/>
          <w:sz w:val="20"/>
        </w:rPr>
        <w:t xml:space="preserve">, 294 F.3d 35, 46, 53 (2d Cir. 2002) (applying same definition of "individual with a disability" and same prima facie standard for reasonable accommodation claims to all three statutes), </w:t>
      </w:r>
      <w:r>
        <w:rPr>
          <w:rFonts w:ascii="Arial" w:eastAsia="Arial" w:hAnsi="Arial" w:cs="Arial"/>
          <w:i/>
          <w:color w:val="000000"/>
          <w:sz w:val="20"/>
        </w:rPr>
        <w:t>superseded by statute on other grounds</w:t>
      </w:r>
      <w:r>
        <w:rPr>
          <w:rFonts w:ascii="Arial" w:eastAsia="Arial" w:hAnsi="Arial" w:cs="Arial"/>
          <w:color w:val="000000"/>
          <w:sz w:val="20"/>
        </w:rPr>
        <w:t>.</w:t>
      </w:r>
    </w:p>
    <w:p w:rsidR="00E456CD" w:rsidRDefault="00000000">
      <w:pPr>
        <w:pStyle w:val="Normal32"/>
        <w:widowControl w:val="0"/>
        <w:spacing w:before="200" w:line="260" w:lineRule="atLeast"/>
        <w:jc w:val="both"/>
      </w:pPr>
      <w:bookmarkStart w:id="5228" w:name="Bookmark_para_6_31"/>
      <w:bookmarkStart w:id="5229" w:name="Bookmark_I2003XRYC47000R94XT00001"/>
      <w:bookmarkStart w:id="5230" w:name="Bookmark_I5RVHD8C2HM6WP0010000400"/>
      <w:bookmarkEnd w:id="5228"/>
      <w:bookmarkEnd w:id="5229"/>
      <w:bookmarkEnd w:id="5230"/>
      <w:r>
        <w:rPr>
          <w:rFonts w:ascii="Arial" w:eastAsia="Arial" w:hAnsi="Arial" w:cs="Arial"/>
          <w:color w:val="000000"/>
          <w:sz w:val="20"/>
        </w:rPr>
        <w:t xml:space="preserve">The district court erred in dismissing Tull's failure to accommodate claim. </w:t>
      </w:r>
      <w:bookmarkStart w:id="5231" w:name="Bookmark_LNHNREFclscc3_25"/>
      <w:bookmarkEnd w:id="5231"/>
      <w:r>
        <w:rPr>
          <w:rFonts w:ascii="Arial" w:eastAsia="Arial" w:hAnsi="Arial" w:cs="Arial"/>
          <w:color w:val="000000"/>
          <w:sz w:val="20"/>
        </w:rPr>
        <w:t xml:space="preserve">Tull must plausibly allege a prima facie case for her failure to accommodate claim by showing that "(1) [s]he is a qualified individual with a disability; (2) the defendant is subject to one of the Acts; and (3) [s]he was denied the opportunity to participate in or benefit from the defendant's services, programs, or activities, or was otherwise discriminated against by the defendant because of [her] disability." </w:t>
      </w:r>
      <w:bookmarkStart w:id="5232" w:name="Bookmark_I5RVHD8C28T50N0050000400"/>
      <w:bookmarkEnd w:id="5232"/>
      <w:r>
        <w:rPr>
          <w:rFonts w:ascii="Arial" w:eastAsia="Arial" w:hAnsi="Arial" w:cs="Arial"/>
          <w:i/>
          <w:color w:val="000000"/>
          <w:sz w:val="20"/>
        </w:rPr>
        <w:t>McElwee v. Cty. of Orange</w:t>
      </w:r>
      <w:r>
        <w:rPr>
          <w:rFonts w:ascii="Arial" w:eastAsia="Arial" w:hAnsi="Arial" w:cs="Arial"/>
          <w:color w:val="000000"/>
          <w:sz w:val="20"/>
        </w:rPr>
        <w:t xml:space="preserve">, 700 F.3d 635, 640 (2d Cir. 2012). NYCHA does not contest that Tull has satisfied the first two elements. Thus, we  [*78]  may assume, without deciding, that Tull's medical conditions qualify as a disability under the applicable statutes, and that NYCHA is subject to the relevant statutory requirements. NYCHA disputes only the last element of Tull's prima facie case, contending that "Tull . . . cannot plausibly allege she was denied the benefit of her apartment based upon her disabilities." [**4]  Def.-Appellee Br. 16. We disagree. </w:t>
      </w:r>
      <w:bookmarkStart w:id="5233" w:name="Bookmark_I5RVHD8C2HM6WP0030000400"/>
      <w:bookmarkEnd w:id="5233"/>
      <w:r>
        <w:rPr>
          <w:rFonts w:ascii="Arial" w:eastAsia="Arial" w:hAnsi="Arial" w:cs="Arial"/>
          <w:color w:val="000000"/>
          <w:sz w:val="20"/>
        </w:rPr>
        <w:t>Tull plausibly alleged, first, that living in her current apartment seriously exacerbates her medical conditions.</w:t>
      </w:r>
      <w:r>
        <w:rPr>
          <w:rFonts w:ascii="Arial" w:eastAsia="Arial" w:hAnsi="Arial" w:cs="Arial"/>
          <w:vertAlign w:val="superscript"/>
        </w:rPr>
        <w:footnoteReference w:customMarkFollows="1" w:id="230"/>
        <w:t>1</w:t>
      </w:r>
      <w:r>
        <w:rPr>
          <w:rFonts w:ascii="Arial" w:eastAsia="Arial" w:hAnsi="Arial" w:cs="Arial"/>
          <w:color w:val="000000"/>
          <w:sz w:val="20"/>
        </w:rPr>
        <w:t xml:space="preserve"> She further alleged that NYCHA failed to accommodate her medical disability by denying her multiple requests to be transferred to a different apartment, either permanently, or on a temporary basis while necessary repairs were made to her current apartment. Tull repeatedly informed NYCHA that she cannot be present during "asbestos abatement[,] . . . the breaking down of walls and the removal of mold," J.A. 264 (as referenced in J.A. 36 ¶ 46), and that she must be "medically accommodated to make such repairs," otherwise the repairs "will make [her] more ill," J.A. 306 (as referenced in J.A. 38 ¶ 53d). Tull also attached letters from her doctors which confirm that "[i]t is very crucial for this high risk stroke patient to be transferred to new housing location with proper accommodations for her medical conditions." J.A. 250 (as referenced in J.A. 36 ¶ 43f); </w:t>
      </w:r>
      <w:r>
        <w:rPr>
          <w:rFonts w:ascii="Arial" w:eastAsia="Arial" w:hAnsi="Arial" w:cs="Arial"/>
          <w:i/>
          <w:color w:val="000000"/>
          <w:sz w:val="20"/>
        </w:rPr>
        <w:t>see also</w:t>
      </w:r>
      <w:r>
        <w:rPr>
          <w:rFonts w:ascii="Arial" w:eastAsia="Arial" w:hAnsi="Arial" w:cs="Arial"/>
          <w:color w:val="000000"/>
          <w:sz w:val="20"/>
        </w:rPr>
        <w:t xml:space="preserve"> J.A. 217 (as referenced in J.A. 33 ¶ 39d); </w:t>
      </w:r>
      <w:bookmarkStart w:id="5235" w:name="Bookmark_I5RVHD8C2HM6WP0020000400"/>
      <w:bookmarkEnd w:id="5235"/>
      <w:r>
        <w:rPr>
          <w:rFonts w:ascii="Arial" w:eastAsia="Arial" w:hAnsi="Arial" w:cs="Arial"/>
          <w:i/>
          <w:color w:val="000000"/>
          <w:sz w:val="20"/>
        </w:rPr>
        <w:t>DiFolco v. MSNBC Cable L.L.C.</w:t>
      </w:r>
      <w:r>
        <w:rPr>
          <w:rFonts w:ascii="Arial" w:eastAsia="Arial" w:hAnsi="Arial" w:cs="Arial"/>
          <w:color w:val="000000"/>
          <w:sz w:val="20"/>
        </w:rPr>
        <w:t>, 622 F.3d 104, 111 (2d Cir. 2010)</w:t>
      </w:r>
      <w:bookmarkStart w:id="5236" w:name="Bookmark_LNHNREFclscc4_24"/>
      <w:bookmarkEnd w:id="5236"/>
      <w:r>
        <w:rPr>
          <w:rFonts w:ascii="Arial" w:eastAsia="Arial" w:hAnsi="Arial" w:cs="Arial"/>
          <w:color w:val="000000"/>
          <w:sz w:val="20"/>
        </w:rPr>
        <w:t xml:space="preserve"> ("In considering a motion to dismiss for failure to state a claim pursuant to Rule 12(b)(6), a district court may consider the facts alleged in [**5]  the complaint, documents attached to the complaint as exhibits, and documents incorporated by reference in the complaint.").</w:t>
      </w:r>
    </w:p>
    <w:p w:rsidR="00E456CD" w:rsidRDefault="00000000">
      <w:pPr>
        <w:pStyle w:val="Normal32"/>
        <w:widowControl w:val="0"/>
        <w:spacing w:before="200" w:line="260" w:lineRule="atLeast"/>
        <w:jc w:val="both"/>
      </w:pPr>
      <w:bookmarkStart w:id="5237" w:name="Bookmark_para_7_30"/>
      <w:bookmarkEnd w:id="5237"/>
      <w:r>
        <w:rPr>
          <w:rFonts w:ascii="Arial" w:eastAsia="Arial" w:hAnsi="Arial" w:cs="Arial"/>
          <w:color w:val="000000"/>
          <w:sz w:val="20"/>
        </w:rPr>
        <w:t xml:space="preserve">In fact, NYCHA appears to have recognized at one point that Tull's medical disability requires that she be transferred before repairs can be made to her apartment. NYCHA highlights one instance in December 2013, when NYCHA offered to transfer Tull to a temporary studio apartment. NYCHA contends that Tull was the one who refused this December 2013 offer to accommodate her disability. But NYCHA's one-time offer is insufficient to show that Tull's allegations are implausible: NYCHA neglects to mention that, according to Tull's allegations, Tull was recovering from a stroke in December 2013 and was unable to pack and move at that particular time. Also, Tull attached documents to her complaint which indicate that her medical conditions continued to qualify her for a transfer, and that she continued making medical accommodation requests for a transfer well after December 2013, which were either refused or ignored. </w:t>
      </w:r>
      <w:r>
        <w:rPr>
          <w:rFonts w:ascii="Arial" w:eastAsia="Arial" w:hAnsi="Arial" w:cs="Arial"/>
          <w:i/>
          <w:color w:val="000000"/>
          <w:sz w:val="20"/>
        </w:rPr>
        <w:t>See, e.g.</w:t>
      </w:r>
      <w:r>
        <w:rPr>
          <w:rFonts w:ascii="Arial" w:eastAsia="Arial" w:hAnsi="Arial" w:cs="Arial"/>
          <w:color w:val="000000"/>
          <w:sz w:val="20"/>
        </w:rPr>
        <w:t>, J.A, 217 (doctor's note dated April 24, 2014); J.A. 250 (doctor's note dated September 4, 2015); J.A. 263-64 (transfer request dated October 2015); [**6]  J.A. 306-07 (transfer request dated February 2016).</w:t>
      </w:r>
    </w:p>
    <w:p w:rsidR="00E456CD" w:rsidRDefault="00000000">
      <w:pPr>
        <w:pStyle w:val="Normal32"/>
        <w:widowControl w:val="0"/>
        <w:spacing w:before="200" w:line="260" w:lineRule="atLeast"/>
        <w:jc w:val="both"/>
      </w:pPr>
      <w:bookmarkStart w:id="5238" w:name="Bookmark_para_8_30"/>
      <w:bookmarkEnd w:id="5238"/>
      <w:r>
        <w:rPr>
          <w:rFonts w:ascii="Arial" w:eastAsia="Arial" w:hAnsi="Arial" w:cs="Arial"/>
          <w:color w:val="000000"/>
          <w:sz w:val="20"/>
        </w:rPr>
        <w:t xml:space="preserve">Moreover, NYCHA's argument that Tull's requested accommodation is unreasonable has no merit. </w:t>
      </w:r>
      <w:bookmarkStart w:id="5239" w:name="Bookmark_I5RVHD8C2HM6WP0050000400"/>
      <w:bookmarkEnd w:id="5239"/>
      <w:r>
        <w:rPr>
          <w:rFonts w:ascii="Arial" w:eastAsia="Arial" w:hAnsi="Arial" w:cs="Arial"/>
          <w:color w:val="000000"/>
          <w:sz w:val="20"/>
        </w:rPr>
        <w:t xml:space="preserve">Notably, NYCHA's own Standard Procedure Manual explicitly recognizes a "Transfer as a Reasonable Accommodation." J.A. 428. And in any case, the reasonableness of Tull's request cannot be determined on her pleadings alone. </w:t>
      </w:r>
      <w:r>
        <w:rPr>
          <w:rFonts w:ascii="Arial" w:eastAsia="Arial" w:hAnsi="Arial" w:cs="Arial"/>
          <w:i/>
          <w:color w:val="000000"/>
          <w:sz w:val="20"/>
        </w:rPr>
        <w:t xml:space="preserve">See </w:t>
      </w:r>
      <w:bookmarkStart w:id="5240" w:name="Bookmark_I5RVHD8C2HM6WP0040000400"/>
      <w:bookmarkEnd w:id="5240"/>
      <w:r>
        <w:rPr>
          <w:rFonts w:ascii="Arial" w:eastAsia="Arial" w:hAnsi="Arial" w:cs="Arial"/>
          <w:i/>
          <w:color w:val="000000"/>
          <w:sz w:val="20"/>
        </w:rPr>
        <w:t>Austin v. Town of Farmington</w:t>
      </w:r>
      <w:r>
        <w:rPr>
          <w:rFonts w:ascii="Arial" w:eastAsia="Arial" w:hAnsi="Arial" w:cs="Arial"/>
          <w:color w:val="000000"/>
          <w:sz w:val="20"/>
        </w:rPr>
        <w:t xml:space="preserve">, 826 F.3d 622, 630 (2d Cir. 2016) </w:t>
      </w:r>
      <w:bookmarkStart w:id="5241" w:name="Bookmark_LNHNREFclscc5_23"/>
      <w:bookmarkEnd w:id="5241"/>
      <w:r>
        <w:rPr>
          <w:rFonts w:ascii="Arial" w:eastAsia="Arial" w:hAnsi="Arial" w:cs="Arial"/>
          <w:color w:val="000000"/>
          <w:sz w:val="20"/>
        </w:rPr>
        <w:t>("Reasonableness  [*79]  analysis is 'highly fact-specific' . . . [and] cannot be determined on the pleadings because the relevant factors are numerous and balancing them requires a full evidentiary record." (citations omitted)). We conclude that Tull adequately pleaded a failure to accommodate claim and that the district court erred in concluding that this claim did not survive NYCHA's motion to dismiss.</w:t>
      </w:r>
    </w:p>
    <w:p w:rsidR="00E456CD" w:rsidRDefault="00000000">
      <w:pPr>
        <w:pStyle w:val="Normal32"/>
        <w:widowControl w:val="0"/>
        <w:spacing w:before="200" w:line="260" w:lineRule="atLeast"/>
        <w:jc w:val="both"/>
      </w:pPr>
      <w:bookmarkStart w:id="5242" w:name="Bookmark_para_9_30"/>
      <w:bookmarkEnd w:id="5242"/>
      <w:r>
        <w:rPr>
          <w:rFonts w:ascii="Arial" w:eastAsia="Arial" w:hAnsi="Arial" w:cs="Arial"/>
          <w:color w:val="000000"/>
          <w:sz w:val="20"/>
        </w:rPr>
        <w:t>* * *</w:t>
      </w:r>
    </w:p>
    <w:p w:rsidR="00E456CD" w:rsidRDefault="00000000">
      <w:pPr>
        <w:pStyle w:val="Normal32"/>
        <w:widowControl w:val="0"/>
        <w:spacing w:before="200" w:line="260" w:lineRule="atLeast"/>
        <w:jc w:val="both"/>
      </w:pPr>
      <w:bookmarkStart w:id="5243" w:name="Bookmark_para_10_29"/>
      <w:bookmarkEnd w:id="5243"/>
      <w:r>
        <w:rPr>
          <w:rFonts w:ascii="Arial" w:eastAsia="Arial" w:hAnsi="Arial" w:cs="Arial"/>
          <w:color w:val="000000"/>
          <w:sz w:val="20"/>
        </w:rPr>
        <w:t xml:space="preserve">We have considered NYCHA's remaining arguments and find them to be without merit. </w:t>
      </w:r>
      <w:bookmarkStart w:id="5244" w:name="Bookmark_I5RVHD8C2N1R3W0020000400"/>
      <w:bookmarkEnd w:id="5244"/>
      <w:r>
        <w:rPr>
          <w:rFonts w:ascii="Arial" w:eastAsia="Arial" w:hAnsi="Arial" w:cs="Arial"/>
          <w:color w:val="000000"/>
          <w:sz w:val="20"/>
        </w:rPr>
        <w:t xml:space="preserve">Accordingly, we </w:t>
      </w:r>
      <w:r>
        <w:rPr>
          <w:rFonts w:ascii="Arial" w:eastAsia="Arial" w:hAnsi="Arial" w:cs="Arial"/>
          <w:b/>
          <w:color w:val="000000"/>
          <w:sz w:val="20"/>
        </w:rPr>
        <w:t>AFFIRM</w:t>
      </w:r>
      <w:r>
        <w:rPr>
          <w:rFonts w:ascii="Arial" w:eastAsia="Arial" w:hAnsi="Arial" w:cs="Arial"/>
          <w:color w:val="000000"/>
          <w:sz w:val="20"/>
        </w:rPr>
        <w:t xml:space="preserve"> the district court's decision insofar as it is in accordance with the motions panel's decision on February 6, 2017, we </w:t>
      </w:r>
      <w:r>
        <w:rPr>
          <w:rFonts w:ascii="Arial" w:eastAsia="Arial" w:hAnsi="Arial" w:cs="Arial"/>
          <w:b/>
          <w:color w:val="000000"/>
          <w:sz w:val="20"/>
        </w:rPr>
        <w:t>VACATE</w:t>
      </w:r>
      <w:r>
        <w:rPr>
          <w:rFonts w:ascii="Arial" w:eastAsia="Arial" w:hAnsi="Arial" w:cs="Arial"/>
          <w:color w:val="000000"/>
          <w:sz w:val="20"/>
        </w:rPr>
        <w:t xml:space="preserve"> the judgment below to the extent that it dismissed Tull's failure to accommodate claim against NYCHA, and we </w:t>
      </w:r>
      <w:r>
        <w:rPr>
          <w:rFonts w:ascii="Arial" w:eastAsia="Arial" w:hAnsi="Arial" w:cs="Arial"/>
          <w:b/>
          <w:color w:val="000000"/>
          <w:sz w:val="20"/>
        </w:rPr>
        <w:t>REMAND</w:t>
      </w:r>
      <w:r>
        <w:rPr>
          <w:rFonts w:ascii="Arial" w:eastAsia="Arial" w:hAnsi="Arial" w:cs="Arial"/>
          <w:color w:val="000000"/>
          <w:sz w:val="20"/>
        </w:rPr>
        <w:t xml:space="preserve"> to the district court for further proceedings consistent with this order. In [**7]  light of Tull's medical conditions, we also recommend that the district court consider appointing counsel for Tull to help her prosecute this action. </w:t>
      </w:r>
      <w:bookmarkStart w:id="5245" w:name="Bookmark_I5RVHD8C2N1R3W0010000400"/>
      <w:bookmarkEnd w:id="5245"/>
      <w:r>
        <w:rPr>
          <w:rFonts w:ascii="Arial" w:eastAsia="Arial" w:hAnsi="Arial" w:cs="Arial"/>
          <w:i/>
          <w:color w:val="000000"/>
          <w:sz w:val="20"/>
        </w:rPr>
        <w:t>Willey v. Kirkpatrick</w:t>
      </w:r>
      <w:r>
        <w:rPr>
          <w:rFonts w:ascii="Arial" w:eastAsia="Arial" w:hAnsi="Arial" w:cs="Arial"/>
          <w:color w:val="000000"/>
          <w:sz w:val="20"/>
        </w:rPr>
        <w:t xml:space="preserve">, 801 F.3d 51, 71 (2d Cir. 2015); </w:t>
      </w:r>
      <w:r>
        <w:rPr>
          <w:rFonts w:ascii="Arial" w:eastAsia="Arial" w:hAnsi="Arial" w:cs="Arial"/>
          <w:i/>
          <w:color w:val="000000"/>
          <w:sz w:val="20"/>
        </w:rPr>
        <w:t xml:space="preserve">see also </w:t>
      </w:r>
      <w:bookmarkStart w:id="5246" w:name="Bookmark_I5RVHD8C2N1R3W0030000400"/>
      <w:bookmarkEnd w:id="5246"/>
      <w:r>
        <w:rPr>
          <w:rFonts w:ascii="Arial" w:eastAsia="Arial" w:hAnsi="Arial" w:cs="Arial"/>
          <w:i/>
          <w:color w:val="000000"/>
          <w:sz w:val="20"/>
        </w:rPr>
        <w:t>Hodge v. Police Officers</w:t>
      </w:r>
      <w:r>
        <w:rPr>
          <w:rFonts w:ascii="Arial" w:eastAsia="Arial" w:hAnsi="Arial" w:cs="Arial"/>
          <w:color w:val="000000"/>
          <w:sz w:val="20"/>
        </w:rPr>
        <w:t>, 802 F.2d 58, 61-62 (2d Cir. 1986) (listing factors to be considered by district courts in deciding whether to exercise their discretion to appoint counsel pursuant to 28 U.S.C. § 1915).</w:t>
      </w:r>
    </w:p>
    <w:p w:rsidR="00E456CD" w:rsidRDefault="00E456CD">
      <w:pPr>
        <w:pStyle w:val="Normal32"/>
      </w:pPr>
    </w:p>
    <w:p w:rsidR="00E456CD" w:rsidRDefault="00000000">
      <w:pPr>
        <w:pStyle w:val="Normal32"/>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2889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491304811"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7BE41" id="Line 72"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3"/>
        <w:sectPr w:rsidR="00E456CD">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gutter="0"/>
          <w:cols w:space="720"/>
          <w:titlePg/>
        </w:sectPr>
      </w:pPr>
    </w:p>
    <w:p w:rsidR="00E456CD" w:rsidRDefault="00E456CD">
      <w:pPr>
        <w:pStyle w:val="Normal33"/>
      </w:pPr>
    </w:p>
    <w:p w:rsidR="00E456CD" w:rsidRDefault="00000000">
      <w:pPr>
        <w:pStyle w:val="Heading132"/>
        <w:keepNext w:val="0"/>
        <w:widowControl w:val="0"/>
        <w:spacing w:after="200" w:line="340" w:lineRule="atLeast"/>
        <w:jc w:val="center"/>
      </w:pPr>
      <w:r>
        <w:rPr>
          <w:rFonts w:eastAsia="Arial"/>
          <w:color w:val="000000"/>
          <w:sz w:val="28"/>
        </w:rPr>
        <w:t>Bedford v. Michigan</w:t>
      </w:r>
    </w:p>
    <w:p w:rsidR="00E456CD" w:rsidRDefault="00000000">
      <w:pPr>
        <w:pStyle w:val="Normal33"/>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33"/>
        <w:widowControl w:val="0"/>
        <w:spacing w:before="120" w:line="260" w:lineRule="atLeast"/>
        <w:jc w:val="center"/>
      </w:pPr>
      <w:r>
        <w:rPr>
          <w:rFonts w:ascii="Arial" w:eastAsia="Arial" w:hAnsi="Arial" w:cs="Arial"/>
          <w:color w:val="000000"/>
          <w:sz w:val="20"/>
        </w:rPr>
        <w:t>January 30, 2018, Filed</w:t>
      </w:r>
    </w:p>
    <w:p w:rsidR="00E456CD" w:rsidRDefault="00000000">
      <w:pPr>
        <w:pStyle w:val="Normal33"/>
        <w:widowControl w:val="0"/>
        <w:spacing w:before="120" w:line="260" w:lineRule="atLeast"/>
        <w:jc w:val="center"/>
      </w:pPr>
      <w:r>
        <w:rPr>
          <w:rFonts w:ascii="Arial" w:eastAsia="Arial" w:hAnsi="Arial" w:cs="Arial"/>
          <w:color w:val="000000"/>
          <w:sz w:val="20"/>
        </w:rPr>
        <w:t>File Name: 18a0055n.06</w:t>
      </w:r>
    </w:p>
    <w:p w:rsidR="00E456CD" w:rsidRDefault="00000000">
      <w:pPr>
        <w:pStyle w:val="Normal33"/>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Case No. 17-1344</w:t>
      </w:r>
    </w:p>
    <w:p w:rsidR="00E456CD" w:rsidRDefault="00E456CD">
      <w:pPr>
        <w:pStyle w:val="Normal33"/>
        <w:widowControl w:val="0"/>
        <w:spacing w:line="240" w:lineRule="atLeast"/>
        <w:jc w:val="both"/>
      </w:pPr>
      <w:bookmarkStart w:id="5247" w:name="Bookmark_34"/>
      <w:bookmarkEnd w:id="5247"/>
    </w:p>
    <w:p w:rsidR="00E456CD" w:rsidRDefault="00000000">
      <w:pPr>
        <w:pStyle w:val="Normal33"/>
        <w:widowControl w:val="0"/>
        <w:spacing w:before="200" w:line="240" w:lineRule="atLeast"/>
      </w:pPr>
      <w:bookmarkStart w:id="5248" w:name="Reporter_32"/>
      <w:bookmarkEnd w:id="5248"/>
      <w:r>
        <w:rPr>
          <w:rFonts w:ascii="Arial" w:eastAsia="Arial" w:hAnsi="Arial" w:cs="Arial"/>
          <w:b/>
          <w:color w:val="000000"/>
          <w:sz w:val="18"/>
        </w:rPr>
        <w:t>Reporter</w:t>
      </w:r>
    </w:p>
    <w:p w:rsidR="00E456CD" w:rsidRDefault="00000000">
      <w:pPr>
        <w:pStyle w:val="Normal33"/>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722 Fed. Appx. 515 *; 2018 U.S. App. LEXIS 2248 **; 2018 FED App. 0055N (6th Cir.); 2018 WL 618479</w:t>
      </w:r>
    </w:p>
    <w:p w:rsidR="00E456CD" w:rsidRDefault="00000000">
      <w:pPr>
        <w:pStyle w:val="Normal33"/>
        <w:widowControl w:val="0"/>
        <w:spacing w:before="120" w:line="260" w:lineRule="atLeast"/>
      </w:pPr>
      <w:r>
        <w:rPr>
          <w:rFonts w:ascii="Arial" w:eastAsia="Arial" w:hAnsi="Arial" w:cs="Arial"/>
          <w:color w:val="000000"/>
          <w:sz w:val="20"/>
        </w:rPr>
        <w:t>ALEXANDRA BEDFORD, Plaintiff-Appellant, v. STATE OF MICHIGAN; COUNTY OF KALAMAZOO, Defendants-Appellees.</w:t>
      </w:r>
    </w:p>
    <w:p w:rsidR="00E456CD" w:rsidRDefault="00000000">
      <w:pPr>
        <w:pStyle w:val="Normal33"/>
        <w:widowControl w:val="0"/>
        <w:spacing w:before="240" w:line="260" w:lineRule="atLeast"/>
        <w:jc w:val="both"/>
      </w:pPr>
      <w:bookmarkStart w:id="5249" w:name="Notice_16"/>
      <w:bookmarkEnd w:id="5249"/>
      <w:r>
        <w:rPr>
          <w:rFonts w:ascii="Arial" w:eastAsia="Arial" w:hAnsi="Arial" w:cs="Arial"/>
          <w:b/>
          <w:color w:val="000000"/>
          <w:sz w:val="20"/>
        </w:rPr>
        <w:t>Notice:</w:t>
      </w:r>
      <w:r>
        <w:rPr>
          <w:rFonts w:ascii="Arial" w:eastAsia="Arial" w:hAnsi="Arial" w:cs="Arial"/>
          <w:color w:val="000000"/>
          <w:sz w:val="20"/>
        </w:rPr>
        <w:t> </w:t>
      </w:r>
      <w:bookmarkStart w:id="5250" w:name="Bookmark_para_1_32"/>
      <w:bookmarkEnd w:id="5250"/>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33"/>
        <w:widowControl w:val="0"/>
        <w:spacing w:before="240" w:line="260" w:lineRule="atLeast"/>
        <w:jc w:val="both"/>
      </w:pPr>
      <w:bookmarkStart w:id="5251" w:name="Prior_History_32"/>
      <w:bookmarkEnd w:id="5251"/>
      <w:r>
        <w:rPr>
          <w:rFonts w:ascii="Arial" w:eastAsia="Arial" w:hAnsi="Arial" w:cs="Arial"/>
          <w:b/>
          <w:color w:val="000000"/>
          <w:sz w:val="20"/>
        </w:rPr>
        <w:t>Prior History:</w:t>
      </w:r>
      <w:r>
        <w:rPr>
          <w:rFonts w:ascii="Arial" w:eastAsia="Arial" w:hAnsi="Arial" w:cs="Arial"/>
          <w:color w:val="000000"/>
          <w:sz w:val="20"/>
        </w:rPr>
        <w:t> </w:t>
      </w:r>
      <w:bookmarkStart w:id="5252" w:name="Bookmark_para_2_32"/>
      <w:bookmarkEnd w:id="5252"/>
      <w:r>
        <w:rPr>
          <w:rFonts w:ascii="Arial" w:eastAsia="Arial" w:hAnsi="Arial" w:cs="Arial"/>
          <w:color w:val="000000"/>
          <w:sz w:val="20"/>
        </w:rPr>
        <w:t> [**1] ON APPEAL FROM THE UNITED STATES DISTRICT COURT FOR THE WESTERN DISTRICT OF MICHIGAN.</w:t>
      </w:r>
    </w:p>
    <w:p w:rsidR="00E456CD" w:rsidRDefault="00000000">
      <w:pPr>
        <w:pStyle w:val="Normal33"/>
        <w:widowControl w:val="0"/>
        <w:spacing w:before="240" w:line="260" w:lineRule="atLeast"/>
      </w:pPr>
      <w:bookmarkStart w:id="5253" w:name="Counsel_32"/>
      <w:bookmarkEnd w:id="5253"/>
      <w:r>
        <w:rPr>
          <w:rFonts w:ascii="Arial" w:eastAsia="Arial" w:hAnsi="Arial" w:cs="Arial"/>
          <w:b/>
          <w:color w:val="000000"/>
          <w:sz w:val="20"/>
        </w:rPr>
        <w:t>Counsel:</w:t>
      </w:r>
      <w:r>
        <w:rPr>
          <w:rFonts w:ascii="Arial" w:eastAsia="Arial" w:hAnsi="Arial" w:cs="Arial"/>
          <w:color w:val="000000"/>
          <w:sz w:val="20"/>
        </w:rPr>
        <w:t> For ALEXANDRA BEDFORD, Plaintiff - Appellant: Joseph Patrick Vredevelt, Law Office, Houston, TX.</w:t>
      </w:r>
    </w:p>
    <w:p w:rsidR="00E456CD" w:rsidRDefault="00000000">
      <w:pPr>
        <w:pStyle w:val="Normal33"/>
        <w:widowControl w:val="0"/>
        <w:spacing w:before="120" w:line="260" w:lineRule="atLeast"/>
      </w:pPr>
      <w:r>
        <w:rPr>
          <w:rFonts w:ascii="Arial" w:eastAsia="Arial" w:hAnsi="Arial" w:cs="Arial"/>
          <w:color w:val="000000"/>
          <w:sz w:val="20"/>
        </w:rPr>
        <w:t>For STATE OF MICHIGAN, Defendant - Appellee: Adam Lee Spinelli Fracassi, Office of the Attorney General, Lansing, MI.</w:t>
      </w:r>
    </w:p>
    <w:p w:rsidR="00E456CD" w:rsidRDefault="00000000">
      <w:pPr>
        <w:pStyle w:val="Normal33"/>
        <w:widowControl w:val="0"/>
        <w:spacing w:before="120" w:line="260" w:lineRule="atLeast"/>
      </w:pPr>
      <w:r>
        <w:rPr>
          <w:rFonts w:ascii="Arial" w:eastAsia="Arial" w:hAnsi="Arial" w:cs="Arial"/>
          <w:color w:val="000000"/>
          <w:sz w:val="20"/>
        </w:rPr>
        <w:t>For COUNTY OF KALAMAZOO, Defendant - Appellee: Douglas J. Curlew, Cummings, McClorey, Davis &amp; Acho, Livonia, MI; Allan Craig Vander Laan, Cummings, McClorey, Davis &amp; Acho, Grand Rapids, MI.</w:t>
      </w:r>
    </w:p>
    <w:p w:rsidR="00E456CD" w:rsidRDefault="00000000">
      <w:pPr>
        <w:pStyle w:val="Normal33"/>
        <w:widowControl w:val="0"/>
        <w:spacing w:before="240" w:line="260" w:lineRule="atLeast"/>
      </w:pPr>
      <w:bookmarkStart w:id="5254" w:name="Judges_32"/>
      <w:bookmarkEnd w:id="5254"/>
      <w:r>
        <w:rPr>
          <w:rFonts w:ascii="Arial" w:eastAsia="Arial" w:hAnsi="Arial" w:cs="Arial"/>
          <w:b/>
          <w:color w:val="000000"/>
          <w:sz w:val="20"/>
        </w:rPr>
        <w:t>Judges:</w:t>
      </w:r>
      <w:r>
        <w:rPr>
          <w:rFonts w:ascii="Arial" w:eastAsia="Arial" w:hAnsi="Arial" w:cs="Arial"/>
          <w:color w:val="000000"/>
          <w:sz w:val="20"/>
        </w:rPr>
        <w:t> Before: MERRITT, MOORE, and BUSH, Circuit Judges.</w:t>
      </w:r>
    </w:p>
    <w:p w:rsidR="00E456CD" w:rsidRDefault="00000000">
      <w:pPr>
        <w:pStyle w:val="Normal33"/>
        <w:widowControl w:val="0"/>
        <w:spacing w:before="240" w:line="260" w:lineRule="atLeast"/>
      </w:pPr>
      <w:bookmarkStart w:id="5255" w:name="Opinion_by_20"/>
      <w:bookmarkEnd w:id="5255"/>
      <w:r>
        <w:rPr>
          <w:rFonts w:ascii="Arial" w:eastAsia="Arial" w:hAnsi="Arial" w:cs="Arial"/>
          <w:b/>
          <w:color w:val="000000"/>
          <w:sz w:val="20"/>
        </w:rPr>
        <w:t>Opinion by:</w:t>
      </w:r>
      <w:r>
        <w:rPr>
          <w:rFonts w:ascii="Arial" w:eastAsia="Arial" w:hAnsi="Arial" w:cs="Arial"/>
          <w:color w:val="000000"/>
          <w:sz w:val="20"/>
        </w:rPr>
        <w:t> MERRITT</w:t>
      </w:r>
    </w:p>
    <w:p w:rsidR="00E456CD" w:rsidRDefault="00000000">
      <w:pPr>
        <w:pStyle w:val="Normal33"/>
        <w:keepNext/>
        <w:widowControl w:val="0"/>
        <w:spacing w:before="240" w:line="340" w:lineRule="atLeast"/>
      </w:pPr>
      <w:bookmarkStart w:id="5256" w:name="Opinion_32"/>
      <w:bookmarkEnd w:id="5256"/>
      <w:r>
        <w:rPr>
          <w:rFonts w:ascii="Arial" w:eastAsia="Arial" w:hAnsi="Arial" w:cs="Arial"/>
          <w:b/>
          <w:color w:val="000000"/>
          <w:sz w:val="28"/>
        </w:rPr>
        <w:t>Opinion</w:t>
      </w:r>
    </w:p>
    <w:p w:rsidR="00E456CD" w:rsidRDefault="00E22289">
      <w:pPr>
        <w:pStyle w:val="Normal33"/>
        <w:spacing w:line="60" w:lineRule="exact"/>
      </w:pPr>
      <w:r>
        <w:rPr>
          <w:noProof/>
        </w:rPr>
        <mc:AlternateContent>
          <mc:Choice Requires="wps">
            <w:drawing>
              <wp:anchor distT="0" distB="0" distL="114300" distR="114300" simplePos="0" relativeHeight="25172992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580849779"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5849D" id="Line 73"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3"/>
      </w:pPr>
    </w:p>
    <w:p w:rsidR="00E456CD" w:rsidRDefault="00000000">
      <w:pPr>
        <w:pStyle w:val="Normal33"/>
        <w:widowControl w:val="0"/>
        <w:spacing w:before="200" w:line="260" w:lineRule="atLeast"/>
        <w:jc w:val="both"/>
      </w:pPr>
      <w:bookmarkStart w:id="5257" w:name="Bookmark_para_3_32"/>
      <w:bookmarkEnd w:id="5257"/>
      <w:r>
        <w:rPr>
          <w:rFonts w:ascii="Arial" w:eastAsia="Arial" w:hAnsi="Arial" w:cs="Arial"/>
          <w:color w:val="000000"/>
          <w:sz w:val="20"/>
        </w:rPr>
        <w:t xml:space="preserve"> [*516]  </w:t>
      </w:r>
      <w:r>
        <w:rPr>
          <w:rFonts w:ascii="Arial" w:eastAsia="Arial" w:hAnsi="Arial" w:cs="Arial"/>
          <w:b/>
          <w:color w:val="000000"/>
          <w:sz w:val="20"/>
        </w:rPr>
        <w:t>MERRITT, Circuit Judge</w:t>
      </w:r>
      <w:r>
        <w:rPr>
          <w:rFonts w:ascii="Arial" w:eastAsia="Arial" w:hAnsi="Arial" w:cs="Arial"/>
          <w:color w:val="000000"/>
          <w:sz w:val="20"/>
        </w:rPr>
        <w:t xml:space="preserve">. This federal case arises from domestic-relations litigation in family court in Kalamazoo, Michigan, in which plaintiff Alexandra Bedford was a party. Plaintiff appeals from a district court ruling in favor of defendants, the State of Michigan and the County of Kalamazoo, Michigan, dismissing pursuant to Federal Rule of Procedure 12(b)(6) her claims under the broad language of Title II of the Americans with Disabilities Act, 42 U.S.C. § 12131 </w:t>
      </w:r>
      <w:r>
        <w:rPr>
          <w:rFonts w:ascii="Arial" w:eastAsia="Arial" w:hAnsi="Arial" w:cs="Arial"/>
          <w:i/>
          <w:color w:val="000000"/>
          <w:sz w:val="20"/>
        </w:rPr>
        <w:t>et seq.</w:t>
      </w:r>
      <w:r>
        <w:rPr>
          <w:rFonts w:ascii="Arial" w:eastAsia="Arial" w:hAnsi="Arial" w:cs="Arial"/>
          <w:color w:val="000000"/>
          <w:sz w:val="20"/>
        </w:rPr>
        <w:t>, and Section 504 of the Rehabilitation Act, 29 U.S.C. § 794. In the state-court action, plaintiff claimed as an "invisible disability" her particular tendency to become stressed or extremely nervous when engaged in litigation. She asked the state court judge [**2]  presiding over her domestic relations case to allow her to have a "disability advocate" represent her rather than a lawyer. She asks this court to recognize "litigation stress" as a disability and as a basis for substituting a "disability advocate" with training in "litigation stress syndrome" to represent her in her domestic relations case. For the following reasons, we affirm the district court's dismissal of plaintiff's complaint. She has failed to state a claim demonstrating that she was denied a required accommodation for a recognized disability.</w:t>
      </w:r>
    </w:p>
    <w:p w:rsidR="00E456CD" w:rsidRDefault="00000000">
      <w:pPr>
        <w:pStyle w:val="Normal33"/>
        <w:widowControl w:val="0"/>
        <w:spacing w:before="200" w:line="260" w:lineRule="atLeast"/>
        <w:jc w:val="both"/>
      </w:pPr>
      <w:bookmarkStart w:id="5258" w:name="Bookmark_para_4_32"/>
      <w:bookmarkStart w:id="5259" w:name="Bookmark_I5RR3V122D6N8C0020000400"/>
      <w:bookmarkStart w:id="5260" w:name="Bookmark_I5RR3V122D6N8C0040000400"/>
      <w:bookmarkEnd w:id="5258"/>
      <w:bookmarkEnd w:id="5259"/>
      <w:bookmarkEnd w:id="5260"/>
      <w:r>
        <w:rPr>
          <w:rFonts w:ascii="Arial" w:eastAsia="Arial" w:hAnsi="Arial" w:cs="Arial"/>
          <w:color w:val="000000"/>
          <w:sz w:val="20"/>
        </w:rPr>
        <w:t xml:space="preserve">At the outset, it should be noted that the Supreme Court in </w:t>
      </w:r>
      <w:bookmarkStart w:id="5261" w:name="Bookmark_I5RR3V122D6N8C0010000400"/>
      <w:bookmarkEnd w:id="5261"/>
      <w:r>
        <w:rPr>
          <w:rFonts w:ascii="Arial" w:eastAsia="Arial" w:hAnsi="Arial" w:cs="Arial"/>
          <w:i/>
          <w:color w:val="000000"/>
          <w:sz w:val="20"/>
        </w:rPr>
        <w:t>Tennessee v. Lane</w:t>
      </w:r>
      <w:r>
        <w:rPr>
          <w:rFonts w:ascii="Arial" w:eastAsia="Arial" w:hAnsi="Arial" w:cs="Arial"/>
          <w:color w:val="000000"/>
          <w:sz w:val="20"/>
        </w:rPr>
        <w:t xml:space="preserve">, 541 U.S. 509, 124 S. Ct. 1978, 158 L. Ed. 2d 820 (2004), upheld the constitutionality of Title II against Eleventh and Fourteenth Amendment claims. The Court cautioned nevertheless that "Title II does not require States to employ any and all means to make judicial services accessible to persons with disabilities, and it does not require States to compromise their essential eligibility criteria for public programs." </w:t>
      </w:r>
      <w:bookmarkStart w:id="5262" w:name="Bookmark_I5RR3V122D6N8C0030000400"/>
      <w:bookmarkEnd w:id="5262"/>
      <w:r>
        <w:rPr>
          <w:rFonts w:ascii="Arial" w:eastAsia="Arial" w:hAnsi="Arial" w:cs="Arial"/>
          <w:i/>
          <w:color w:val="000000"/>
          <w:sz w:val="20"/>
        </w:rPr>
        <w:t>Id.</w:t>
      </w:r>
      <w:r>
        <w:rPr>
          <w:rFonts w:ascii="Arial" w:eastAsia="Arial" w:hAnsi="Arial" w:cs="Arial"/>
          <w:color w:val="000000"/>
          <w:sz w:val="20"/>
        </w:rPr>
        <w:t xml:space="preserve"> at 531-32.</w:t>
      </w:r>
    </w:p>
    <w:p w:rsidR="00E456CD" w:rsidRDefault="00000000">
      <w:pPr>
        <w:pStyle w:val="Normal33"/>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rsidR="00E456CD" w:rsidRDefault="00000000">
      <w:pPr>
        <w:pStyle w:val="Normal33"/>
        <w:widowControl w:val="0"/>
        <w:spacing w:before="200" w:line="260" w:lineRule="atLeast"/>
        <w:jc w:val="both"/>
      </w:pPr>
      <w:bookmarkStart w:id="5263" w:name="Bookmark_para_5_32"/>
      <w:bookmarkEnd w:id="5263"/>
      <w:r>
        <w:rPr>
          <w:rFonts w:ascii="Arial" w:eastAsia="Arial" w:hAnsi="Arial" w:cs="Arial"/>
          <w:color w:val="000000"/>
          <w:sz w:val="20"/>
        </w:rPr>
        <w:t xml:space="preserve">Plaintiff was a litigant appearing before the state family court </w:t>
      </w:r>
      <w:r>
        <w:rPr>
          <w:rFonts w:ascii="Arial" w:eastAsia="Arial" w:hAnsi="Arial" w:cs="Arial"/>
          <w:i/>
          <w:color w:val="000000"/>
          <w:sz w:val="20"/>
        </w:rPr>
        <w:t>pro se</w:t>
      </w:r>
      <w:r>
        <w:rPr>
          <w:rFonts w:ascii="Arial" w:eastAsia="Arial" w:hAnsi="Arial" w:cs="Arial"/>
          <w:color w:val="000000"/>
          <w:sz w:val="20"/>
        </w:rPr>
        <w:t xml:space="preserve"> when she sought accommodations for her alleged disability. Plaintiff is represented by counsel in this action before our court, and she was represented by counsel below in [**3]  the federal district court. Plaintiff calls her disability a "diagnosed invisible disability," specifically "extreme anxiety" that triggers symptoms that include an "inability to concentrate, understand, and speak in an effective manner when under stress." Second amended complaint at ¶¶ 1, 4. Claiming physical and emotional injury, plaintiff maintains that</w:t>
      </w:r>
    </w:p>
    <w:p w:rsidR="00E456CD" w:rsidRDefault="00000000">
      <w:pPr>
        <w:pStyle w:val="Normal33"/>
        <w:widowControl w:val="0"/>
        <w:spacing w:line="260" w:lineRule="atLeast"/>
        <w:ind w:left="400"/>
        <w:jc w:val="both"/>
      </w:pPr>
      <w:bookmarkStart w:id="5264" w:name="Bookmark_para_6_32"/>
      <w:bookmarkEnd w:id="5264"/>
      <w:r>
        <w:rPr>
          <w:rFonts w:ascii="Arial" w:eastAsia="Arial" w:hAnsi="Arial" w:cs="Arial"/>
          <w:color w:val="000000"/>
          <w:sz w:val="20"/>
        </w:rPr>
        <w:t>Defendants have discriminated intentionally against Plaintiff in violation of Title II of the ADA, by refusing to provide auxiliary aids and services necessary to ensure an equal opportunity for Plaintiff to participate in Defendants' programs and activities.</w:t>
      </w:r>
    </w:p>
    <w:p w:rsidR="00E456CD" w:rsidRDefault="00000000">
      <w:pPr>
        <w:pStyle w:val="Normal33"/>
        <w:widowControl w:val="0"/>
        <w:spacing w:before="200" w:line="260" w:lineRule="atLeast"/>
        <w:jc w:val="both"/>
      </w:pPr>
      <w:r>
        <w:rPr>
          <w:rFonts w:ascii="Arial" w:eastAsia="Arial" w:hAnsi="Arial" w:cs="Arial"/>
          <w:color w:val="000000"/>
          <w:sz w:val="20"/>
        </w:rPr>
        <w:t>Second amended complaint at ¶¶ 59-60 (citation omitted). Plaintiff submitted numerous requests to the Michigan state court to provide accommodations during three hearings held in 2015. In her second amended complaint, filed in federal district court below, she included the following five  [*517]  requested accommodations she made to the state court: (1) that telephonic hearings be held for nonevidentiary hearings; (2) allow short breaks in proceedings if plaintiff was becoming symptomatic, i.e., "stressed"; (3) allow plaintiff to digitally record proceedings for her immediate and private [**4]  use to offset memory deficits brought on by her condition, and for which written transcripts would not be available in a timely manner; (4) allow a "disability advocate" to act on her behalf during court proceedings; and (5) access to a court administrator regarding her accommodations.</w:t>
      </w:r>
    </w:p>
    <w:p w:rsidR="00E456CD" w:rsidRDefault="00000000">
      <w:pPr>
        <w:pStyle w:val="Normal33"/>
        <w:widowControl w:val="0"/>
        <w:spacing w:before="200" w:line="260" w:lineRule="atLeast"/>
        <w:jc w:val="both"/>
      </w:pPr>
      <w:bookmarkStart w:id="5265" w:name="Bookmark_para_7_31"/>
      <w:bookmarkStart w:id="5266" w:name="Bookmark_I5RR3V122HM6090010000400"/>
      <w:bookmarkEnd w:id="5265"/>
      <w:bookmarkEnd w:id="5266"/>
      <w:r>
        <w:rPr>
          <w:rFonts w:ascii="Arial" w:eastAsia="Arial" w:hAnsi="Arial" w:cs="Arial"/>
          <w:color w:val="000000"/>
          <w:sz w:val="20"/>
        </w:rPr>
        <w:t>Contrary to plaintiff's claim that the state court denied her requests for accommodations, the record discloses that the state court specifically allowed plaintiff to appear by telephone for nonevidentiary hearings, and stated it always tried to accommodate litigants' reasonable requests for short breaks during proceedings.</w:t>
      </w:r>
      <w:r>
        <w:rPr>
          <w:rFonts w:ascii="Arial" w:eastAsia="Arial" w:hAnsi="Arial" w:cs="Arial"/>
          <w:vertAlign w:val="superscript"/>
        </w:rPr>
        <w:footnoteReference w:customMarkFollows="1" w:id="231"/>
        <w:t>1</w:t>
      </w:r>
      <w:r>
        <w:rPr>
          <w:rFonts w:ascii="Arial" w:eastAsia="Arial" w:hAnsi="Arial" w:cs="Arial"/>
          <w:color w:val="000000"/>
          <w:sz w:val="20"/>
        </w:rPr>
        <w:t xml:space="preserve"> The court denied her request to record proceedings because all court proceedings are recorded and transcripts are available. The court denied her request for representation by a "disability advocate" because the advocate was not a lawyer, and it denied her request for access to a court administrator to the extent that plaintiff wished unfettered, direct access to court personnel. Instead, the court ruled that plaintiff's requests for accommodations must be in writing to be considered.</w:t>
      </w:r>
    </w:p>
    <w:p w:rsidR="00E456CD" w:rsidRDefault="00000000">
      <w:pPr>
        <w:pStyle w:val="Normal33"/>
        <w:widowControl w:val="0"/>
        <w:spacing w:before="200" w:line="260" w:lineRule="atLeast"/>
        <w:jc w:val="both"/>
      </w:pPr>
      <w:bookmarkStart w:id="5269" w:name="Bookmark_para_8_31"/>
      <w:bookmarkEnd w:id="5269"/>
      <w:r>
        <w:rPr>
          <w:rFonts w:ascii="Arial" w:eastAsia="Arial" w:hAnsi="Arial" w:cs="Arial"/>
          <w:color w:val="000000"/>
          <w:sz w:val="20"/>
        </w:rPr>
        <w:t>In late 2015, plaintiff filed her first complaint in federal court claiming violation of Title II of the Americans with Disabilities Act [**5]  and the Rehabilitation Act by numerous individual and institutional defendants in the State of Michigan. After two more amendments to the complaint, the district court dismissed the complaint for failure to state a cognizable claim under the Americans with Disabilities Act or the Rehabilitation Act on two grounds: (1) that plaintiff did not "allege specific facts that would plausibly describe a qualifying disability;" and (2) failure to "allege facts to show that she was denied 'access' to the courts either 'solely' by reason of such 'disability' or that she would have been treated differently 'but for' her 'disability.'" D. Ct. op. at 6.</w:t>
      </w:r>
    </w:p>
    <w:p w:rsidR="00E456CD" w:rsidRDefault="00000000">
      <w:pPr>
        <w:pStyle w:val="Normal33"/>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rsidR="00E456CD" w:rsidRDefault="00000000">
      <w:pPr>
        <w:pStyle w:val="Normal33"/>
        <w:widowControl w:val="0"/>
        <w:spacing w:before="200" w:line="260" w:lineRule="atLeast"/>
        <w:jc w:val="both"/>
      </w:pPr>
      <w:bookmarkStart w:id="5270" w:name="Bookmark_para_9_31"/>
      <w:bookmarkStart w:id="5271" w:name="Bookmark_I5RR3V122HM6090030000400"/>
      <w:bookmarkStart w:id="5272" w:name="Bookmark_I5RR3V122HM6090050000400"/>
      <w:bookmarkStart w:id="5273" w:name="Bookmark_LNHNREFclscc1_28"/>
      <w:bookmarkEnd w:id="5270"/>
      <w:bookmarkEnd w:id="5271"/>
      <w:bookmarkEnd w:id="5272"/>
      <w:bookmarkEnd w:id="5273"/>
      <w:r>
        <w:rPr>
          <w:rFonts w:ascii="Arial" w:eastAsia="Arial" w:hAnsi="Arial" w:cs="Arial"/>
          <w:color w:val="000000"/>
          <w:sz w:val="20"/>
        </w:rPr>
        <w:t xml:space="preserve">To survive a motion to dismiss, a plaintiff must allege facts with sufficient specificity to state a claim for relief that is plausible on its face. </w:t>
      </w:r>
      <w:bookmarkStart w:id="5274" w:name="Bookmark_I5RR3V122HM6090020000400"/>
      <w:bookmarkEnd w:id="5274"/>
      <w:r>
        <w:rPr>
          <w:rFonts w:ascii="Arial" w:eastAsia="Arial" w:hAnsi="Arial" w:cs="Arial"/>
          <w:i/>
          <w:color w:val="000000"/>
          <w:sz w:val="20"/>
        </w:rPr>
        <w:t>Ashcroft v. Iqbal</w:t>
      </w:r>
      <w:r>
        <w:rPr>
          <w:rFonts w:ascii="Arial" w:eastAsia="Arial" w:hAnsi="Arial" w:cs="Arial"/>
          <w:color w:val="000000"/>
          <w:sz w:val="20"/>
        </w:rPr>
        <w:t xml:space="preserve">, 556 U.S. 662, 678-79, 129 S. Ct. 1937, 173 L. Ed. 2d 868 (2009). </w:t>
      </w:r>
      <w:bookmarkStart w:id="5275" w:name="Bookmark_I5RR3V122HM60B0040000400"/>
      <w:bookmarkEnd w:id="5275"/>
      <w:r>
        <w:rPr>
          <w:rFonts w:ascii="Arial" w:eastAsia="Arial" w:hAnsi="Arial" w:cs="Arial"/>
          <w:color w:val="000000"/>
          <w:sz w:val="20"/>
        </w:rPr>
        <w:t xml:space="preserve">The plausibility standard "asks for more than a sheer possibility that a defendant has acted unlawfully," </w:t>
      </w:r>
      <w:bookmarkStart w:id="5276" w:name="Bookmark_I5RR3V122HM6090040000400"/>
      <w:bookmarkEnd w:id="5276"/>
      <w:r>
        <w:rPr>
          <w:rFonts w:ascii="Arial" w:eastAsia="Arial" w:hAnsi="Arial" w:cs="Arial"/>
          <w:i/>
          <w:color w:val="000000"/>
          <w:sz w:val="20"/>
        </w:rPr>
        <w:t>id.</w:t>
      </w:r>
      <w:r>
        <w:rPr>
          <w:rFonts w:ascii="Arial" w:eastAsia="Arial" w:hAnsi="Arial" w:cs="Arial"/>
          <w:color w:val="000000"/>
          <w:sz w:val="20"/>
        </w:rPr>
        <w:t xml:space="preserve"> at 678, and instead "calls for enough fact to raise a reasonable expectation that discovery will reveal evidence of [unlawful conduct]." </w:t>
      </w:r>
      <w:bookmarkStart w:id="5277" w:name="Bookmark_I5RR3V122HM60B0010000400"/>
      <w:bookmarkEnd w:id="5277"/>
      <w:r>
        <w:rPr>
          <w:rFonts w:ascii="Arial" w:eastAsia="Arial" w:hAnsi="Arial" w:cs="Arial"/>
          <w:i/>
          <w:color w:val="000000"/>
          <w:sz w:val="20"/>
        </w:rPr>
        <w:t>Bell Atl. Corp. v. Twombly</w:t>
      </w:r>
      <w:r>
        <w:rPr>
          <w:rFonts w:ascii="Arial" w:eastAsia="Arial" w:hAnsi="Arial" w:cs="Arial"/>
          <w:color w:val="000000"/>
          <w:sz w:val="20"/>
        </w:rPr>
        <w:t xml:space="preserve">, 550 U.S. 544, 556, 127 S. Ct. 1955, 167 L. Ed. 2d 929 (2007). Under the standard set out in </w:t>
      </w:r>
      <w:r>
        <w:rPr>
          <w:rFonts w:ascii="Arial" w:eastAsia="Arial" w:hAnsi="Arial" w:cs="Arial"/>
          <w:i/>
          <w:color w:val="000000"/>
          <w:sz w:val="20"/>
        </w:rPr>
        <w:t>Iqbal</w:t>
      </w:r>
      <w:r>
        <w:rPr>
          <w:rFonts w:ascii="Arial" w:eastAsia="Arial" w:hAnsi="Arial" w:cs="Arial"/>
          <w:color w:val="000000"/>
          <w:sz w:val="20"/>
        </w:rPr>
        <w:t xml:space="preserve"> and </w:t>
      </w:r>
      <w:r>
        <w:rPr>
          <w:rFonts w:ascii="Arial" w:eastAsia="Arial" w:hAnsi="Arial" w:cs="Arial"/>
          <w:i/>
          <w:color w:val="000000"/>
          <w:sz w:val="20"/>
        </w:rPr>
        <w:t>Twombly</w:t>
      </w:r>
      <w:r>
        <w:rPr>
          <w:rFonts w:ascii="Arial" w:eastAsia="Arial" w:hAnsi="Arial" w:cs="Arial"/>
          <w:color w:val="000000"/>
          <w:sz w:val="20"/>
        </w:rPr>
        <w:t xml:space="preserve">, a court accepts as true all factual allegations, but the court does not [**6]  apply this presumption of truth to conclusory or legal assertions. </w:t>
      </w:r>
      <w:bookmarkStart w:id="5278" w:name="Bookmark_I5RR3V122HM60B0040000400_2"/>
      <w:bookmarkStart w:id="5279" w:name="Bookmark_I5RR3V122SF8CV0010000400"/>
      <w:bookmarkStart w:id="5280" w:name="Bookmark_I5RR3V122HM60B0030000400"/>
      <w:bookmarkEnd w:id="5278"/>
      <w:bookmarkEnd w:id="5279"/>
      <w:bookmarkEnd w:id="5280"/>
      <w:r>
        <w:rPr>
          <w:rFonts w:ascii="Arial" w:eastAsia="Arial" w:hAnsi="Arial" w:cs="Arial"/>
          <w:i/>
          <w:color w:val="000000"/>
          <w:sz w:val="20"/>
        </w:rPr>
        <w:t>Iqbal</w:t>
      </w:r>
      <w:r>
        <w:rPr>
          <w:rFonts w:ascii="Arial" w:eastAsia="Arial" w:hAnsi="Arial" w:cs="Arial"/>
          <w:color w:val="000000"/>
          <w:sz w:val="20"/>
        </w:rPr>
        <w:t xml:space="preserve">, 556 U.S. at 678-79. </w:t>
      </w:r>
      <w:bookmarkStart w:id="5281" w:name="Bookmark_I5RR3V122SF8CV0010000400_2"/>
      <w:bookmarkEnd w:id="5281"/>
      <w:r>
        <w:rPr>
          <w:rFonts w:ascii="Arial" w:eastAsia="Arial" w:hAnsi="Arial" w:cs="Arial"/>
          <w:color w:val="000000"/>
          <w:sz w:val="20"/>
        </w:rPr>
        <w:t xml:space="preserve">If the plaintiff's facts, accepted as true, do not state a claim that has facial plausibility, the plaintiff has not satisfied the pleading requirements under Rule 8, and the complaint will be dismissed. </w:t>
      </w:r>
      <w:bookmarkStart w:id="5282" w:name="Bookmark_LNHNREFclscc2_28"/>
      <w:bookmarkEnd w:id="5282"/>
      <w:r>
        <w:rPr>
          <w:rFonts w:ascii="Arial" w:eastAsia="Arial" w:hAnsi="Arial" w:cs="Arial"/>
          <w:color w:val="000000"/>
          <w:sz w:val="20"/>
        </w:rPr>
        <w:t xml:space="preserve">We review the district court's ruling on a motion to dismiss </w:t>
      </w:r>
      <w:r>
        <w:rPr>
          <w:rFonts w:ascii="Arial" w:eastAsia="Arial" w:hAnsi="Arial" w:cs="Arial"/>
          <w:i/>
          <w:color w:val="000000"/>
          <w:sz w:val="20"/>
        </w:rPr>
        <w:t xml:space="preserve">de novo. </w:t>
      </w:r>
      <w:bookmarkStart w:id="5283" w:name="Bookmark_I5RR3V122HM60B0050000400"/>
      <w:bookmarkEnd w:id="5283"/>
      <w:r>
        <w:rPr>
          <w:rFonts w:ascii="Arial" w:eastAsia="Arial" w:hAnsi="Arial" w:cs="Arial"/>
          <w:i/>
          <w:color w:val="000000"/>
          <w:sz w:val="20"/>
        </w:rPr>
        <w:t>In re NM Holdings Co.</w:t>
      </w:r>
      <w:r>
        <w:rPr>
          <w:rFonts w:ascii="Arial" w:eastAsia="Arial" w:hAnsi="Arial" w:cs="Arial"/>
          <w:color w:val="000000"/>
          <w:sz w:val="20"/>
        </w:rPr>
        <w:t>, 622 F.3d 613, 618 (6th Cir. 2010).</w:t>
      </w:r>
    </w:p>
    <w:p w:rsidR="00E456CD" w:rsidRDefault="00000000">
      <w:pPr>
        <w:pStyle w:val="Normal33"/>
        <w:widowControl w:val="0"/>
        <w:spacing w:before="200" w:line="260" w:lineRule="atLeast"/>
        <w:jc w:val="both"/>
      </w:pPr>
      <w:bookmarkStart w:id="5284" w:name="Bookmark_para_10_30"/>
      <w:bookmarkEnd w:id="5284"/>
      <w:r>
        <w:rPr>
          <w:rFonts w:ascii="Arial" w:eastAsia="Arial" w:hAnsi="Arial" w:cs="Arial"/>
          <w:color w:val="000000"/>
          <w:sz w:val="20"/>
        </w:rPr>
        <w:t xml:space="preserve"> [*518]  </w:t>
      </w:r>
      <w:bookmarkStart w:id="5285" w:name="Bookmark_I65P1M0R03M0003Y2FT00007"/>
      <w:bookmarkStart w:id="5286" w:name="Bookmark_I5RR3V122SF8CV0030000400"/>
      <w:bookmarkEnd w:id="5285"/>
      <w:bookmarkEnd w:id="5286"/>
      <w:r>
        <w:rPr>
          <w:rFonts w:ascii="Arial" w:eastAsia="Arial" w:hAnsi="Arial" w:cs="Arial"/>
          <w:color w:val="000000"/>
          <w:sz w:val="20"/>
        </w:rPr>
        <w:t xml:space="preserve">Title II of the Americans with Disabilities Act, </w:t>
      </w:r>
      <w:bookmarkStart w:id="5287" w:name="Bookmark_LNHNREFclscc3_26"/>
      <w:bookmarkEnd w:id="5287"/>
      <w:r>
        <w:rPr>
          <w:rFonts w:ascii="Arial" w:eastAsia="Arial" w:hAnsi="Arial" w:cs="Arial"/>
          <w:color w:val="000000"/>
          <w:sz w:val="20"/>
        </w:rPr>
        <w:t xml:space="preserve">42 U.S.C. § 12132, states in broad language that "no qualified individual with a disability shall, by reason of such disability, be excluded from participation in or be denied the benefits of the services, programs, or activities of a public entity, or be subjected to discrimination by any such entity." The broad language of the statute and regulations leaves it to the federal judiciary to define what is a "disability" and what action constitutes a required accommodation for such disability. To sustain a claim, a disabled person must be denied meaningful access to a benefit or service. </w:t>
      </w:r>
      <w:bookmarkStart w:id="5288" w:name="Bookmark_I5RR3V122SF8CV0050000400"/>
      <w:bookmarkStart w:id="5289" w:name="Bookmark_I5RR3V122SF8CV0020000400"/>
      <w:bookmarkEnd w:id="5288"/>
      <w:bookmarkEnd w:id="5289"/>
      <w:r>
        <w:rPr>
          <w:rFonts w:ascii="Arial" w:eastAsia="Arial" w:hAnsi="Arial" w:cs="Arial"/>
          <w:i/>
          <w:color w:val="000000"/>
          <w:sz w:val="20"/>
        </w:rPr>
        <w:t>Alexander v. Choate</w:t>
      </w:r>
      <w:r>
        <w:rPr>
          <w:rFonts w:ascii="Arial" w:eastAsia="Arial" w:hAnsi="Arial" w:cs="Arial"/>
          <w:color w:val="000000"/>
          <w:sz w:val="20"/>
        </w:rPr>
        <w:t xml:space="preserve">, 469 U.S. 287, 301, 105 S. Ct. 712, 83 L. Ed. 2d 661 (1985). </w:t>
      </w:r>
      <w:bookmarkStart w:id="5290" w:name="Bookmark_I5RR3V122SF8CV0050000400_2"/>
      <w:bookmarkEnd w:id="5290"/>
      <w:r>
        <w:rPr>
          <w:rFonts w:ascii="Arial" w:eastAsia="Arial" w:hAnsi="Arial" w:cs="Arial"/>
          <w:color w:val="000000"/>
          <w:sz w:val="20"/>
        </w:rPr>
        <w:t xml:space="preserve">Reasonable accommodation may be necessary to ensure meaningful access; and a refusal to modify a program or policy may, in view of the circumstances, become unreasonable and discriminatory. </w:t>
      </w:r>
      <w:bookmarkStart w:id="5291" w:name="Bookmark_I5RR3V1228T43D0020000400"/>
      <w:bookmarkEnd w:id="5291"/>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5292" w:name="Bookmark_I5RR3V122SF8CV0040000400"/>
      <w:bookmarkEnd w:id="5292"/>
      <w:r>
        <w:rPr>
          <w:rFonts w:ascii="Arial" w:eastAsia="Arial" w:hAnsi="Arial" w:cs="Arial"/>
          <w:i/>
          <w:color w:val="000000"/>
          <w:sz w:val="20"/>
        </w:rPr>
        <w:t>Ability Center v. City of Sandusky</w:t>
      </w:r>
      <w:r>
        <w:rPr>
          <w:rFonts w:ascii="Arial" w:eastAsia="Arial" w:hAnsi="Arial" w:cs="Arial"/>
          <w:color w:val="000000"/>
          <w:sz w:val="20"/>
        </w:rPr>
        <w:t xml:space="preserve">, 385 F.3d 901, 907 (6th Cir. 2004). </w:t>
      </w:r>
      <w:bookmarkStart w:id="5293" w:name="Bookmark_I5RR3V1228T43D0020000400_2"/>
      <w:bookmarkStart w:id="5294" w:name="Bookmark_LNHNREFclscc4_25"/>
      <w:bookmarkEnd w:id="5293"/>
      <w:bookmarkEnd w:id="5294"/>
      <w:r>
        <w:rPr>
          <w:rFonts w:ascii="Arial" w:eastAsia="Arial" w:hAnsi="Arial" w:cs="Arial"/>
          <w:color w:val="000000"/>
          <w:sz w:val="20"/>
        </w:rPr>
        <w:t xml:space="preserve">The language of Title II generally [**7]  tracks the language of Section 504 of the Rehabilitation Act, and the jurisprudence interpreting either section is applicable to both and should be interpreted and applied consistently. </w:t>
      </w:r>
      <w:r>
        <w:rPr>
          <w:rFonts w:ascii="Arial" w:eastAsia="Arial" w:hAnsi="Arial" w:cs="Arial"/>
          <w:i/>
          <w:color w:val="000000"/>
          <w:sz w:val="20"/>
        </w:rPr>
        <w:t xml:space="preserve">See </w:t>
      </w:r>
      <w:bookmarkStart w:id="5295" w:name="Bookmark_I5RR3V1228T43D0010000400"/>
      <w:bookmarkEnd w:id="5295"/>
      <w:r>
        <w:rPr>
          <w:rFonts w:ascii="Arial" w:eastAsia="Arial" w:hAnsi="Arial" w:cs="Arial"/>
          <w:i/>
          <w:color w:val="000000"/>
          <w:sz w:val="20"/>
        </w:rPr>
        <w:t>MX Group, Inc. v. City of Covington</w:t>
      </w:r>
      <w:r>
        <w:rPr>
          <w:rFonts w:ascii="Arial" w:eastAsia="Arial" w:hAnsi="Arial" w:cs="Arial"/>
          <w:color w:val="000000"/>
          <w:sz w:val="20"/>
        </w:rPr>
        <w:t>, 293 F.3d 326, 332 (6th Cir. 2002).</w:t>
      </w:r>
    </w:p>
    <w:p w:rsidR="00E456CD" w:rsidRDefault="00000000">
      <w:pPr>
        <w:pStyle w:val="Normal33"/>
        <w:widowControl w:val="0"/>
        <w:spacing w:before="200" w:line="260" w:lineRule="atLeast"/>
        <w:jc w:val="both"/>
      </w:pPr>
      <w:bookmarkStart w:id="5296" w:name="Bookmark_para_11_29"/>
      <w:bookmarkStart w:id="5297" w:name="Bookmark_I65P1M0R56G0003Y2FT00008"/>
      <w:bookmarkStart w:id="5298" w:name="Bookmark_I5RR3V1228T43D0040000400"/>
      <w:bookmarkStart w:id="5299" w:name="Bookmark_LNHNREFclscc5_24"/>
      <w:bookmarkEnd w:id="5296"/>
      <w:bookmarkEnd w:id="5297"/>
      <w:bookmarkEnd w:id="5298"/>
      <w:bookmarkEnd w:id="5299"/>
      <w:r>
        <w:rPr>
          <w:rFonts w:ascii="Arial" w:eastAsia="Arial" w:hAnsi="Arial" w:cs="Arial"/>
          <w:color w:val="000000"/>
          <w:sz w:val="20"/>
        </w:rPr>
        <w:t xml:space="preserve">To establish a claim under Title II of the Americans with Disabilities Act, a plaintiff must show: (1) that she is a qualified individual with a disability; (2) that she was excluded from participation in a public entity's services, programs, or activities or was otherwise discriminated against; and (3) that such exclusion or discrimination was by reason of her disability. </w:t>
      </w:r>
      <w:r>
        <w:rPr>
          <w:rFonts w:ascii="Arial" w:eastAsia="Arial" w:hAnsi="Arial" w:cs="Arial"/>
          <w:i/>
          <w:color w:val="000000"/>
          <w:sz w:val="20"/>
        </w:rPr>
        <w:t xml:space="preserve">See </w:t>
      </w:r>
      <w:bookmarkStart w:id="5300" w:name="Bookmark_I5RR3V1228T43D0030000400"/>
      <w:bookmarkEnd w:id="5300"/>
      <w:r>
        <w:rPr>
          <w:rFonts w:ascii="Arial" w:eastAsia="Arial" w:hAnsi="Arial" w:cs="Arial"/>
          <w:i/>
          <w:color w:val="000000"/>
          <w:sz w:val="20"/>
        </w:rPr>
        <w:t>Anderson v. City of Blue Ash</w:t>
      </w:r>
      <w:r>
        <w:rPr>
          <w:rFonts w:ascii="Arial" w:eastAsia="Arial" w:hAnsi="Arial" w:cs="Arial"/>
          <w:color w:val="000000"/>
          <w:sz w:val="20"/>
        </w:rPr>
        <w:t>, 798 F.3d 338, 357 (6th Cir. 2015).</w:t>
      </w:r>
    </w:p>
    <w:p w:rsidR="00E456CD" w:rsidRDefault="00000000">
      <w:pPr>
        <w:pStyle w:val="Normal33"/>
        <w:widowControl w:val="0"/>
        <w:spacing w:before="240" w:line="260" w:lineRule="atLeast"/>
      </w:pPr>
      <w:r>
        <w:br/>
      </w:r>
      <w:r>
        <w:rPr>
          <w:rFonts w:ascii="Arial" w:eastAsia="Arial" w:hAnsi="Arial" w:cs="Arial"/>
          <w:b/>
          <w:color w:val="000000"/>
          <w:sz w:val="20"/>
        </w:rPr>
        <w:t xml:space="preserve">A. </w:t>
      </w:r>
      <w:r>
        <w:rPr>
          <w:rFonts w:ascii="Arial" w:eastAsia="Arial" w:hAnsi="Arial" w:cs="Arial"/>
          <w:b/>
          <w:color w:val="000000"/>
          <w:sz w:val="20"/>
          <w:u w:val="single"/>
        </w:rPr>
        <w:t>Plaintiff's Alleged Disability</w:t>
      </w:r>
    </w:p>
    <w:p w:rsidR="00E456CD" w:rsidRDefault="00000000">
      <w:pPr>
        <w:pStyle w:val="Normal33"/>
        <w:widowControl w:val="0"/>
        <w:spacing w:before="200" w:line="260" w:lineRule="atLeast"/>
        <w:jc w:val="both"/>
      </w:pPr>
      <w:bookmarkStart w:id="5301" w:name="Bookmark_para_12_28"/>
      <w:bookmarkStart w:id="5302" w:name="Bookmark_LNHNREFclscc6_22"/>
      <w:bookmarkEnd w:id="5301"/>
      <w:bookmarkEnd w:id="5302"/>
      <w:r>
        <w:rPr>
          <w:rFonts w:ascii="Arial" w:eastAsia="Arial" w:hAnsi="Arial" w:cs="Arial"/>
          <w:color w:val="000000"/>
          <w:sz w:val="20"/>
        </w:rPr>
        <w:t>To survive a motion to dismiss, the plaintiff must first demonstrate that she is disabled within the meaning of the Americans with Disabilities Act, and that such "impairment [ ] substantially limits one or more major life activities." 42 U.S.C. § 12102(1)(A). Major life activities include, but are not limited to, "caring for oneself, performing manual tasks, seeing, hearing, eating, sleeping, walking, standing, lifting, bending, speaking, breathing, learning, reading, concentrating, thinking, communicating, and working." 42 U.S.C. § 12102(2)(A).</w:t>
      </w:r>
    </w:p>
    <w:p w:rsidR="00E456CD" w:rsidRDefault="00000000">
      <w:pPr>
        <w:pStyle w:val="Normal33"/>
        <w:widowControl w:val="0"/>
        <w:spacing w:before="200" w:line="260" w:lineRule="atLeast"/>
        <w:jc w:val="both"/>
      </w:pPr>
      <w:bookmarkStart w:id="5303" w:name="Bookmark_para_13_26"/>
      <w:bookmarkStart w:id="5304" w:name="Bookmark_I5RR3V122D6N8F0010000400"/>
      <w:bookmarkEnd w:id="5303"/>
      <w:bookmarkEnd w:id="5304"/>
      <w:r>
        <w:rPr>
          <w:rFonts w:ascii="Arial" w:eastAsia="Arial" w:hAnsi="Arial" w:cs="Arial"/>
          <w:color w:val="000000"/>
          <w:sz w:val="20"/>
        </w:rPr>
        <w:t xml:space="preserve">The district court ruled that plaintiff's pleading contained "merely conclusory assertions that she [**8]  has a disability" because she does not allege specific facts that would plausibly describe a qualifying disability. D. Ct. op. at 6 (citing </w:t>
      </w:r>
      <w:bookmarkStart w:id="5305" w:name="Bookmark_I5RR3V1228T43D0050000400"/>
      <w:bookmarkEnd w:id="5305"/>
      <w:r>
        <w:rPr>
          <w:rFonts w:ascii="Arial" w:eastAsia="Arial" w:hAnsi="Arial" w:cs="Arial"/>
          <w:i/>
          <w:color w:val="000000"/>
          <w:sz w:val="20"/>
        </w:rPr>
        <w:t>Marks v. Tennessee</w:t>
      </w:r>
      <w:r>
        <w:rPr>
          <w:rFonts w:ascii="Arial" w:eastAsia="Arial" w:hAnsi="Arial" w:cs="Arial"/>
          <w:color w:val="000000"/>
          <w:sz w:val="20"/>
        </w:rPr>
        <w:t>, 562 F. App'x 341, 346 (6th Cir. 2014)). While we agree that the "bare bones" description in plaintiff's pleading is lacking in detail, plaintiff's accommodation request for the hearing dated June 4, 2015, describes her "functional impairments" more fully:</w:t>
      </w:r>
    </w:p>
    <w:p w:rsidR="00E456CD" w:rsidRDefault="00000000">
      <w:pPr>
        <w:pStyle w:val="Normal33"/>
        <w:widowControl w:val="0"/>
        <w:spacing w:before="200" w:line="260" w:lineRule="atLeast"/>
        <w:ind w:left="400"/>
        <w:jc w:val="both"/>
      </w:pPr>
      <w:bookmarkStart w:id="5306" w:name="Bookmark_para_14_25"/>
      <w:bookmarkEnd w:id="5306"/>
      <w:r>
        <w:rPr>
          <w:rFonts w:ascii="Arial" w:eastAsia="Arial" w:hAnsi="Arial" w:cs="Arial"/>
          <w:color w:val="000000"/>
          <w:sz w:val="20"/>
        </w:rPr>
        <w:t>Bedford is concerned that her symptoms have caused her to be misperceived by the Court as uncooperative or resistant. In fact problems with expressive speech and concentration slows her reaction time. It is important to notice that Dr. Bedford's impairment is an injury that is largely invisible. When under the stress of litigation, she may appear to be functional on a superficial level even when she is not. Dr. Bedford's functioning is highest when she is in supportive and safe environments. Her functioning deteriorates when she is in non-supportive, unsafe environments, or when she is under any perceived time pressure or stress. Concentration is affected causing communication difficulties. Stress is causing somatic symptoms. Dr. Bedford—during litigation—cannot sleep normally, rest, or recuperate due to traumatic stress symptoms including [**9]   [*519]  nightmares and startle responses (i.e., she jumps when doorbell rings). She has hyper reactivity/hyper arousal and she can't eat or sleep or digest food normally.</w:t>
      </w:r>
    </w:p>
    <w:p w:rsidR="00E456CD" w:rsidRDefault="00000000">
      <w:pPr>
        <w:pStyle w:val="Normal33"/>
        <w:widowControl w:val="0"/>
        <w:spacing w:line="260" w:lineRule="atLeast"/>
        <w:jc w:val="both"/>
      </w:pPr>
      <w:r>
        <w:rPr>
          <w:rFonts w:ascii="Arial" w:eastAsia="Arial" w:hAnsi="Arial" w:cs="Arial"/>
          <w:color w:val="000000"/>
          <w:sz w:val="20"/>
        </w:rPr>
        <w:t>Accommodation Request at 2.</w:t>
      </w:r>
    </w:p>
    <w:p w:rsidR="00E456CD" w:rsidRDefault="00000000">
      <w:pPr>
        <w:pStyle w:val="Normal33"/>
        <w:widowControl w:val="0"/>
        <w:spacing w:before="200" w:line="260" w:lineRule="atLeast"/>
        <w:jc w:val="both"/>
      </w:pPr>
      <w:bookmarkStart w:id="5307" w:name="Bookmark_para_15_25"/>
      <w:bookmarkStart w:id="5308" w:name="Bookmark_I5RR3V122D6N8F0030000400"/>
      <w:bookmarkEnd w:id="5307"/>
      <w:bookmarkEnd w:id="5308"/>
      <w:r>
        <w:rPr>
          <w:rFonts w:ascii="Arial" w:eastAsia="Arial" w:hAnsi="Arial" w:cs="Arial"/>
          <w:color w:val="000000"/>
          <w:sz w:val="20"/>
        </w:rPr>
        <w:t xml:space="preserve">Although we uncovered no case where a court has recognized stress caused by litigation to qualify as a disability covered by the Americans with Disabilities Act or the Rehabilitation Act, and we do not do so here, </w:t>
      </w:r>
      <w:bookmarkStart w:id="5309" w:name="Bookmark_LNHNREFclscc7_22"/>
      <w:bookmarkEnd w:id="5309"/>
      <w:r>
        <w:rPr>
          <w:rFonts w:ascii="Arial" w:eastAsia="Arial" w:hAnsi="Arial" w:cs="Arial"/>
          <w:color w:val="000000"/>
          <w:sz w:val="20"/>
        </w:rPr>
        <w:t xml:space="preserve">depression and severe anxiety, whatever its cause, can rise to the level of a disability. </w:t>
      </w:r>
      <w:r>
        <w:rPr>
          <w:rFonts w:ascii="Arial" w:eastAsia="Arial" w:hAnsi="Arial" w:cs="Arial"/>
          <w:i/>
          <w:color w:val="000000"/>
          <w:sz w:val="20"/>
        </w:rPr>
        <w:t xml:space="preserve">See, e.g., </w:t>
      </w:r>
      <w:bookmarkStart w:id="5310" w:name="Bookmark_I5RR3V122D6N8F0020000400"/>
      <w:bookmarkEnd w:id="5310"/>
      <w:r>
        <w:rPr>
          <w:rFonts w:ascii="Arial" w:eastAsia="Arial" w:hAnsi="Arial" w:cs="Arial"/>
          <w:i/>
          <w:color w:val="000000"/>
          <w:sz w:val="20"/>
        </w:rPr>
        <w:t>Jacobs v. N.C. Admin. Office of the Courts</w:t>
      </w:r>
      <w:r>
        <w:rPr>
          <w:rFonts w:ascii="Arial" w:eastAsia="Arial" w:hAnsi="Arial" w:cs="Arial"/>
          <w:color w:val="000000"/>
          <w:sz w:val="20"/>
        </w:rPr>
        <w:t xml:space="preserve">, 780 F.3d 562, 572 (4th Cir. 2015) (anxiety can be a valid disability for purposes of the ADA); </w:t>
      </w:r>
      <w:bookmarkStart w:id="5311" w:name="Bookmark_I5RR3V122D6N8F0040000400"/>
      <w:bookmarkEnd w:id="5311"/>
      <w:r>
        <w:rPr>
          <w:rFonts w:ascii="Arial" w:eastAsia="Arial" w:hAnsi="Arial" w:cs="Arial"/>
          <w:i/>
          <w:color w:val="000000"/>
          <w:sz w:val="20"/>
        </w:rPr>
        <w:t>Santos v. City of New York</w:t>
      </w:r>
      <w:r>
        <w:rPr>
          <w:rFonts w:ascii="Arial" w:eastAsia="Arial" w:hAnsi="Arial" w:cs="Arial"/>
          <w:color w:val="000000"/>
          <w:sz w:val="20"/>
        </w:rPr>
        <w:t xml:space="preserve">, No. 01-cv-0120, 2001 U.S. Dist. LEXIS 20369, 2001 WL 1568813, *4 (S.D.N.Y. Dec. 7, 2001) (stress and depression may be considered impairments depending on whether they result from a documented physiological or mental disorder); </w:t>
      </w:r>
      <w:bookmarkStart w:id="5312" w:name="Bookmark_I5RR3V122HM60D0010000400"/>
      <w:bookmarkEnd w:id="5312"/>
      <w:r>
        <w:rPr>
          <w:rFonts w:ascii="Arial" w:eastAsia="Arial" w:hAnsi="Arial" w:cs="Arial"/>
          <w:i/>
          <w:color w:val="000000"/>
          <w:sz w:val="20"/>
        </w:rPr>
        <w:t>Reilly v. Revlon, Inc.</w:t>
      </w:r>
      <w:r>
        <w:rPr>
          <w:rFonts w:ascii="Arial" w:eastAsia="Arial" w:hAnsi="Arial" w:cs="Arial"/>
          <w:color w:val="000000"/>
          <w:sz w:val="20"/>
        </w:rPr>
        <w:t>, 620 F. Supp. 2d 524, 539 (S.D.N.Y. 2009) (finding that depression may qualify as a disability for purposes of the Americans with Disabilities Act, "provided that the condition is not a 'temporary psychological impairment'"). We will assume, at this stage of the litigation, that plaintiff has a qualifying disability.</w:t>
      </w:r>
    </w:p>
    <w:p w:rsidR="00E456CD" w:rsidRDefault="00000000">
      <w:pPr>
        <w:pStyle w:val="Normal33"/>
        <w:widowControl w:val="0"/>
        <w:spacing w:before="240" w:line="260" w:lineRule="atLeast"/>
      </w:pPr>
      <w:r>
        <w:br/>
      </w:r>
      <w:r>
        <w:rPr>
          <w:rFonts w:ascii="Arial" w:eastAsia="Arial" w:hAnsi="Arial" w:cs="Arial"/>
          <w:b/>
          <w:color w:val="000000"/>
          <w:sz w:val="20"/>
        </w:rPr>
        <w:t xml:space="preserve">B. </w:t>
      </w:r>
      <w:r>
        <w:rPr>
          <w:rFonts w:ascii="Arial" w:eastAsia="Arial" w:hAnsi="Arial" w:cs="Arial"/>
          <w:b/>
          <w:color w:val="000000"/>
          <w:sz w:val="20"/>
          <w:u w:val="single"/>
        </w:rPr>
        <w:t>Plaintiff's Requested Accommodations</w:t>
      </w:r>
    </w:p>
    <w:p w:rsidR="00E456CD" w:rsidRDefault="00000000">
      <w:pPr>
        <w:pStyle w:val="Normal33"/>
        <w:widowControl w:val="0"/>
        <w:spacing w:before="200" w:line="260" w:lineRule="atLeast"/>
        <w:jc w:val="both"/>
      </w:pPr>
      <w:bookmarkStart w:id="5313" w:name="Bookmark_para_16_24"/>
      <w:bookmarkEnd w:id="5313"/>
      <w:r>
        <w:rPr>
          <w:rFonts w:ascii="Arial" w:eastAsia="Arial" w:hAnsi="Arial" w:cs="Arial"/>
          <w:color w:val="000000"/>
          <w:sz w:val="20"/>
        </w:rPr>
        <w:t>In her brief for this appeal, plaintiff challenges the district court's dismissal of her complaint on the issue of whether she has sufficiently [**10]  alleged a qualifying disability in her second amended complaint. The accommodations she seeks reflect the nature of the disability she asserts. Plaintiff has not made any argument in her brief on appeal discussing how the handling of her accommodation requests excluded or limited her access to the state court, or how she was otherwise discriminated against based on her alleged disability.</w:t>
      </w:r>
    </w:p>
    <w:p w:rsidR="00E456CD" w:rsidRDefault="00000000">
      <w:pPr>
        <w:pStyle w:val="Normal33"/>
        <w:widowControl w:val="0"/>
        <w:spacing w:before="200" w:line="260" w:lineRule="atLeast"/>
        <w:jc w:val="both"/>
      </w:pPr>
      <w:bookmarkStart w:id="5314" w:name="Bookmark_para_17_23"/>
      <w:bookmarkStart w:id="5315" w:name="Bookmark_I5RR3V122HM60D0040000400"/>
      <w:bookmarkStart w:id="5316" w:name="Bookmark_LNHNREFclscc8_20"/>
      <w:bookmarkEnd w:id="5314"/>
      <w:bookmarkEnd w:id="5315"/>
      <w:bookmarkEnd w:id="5316"/>
      <w:r>
        <w:rPr>
          <w:rFonts w:ascii="Arial" w:eastAsia="Arial" w:hAnsi="Arial" w:cs="Arial"/>
          <w:color w:val="000000"/>
          <w:sz w:val="20"/>
        </w:rPr>
        <w:t xml:space="preserve">Under Title II of the Americans with Disabilities Act, an individual may assert a claim against a state or its employees for violation of the right of access to the courts. </w:t>
      </w:r>
      <w:bookmarkStart w:id="5317" w:name="Bookmark_I5RR3V122N1RG80010000400"/>
      <w:bookmarkStart w:id="5318" w:name="Bookmark_I5RR3V122HM60D0030000400"/>
      <w:bookmarkEnd w:id="5317"/>
      <w:bookmarkEnd w:id="5318"/>
      <w:r>
        <w:rPr>
          <w:rFonts w:ascii="Arial" w:eastAsia="Arial" w:hAnsi="Arial" w:cs="Arial"/>
          <w:i/>
          <w:color w:val="000000"/>
          <w:sz w:val="20"/>
        </w:rPr>
        <w:t>Tennessee v. Lane</w:t>
      </w:r>
      <w:r>
        <w:rPr>
          <w:rFonts w:ascii="Arial" w:eastAsia="Arial" w:hAnsi="Arial" w:cs="Arial"/>
          <w:color w:val="000000"/>
          <w:sz w:val="20"/>
        </w:rPr>
        <w:t xml:space="preserve">, 541 U.S. at 533-34. </w:t>
      </w:r>
      <w:bookmarkStart w:id="5319" w:name="Bookmark_I5RR3V122N1RG80050000400"/>
      <w:bookmarkEnd w:id="5319"/>
      <w:r>
        <w:rPr>
          <w:rFonts w:ascii="Arial" w:eastAsia="Arial" w:hAnsi="Arial" w:cs="Arial"/>
          <w:color w:val="000000"/>
          <w:sz w:val="20"/>
        </w:rPr>
        <w:t xml:space="preserve">The Disabilities Act requires reasonable accommodations for persons with disabilities, to provide them "an even playing field," but does not require that disabled persons be treated preferentially or necessarily be given the accommodation of their choice. </w:t>
      </w:r>
      <w:bookmarkStart w:id="5320" w:name="Bookmark_I5RR3V122N1RG80050000400_2"/>
      <w:bookmarkStart w:id="5321" w:name="Bookmark_I5RR3V122N1RG80010000400_2"/>
      <w:bookmarkStart w:id="5322" w:name="Bookmark_I5RR3V122N1RG90020000400"/>
      <w:bookmarkStart w:id="5323" w:name="Bookmark_I5RR3V122HM60D0050000400"/>
      <w:bookmarkEnd w:id="5320"/>
      <w:bookmarkEnd w:id="5321"/>
      <w:bookmarkEnd w:id="5322"/>
      <w:bookmarkEnd w:id="5323"/>
      <w:r>
        <w:rPr>
          <w:rFonts w:ascii="Arial" w:eastAsia="Arial" w:hAnsi="Arial" w:cs="Arial"/>
          <w:i/>
          <w:color w:val="000000"/>
          <w:sz w:val="20"/>
        </w:rPr>
        <w:t>Goldblatt v. Geiger</w:t>
      </w:r>
      <w:r>
        <w:rPr>
          <w:rFonts w:ascii="Arial" w:eastAsia="Arial" w:hAnsi="Arial" w:cs="Arial"/>
          <w:color w:val="000000"/>
          <w:sz w:val="20"/>
        </w:rPr>
        <w:t xml:space="preserve">, 867 F. Supp. 2d 201, 210 (D.N.H. 2012) (quoting </w:t>
      </w:r>
      <w:bookmarkStart w:id="5324" w:name="Bookmark_I5RR3V122N1RG80020000400"/>
      <w:bookmarkEnd w:id="5324"/>
      <w:r>
        <w:rPr>
          <w:rFonts w:ascii="Arial" w:eastAsia="Arial" w:hAnsi="Arial" w:cs="Arial"/>
          <w:i/>
          <w:color w:val="000000"/>
          <w:sz w:val="20"/>
        </w:rPr>
        <w:t>Felix v. New York City Transit Auth.</w:t>
      </w:r>
      <w:r>
        <w:rPr>
          <w:rFonts w:ascii="Arial" w:eastAsia="Arial" w:hAnsi="Arial" w:cs="Arial"/>
          <w:color w:val="000000"/>
          <w:sz w:val="20"/>
        </w:rPr>
        <w:t xml:space="preserve">, 324 F.3d 102, 107 (2d Cir. 2003)). </w:t>
      </w:r>
      <w:bookmarkStart w:id="5325" w:name="Bookmark_I5RR3V122N1RG90020000400_2"/>
      <w:bookmarkEnd w:id="5325"/>
      <w:r>
        <w:rPr>
          <w:rFonts w:ascii="Arial" w:eastAsia="Arial" w:hAnsi="Arial" w:cs="Arial"/>
          <w:color w:val="000000"/>
          <w:sz w:val="20"/>
        </w:rPr>
        <w:t xml:space="preserve">In </w:t>
      </w:r>
      <w:r>
        <w:rPr>
          <w:rFonts w:ascii="Arial" w:eastAsia="Arial" w:hAnsi="Arial" w:cs="Arial"/>
          <w:i/>
          <w:color w:val="000000"/>
          <w:sz w:val="20"/>
        </w:rPr>
        <w:t>Lane</w:t>
      </w:r>
      <w:r>
        <w:rPr>
          <w:rFonts w:ascii="Arial" w:eastAsia="Arial" w:hAnsi="Arial" w:cs="Arial"/>
          <w:color w:val="000000"/>
          <w:sz w:val="20"/>
        </w:rPr>
        <w:t xml:space="preserve">, the Supreme Court held that Title II of the Americans with Disabilities Act's "requirement of program accessibility" in the context of the right of access to the courts "unquestionably is valid . . . as it applies to the class of cases implicating the accessibility of judicial services." </w:t>
      </w:r>
      <w:bookmarkStart w:id="5326" w:name="Bookmark_I5RR3V122N1RG80040000400"/>
      <w:bookmarkEnd w:id="5326"/>
      <w:r>
        <w:rPr>
          <w:rFonts w:ascii="Arial" w:eastAsia="Arial" w:hAnsi="Arial" w:cs="Arial"/>
          <w:color w:val="000000"/>
          <w:sz w:val="20"/>
        </w:rPr>
        <w:t xml:space="preserve">541 U.S. at 534. </w:t>
      </w:r>
      <w:bookmarkStart w:id="5327" w:name="Bookmark_I5RR3V122N1RG90020000400_3"/>
      <w:bookmarkEnd w:id="5327"/>
      <w:r>
        <w:rPr>
          <w:rFonts w:ascii="Arial" w:eastAsia="Arial" w:hAnsi="Arial" w:cs="Arial"/>
          <w:color w:val="000000"/>
          <w:sz w:val="20"/>
        </w:rPr>
        <w:t xml:space="preserve">But, as quoted in the introduction to this opinion, </w:t>
      </w:r>
      <w:r>
        <w:rPr>
          <w:rFonts w:ascii="Arial" w:eastAsia="Arial" w:hAnsi="Arial" w:cs="Arial"/>
          <w:i/>
          <w:color w:val="000000"/>
          <w:sz w:val="20"/>
        </w:rPr>
        <w:t>Lane</w:t>
      </w:r>
      <w:r>
        <w:rPr>
          <w:rFonts w:ascii="Arial" w:eastAsia="Arial" w:hAnsi="Arial" w:cs="Arial"/>
          <w:color w:val="000000"/>
          <w:sz w:val="20"/>
        </w:rPr>
        <w:t xml:space="preserve"> cautioned [**11]  that Title II requires only "reasonable modifications that would not fundamentally alter the nature of the service provided," not "to employ any and all means to make judicial services accessible to persons with disabilities." </w:t>
      </w:r>
      <w:bookmarkStart w:id="5328" w:name="Bookmark_I5RR3V122N1RG90010000400"/>
      <w:bookmarkEnd w:id="5328"/>
      <w:r>
        <w:rPr>
          <w:rFonts w:ascii="Arial" w:eastAsia="Arial" w:hAnsi="Arial" w:cs="Arial"/>
          <w:i/>
          <w:color w:val="000000"/>
          <w:sz w:val="20"/>
        </w:rPr>
        <w:t>Id.</w:t>
      </w:r>
      <w:r>
        <w:rPr>
          <w:rFonts w:ascii="Arial" w:eastAsia="Arial" w:hAnsi="Arial" w:cs="Arial"/>
          <w:color w:val="000000"/>
          <w:sz w:val="20"/>
        </w:rPr>
        <w:t xml:space="preserve"> at 531-32 (internal quotation marks omitted).</w:t>
      </w:r>
    </w:p>
    <w:p w:rsidR="00E456CD" w:rsidRDefault="00000000">
      <w:pPr>
        <w:pStyle w:val="Normal33"/>
        <w:widowControl w:val="0"/>
        <w:spacing w:before="200" w:line="260" w:lineRule="atLeast"/>
        <w:jc w:val="both"/>
      </w:pPr>
      <w:bookmarkStart w:id="5329" w:name="Bookmark_para_18_22"/>
      <w:bookmarkEnd w:id="5329"/>
      <w:r>
        <w:rPr>
          <w:rFonts w:ascii="Arial" w:eastAsia="Arial" w:hAnsi="Arial" w:cs="Arial"/>
          <w:color w:val="000000"/>
          <w:sz w:val="20"/>
        </w:rPr>
        <w:t xml:space="preserve">In her second amended complaint, plaintiff enumerated five accommodation requests she submitted to the state court. Plaintiff's primary complaint is focused on the state court's denial of her request to present her case through a "disability advocate." We note that in response to at least one of plaintiff's requests for a disability advocate, plaintiff was directed to file a written motion with the court if she wanted her disability advocate to be present with her when she appeared in court.  [*520]  Plaintiff objected to filing a written motion and apparently did not do so. At the October 1, 2015, show-cause hearing concerning plaintiff's failure to pay certain court-ordered fees, plaintiff did not appear in person and instead sent her "disability advocate" to represent her. Because the person was not a lawyer, the court denied the person permission to speak on plaintiff's behalf because Michigan does not allow the unauthorized practice [**12]  of law. </w:t>
      </w:r>
      <w:r>
        <w:rPr>
          <w:rFonts w:ascii="Arial" w:eastAsia="Arial" w:hAnsi="Arial" w:cs="Arial"/>
          <w:i/>
          <w:color w:val="000000"/>
          <w:sz w:val="20"/>
        </w:rPr>
        <w:t>See</w:t>
      </w:r>
      <w:r>
        <w:rPr>
          <w:rFonts w:ascii="Arial" w:eastAsia="Arial" w:hAnsi="Arial" w:cs="Arial"/>
          <w:color w:val="000000"/>
          <w:sz w:val="20"/>
        </w:rPr>
        <w:t xml:space="preserve"> Mich. Comp. Laws § 600.916(1).</w:t>
      </w:r>
    </w:p>
    <w:p w:rsidR="00E456CD" w:rsidRDefault="00000000">
      <w:pPr>
        <w:pStyle w:val="Normal33"/>
        <w:widowControl w:val="0"/>
        <w:spacing w:before="200" w:line="260" w:lineRule="atLeast"/>
        <w:jc w:val="both"/>
      </w:pPr>
      <w:bookmarkStart w:id="5330" w:name="Bookmark_para_19_21"/>
      <w:bookmarkEnd w:id="5330"/>
      <w:r>
        <w:rPr>
          <w:rFonts w:ascii="Arial" w:eastAsia="Arial" w:hAnsi="Arial" w:cs="Arial"/>
          <w:color w:val="000000"/>
          <w:sz w:val="20"/>
        </w:rPr>
        <w:t xml:space="preserve">As the state court judge ruled, </w:t>
      </w:r>
      <w:bookmarkStart w:id="5331" w:name="Bookmark_LNHNREFclscc9_16"/>
      <w:bookmarkEnd w:id="5331"/>
      <w:r>
        <w:rPr>
          <w:rFonts w:ascii="Arial" w:eastAsia="Arial" w:hAnsi="Arial" w:cs="Arial"/>
          <w:color w:val="000000"/>
          <w:sz w:val="20"/>
        </w:rPr>
        <w:t xml:space="preserve">Michigan law generally prohibits appointment of a nonlawyer to represent a party in state court. Plaintiff points to no authority that would require a court to allow a "disability advocate" to substitute for representation by a lawyer, and she fails to explain why she did not file a written motion requesting her "disability advocate" participate in the proceedings when told this was necessary for the state court to consider her request. </w:t>
      </w:r>
      <w:bookmarkStart w:id="5332" w:name="Bookmark_I65P1M0R91M0003Y2FT00009"/>
      <w:bookmarkStart w:id="5333" w:name="Bookmark_I5RR3V122N1RG90040000400"/>
      <w:bookmarkStart w:id="5334" w:name="Bookmark_LNHNREFclscc10_15"/>
      <w:bookmarkEnd w:id="5332"/>
      <w:bookmarkEnd w:id="5333"/>
      <w:bookmarkEnd w:id="5334"/>
      <w:r>
        <w:rPr>
          <w:rFonts w:ascii="Arial" w:eastAsia="Arial" w:hAnsi="Arial" w:cs="Arial"/>
          <w:color w:val="000000"/>
          <w:sz w:val="20"/>
        </w:rPr>
        <w:t xml:space="preserve">The Americans with Disabilities Act does not require that a state court in a family-court proceeding approve an accommodation that allows a party to present her case through a nonlawyer "disability advocate" in violation of state law when the party did not file a motion as directed. Plaintiff has the same right as all litigants to be assisted in court proceedings by a lawyer or to speak on her own behalf, with or without the assistance of a lawyer. Imposing a federal duty to allow a litigant to act through a "disability advocate" without complying with the state court's requirement to file a written motion on the issue would "fundamentally alter the services" provided by the court in violation of </w:t>
      </w:r>
      <w:bookmarkStart w:id="5335" w:name="Bookmark_I5RR3V122N1RG90030000400"/>
      <w:bookmarkEnd w:id="5335"/>
      <w:r>
        <w:rPr>
          <w:rFonts w:ascii="Arial" w:eastAsia="Arial" w:hAnsi="Arial" w:cs="Arial"/>
          <w:i/>
          <w:color w:val="000000"/>
          <w:sz w:val="20"/>
        </w:rPr>
        <w:t>Lane</w:t>
      </w:r>
      <w:r>
        <w:rPr>
          <w:rFonts w:ascii="Arial" w:eastAsia="Arial" w:hAnsi="Arial" w:cs="Arial"/>
          <w:color w:val="000000"/>
          <w:sz w:val="20"/>
        </w:rPr>
        <w:t xml:space="preserve"> and [**13]  is not a reasonable modification. Plaintiff was not denied access to the court or prevented from participating in the proceeding either </w:t>
      </w:r>
      <w:r>
        <w:rPr>
          <w:rFonts w:ascii="Arial" w:eastAsia="Arial" w:hAnsi="Arial" w:cs="Arial"/>
          <w:i/>
          <w:color w:val="000000"/>
          <w:sz w:val="20"/>
        </w:rPr>
        <w:t>pro se</w:t>
      </w:r>
      <w:r>
        <w:rPr>
          <w:rFonts w:ascii="Arial" w:eastAsia="Arial" w:hAnsi="Arial" w:cs="Arial"/>
          <w:color w:val="000000"/>
          <w:sz w:val="20"/>
        </w:rPr>
        <w:t xml:space="preserve"> or with a lawyer. Plaintiff represented herself competently at numerous points throughout the state-court proceeding. The number of filings made and hearings held in the proceeding belie plaintiff's allegation that she was denied meaningful access to the courts. And the state court did make reasonable modifications to its proceedings in response to plaintiff's other requests.</w:t>
      </w:r>
    </w:p>
    <w:p w:rsidR="00E456CD" w:rsidRDefault="00000000">
      <w:pPr>
        <w:pStyle w:val="Normal33"/>
        <w:widowControl w:val="0"/>
        <w:spacing w:before="200" w:line="260" w:lineRule="atLeast"/>
        <w:jc w:val="both"/>
      </w:pPr>
      <w:bookmarkStart w:id="5336" w:name="Bookmark_para_20_20"/>
      <w:bookmarkEnd w:id="5336"/>
      <w:r>
        <w:rPr>
          <w:rFonts w:ascii="Arial" w:eastAsia="Arial" w:hAnsi="Arial" w:cs="Arial"/>
          <w:color w:val="000000"/>
          <w:sz w:val="20"/>
        </w:rPr>
        <w:t>Even assuming plaintiff had a qualifying disability, she has not alleged facts to show that she was denied access to the state court. In short, construing the second amended complaint, with its allegations accepted as true and all reasonable inferences drawn in her favor, along with consideration of the record in the state court proceeding, plaintiff failed to state a cognizable claim.</w:t>
      </w:r>
    </w:p>
    <w:p w:rsidR="00E456CD" w:rsidRDefault="00000000">
      <w:pPr>
        <w:pStyle w:val="Normal33"/>
        <w:widowControl w:val="0"/>
        <w:spacing w:before="200" w:line="260" w:lineRule="atLeast"/>
        <w:jc w:val="both"/>
      </w:pPr>
      <w:bookmarkStart w:id="5337" w:name="Bookmark_para_21_19"/>
      <w:bookmarkEnd w:id="5337"/>
      <w:r>
        <w:rPr>
          <w:rFonts w:ascii="Arial" w:eastAsia="Arial" w:hAnsi="Arial" w:cs="Arial"/>
          <w:color w:val="000000"/>
          <w:sz w:val="20"/>
        </w:rPr>
        <w:t>For the foregoing reasons, we affirm the judgment of the district court.</w:t>
      </w:r>
    </w:p>
    <w:p w:rsidR="00E456CD" w:rsidRDefault="00E456CD">
      <w:pPr>
        <w:pStyle w:val="Normal33"/>
      </w:pPr>
    </w:p>
    <w:p w:rsidR="00E456CD" w:rsidRDefault="00000000">
      <w:pPr>
        <w:pStyle w:val="Normal33"/>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3094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999471076"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105DE3" id="Line 74"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4"/>
        <w:sectPr w:rsidR="00E456CD">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gutter="0"/>
          <w:cols w:space="720"/>
          <w:titlePg/>
        </w:sectPr>
      </w:pPr>
    </w:p>
    <w:p w:rsidR="00E456CD" w:rsidRDefault="00E456CD">
      <w:pPr>
        <w:pStyle w:val="Normal34"/>
      </w:pPr>
    </w:p>
    <w:p w:rsidR="00E456CD" w:rsidRDefault="00000000">
      <w:pPr>
        <w:pStyle w:val="Heading133"/>
        <w:keepNext w:val="0"/>
        <w:widowControl w:val="0"/>
        <w:spacing w:after="200" w:line="340" w:lineRule="atLeast"/>
        <w:jc w:val="center"/>
      </w:pPr>
      <w:r>
        <w:rPr>
          <w:rFonts w:eastAsia="Arial"/>
          <w:color w:val="000000"/>
          <w:sz w:val="28"/>
        </w:rPr>
        <w:t>Collins v. PRG Real Estate</w:t>
      </w:r>
    </w:p>
    <w:p w:rsidR="00E456CD" w:rsidRDefault="00000000">
      <w:pPr>
        <w:pStyle w:val="Normal34"/>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34"/>
        <w:widowControl w:val="0"/>
        <w:spacing w:before="120" w:line="260" w:lineRule="atLeast"/>
        <w:jc w:val="center"/>
      </w:pPr>
      <w:r>
        <w:rPr>
          <w:rFonts w:ascii="Arial" w:eastAsia="Arial" w:hAnsi="Arial" w:cs="Arial"/>
          <w:color w:val="000000"/>
          <w:sz w:val="20"/>
        </w:rPr>
        <w:t>January 24, 2018, Filed</w:t>
      </w:r>
    </w:p>
    <w:p w:rsidR="00E456CD" w:rsidRDefault="00000000">
      <w:pPr>
        <w:pStyle w:val="Normal34"/>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17-5534</w:t>
      </w:r>
    </w:p>
    <w:p w:rsidR="00E456CD" w:rsidRDefault="00E456CD">
      <w:pPr>
        <w:pStyle w:val="Normal34"/>
        <w:widowControl w:val="0"/>
        <w:spacing w:line="240" w:lineRule="atLeast"/>
        <w:jc w:val="both"/>
      </w:pPr>
      <w:bookmarkStart w:id="5338" w:name="Bookmark_35"/>
      <w:bookmarkEnd w:id="5338"/>
    </w:p>
    <w:p w:rsidR="00E456CD" w:rsidRDefault="00000000">
      <w:pPr>
        <w:pStyle w:val="Normal34"/>
        <w:widowControl w:val="0"/>
        <w:spacing w:before="200" w:line="240" w:lineRule="atLeast"/>
      </w:pPr>
      <w:bookmarkStart w:id="5339" w:name="Reporter_33"/>
      <w:bookmarkEnd w:id="5339"/>
      <w:r>
        <w:rPr>
          <w:rFonts w:ascii="Arial" w:eastAsia="Arial" w:hAnsi="Arial" w:cs="Arial"/>
          <w:b/>
          <w:color w:val="000000"/>
          <w:sz w:val="18"/>
        </w:rPr>
        <w:t>Reporter</w:t>
      </w:r>
    </w:p>
    <w:p w:rsidR="00E456CD" w:rsidRDefault="00000000">
      <w:pPr>
        <w:pStyle w:val="Normal34"/>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2018 U.S. App. LEXIS 1878 *</w:t>
      </w:r>
    </w:p>
    <w:p w:rsidR="00E456CD" w:rsidRDefault="00000000">
      <w:pPr>
        <w:pStyle w:val="Normal34"/>
        <w:widowControl w:val="0"/>
        <w:spacing w:before="120" w:line="260" w:lineRule="atLeast"/>
      </w:pPr>
      <w:r>
        <w:rPr>
          <w:rFonts w:ascii="Arial" w:eastAsia="Arial" w:hAnsi="Arial" w:cs="Arial"/>
          <w:color w:val="000000"/>
          <w:sz w:val="20"/>
        </w:rPr>
        <w:t>STEPHEN H. COLLINS, Plaintiff-Appellant, v. PRG REAL ESTATE; RIVER OAKS APARTMENTS; NEW RIVER OAK ASSOCIATES, LLC, Defendants-Appellees.</w:t>
      </w:r>
    </w:p>
    <w:p w:rsidR="00E456CD" w:rsidRDefault="00000000">
      <w:pPr>
        <w:pStyle w:val="Normal34"/>
        <w:widowControl w:val="0"/>
        <w:spacing w:before="240" w:line="260" w:lineRule="atLeast"/>
        <w:jc w:val="both"/>
      </w:pPr>
      <w:bookmarkStart w:id="5340" w:name="Notice_17"/>
      <w:bookmarkEnd w:id="5340"/>
      <w:r>
        <w:rPr>
          <w:rFonts w:ascii="Arial" w:eastAsia="Arial" w:hAnsi="Arial" w:cs="Arial"/>
          <w:b/>
          <w:color w:val="000000"/>
          <w:sz w:val="20"/>
        </w:rPr>
        <w:t>Notice:</w:t>
      </w:r>
      <w:r>
        <w:rPr>
          <w:rFonts w:ascii="Arial" w:eastAsia="Arial" w:hAnsi="Arial" w:cs="Arial"/>
          <w:color w:val="000000"/>
          <w:sz w:val="20"/>
        </w:rPr>
        <w:t> </w:t>
      </w:r>
      <w:bookmarkStart w:id="5341" w:name="Bookmark_para_1_33"/>
      <w:bookmarkEnd w:id="5341"/>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34"/>
        <w:widowControl w:val="0"/>
        <w:spacing w:before="240" w:line="260" w:lineRule="atLeast"/>
      </w:pPr>
      <w:bookmarkStart w:id="5342" w:name="Subsequent_History_13"/>
      <w:bookmarkEnd w:id="5342"/>
      <w:r>
        <w:rPr>
          <w:rFonts w:ascii="Arial" w:eastAsia="Arial" w:hAnsi="Arial" w:cs="Arial"/>
          <w:b/>
          <w:color w:val="000000"/>
          <w:sz w:val="20"/>
        </w:rPr>
        <w:t>Subsequent History:</w:t>
      </w:r>
      <w:r>
        <w:rPr>
          <w:rFonts w:ascii="Arial" w:eastAsia="Arial" w:hAnsi="Arial" w:cs="Arial"/>
          <w:color w:val="000000"/>
          <w:sz w:val="20"/>
        </w:rPr>
        <w:t> Opinion withdrawn by, 01/29/2018</w:t>
      </w:r>
    </w:p>
    <w:p w:rsidR="00E456CD" w:rsidRDefault="00000000">
      <w:pPr>
        <w:pStyle w:val="Normal34"/>
        <w:widowControl w:val="0"/>
        <w:spacing w:before="120" w:line="260" w:lineRule="atLeast"/>
      </w:pPr>
      <w:r>
        <w:rPr>
          <w:rFonts w:ascii="Arial" w:eastAsia="Arial" w:hAnsi="Arial" w:cs="Arial"/>
          <w:color w:val="000000"/>
          <w:sz w:val="20"/>
        </w:rPr>
        <w:t>Substituted opinion at Collins v. PRG Real Estate, 2018 U.S. App. LEXIS 8592 (6th Cir. Ky., Apr. 4, 2018)</w:t>
      </w:r>
    </w:p>
    <w:p w:rsidR="00E456CD" w:rsidRDefault="00000000">
      <w:pPr>
        <w:pStyle w:val="Normal34"/>
        <w:widowControl w:val="0"/>
        <w:spacing w:before="240" w:line="260" w:lineRule="atLeast"/>
        <w:jc w:val="both"/>
      </w:pPr>
      <w:bookmarkStart w:id="5343" w:name="Prior_History_33"/>
      <w:bookmarkEnd w:id="5343"/>
      <w:r>
        <w:rPr>
          <w:rFonts w:ascii="Arial" w:eastAsia="Arial" w:hAnsi="Arial" w:cs="Arial"/>
          <w:b/>
          <w:color w:val="000000"/>
          <w:sz w:val="20"/>
        </w:rPr>
        <w:t>Prior History:</w:t>
      </w:r>
      <w:r>
        <w:rPr>
          <w:rFonts w:ascii="Arial" w:eastAsia="Arial" w:hAnsi="Arial" w:cs="Arial"/>
          <w:color w:val="000000"/>
          <w:sz w:val="20"/>
        </w:rPr>
        <w:t> </w:t>
      </w:r>
      <w:bookmarkStart w:id="5344" w:name="Bookmark_para_2_33"/>
      <w:bookmarkEnd w:id="5344"/>
      <w:r>
        <w:rPr>
          <w:rFonts w:ascii="Arial" w:eastAsia="Arial" w:hAnsi="Arial" w:cs="Arial"/>
          <w:color w:val="000000"/>
          <w:sz w:val="20"/>
        </w:rPr>
        <w:t> [*1] ON APPEAL FROM THE UNITED STATES DISTRICT COURT FOR THE WESTERN DISTRICT OF KENTUCKY.</w:t>
      </w:r>
    </w:p>
    <w:p w:rsidR="00E456CD" w:rsidRDefault="00000000">
      <w:pPr>
        <w:pStyle w:val="Normal34"/>
        <w:widowControl w:val="0"/>
        <w:spacing w:before="120" w:line="260" w:lineRule="atLeast"/>
      </w:pPr>
      <w:r>
        <w:rPr>
          <w:rFonts w:ascii="Arial" w:eastAsia="Arial" w:hAnsi="Arial" w:cs="Arial"/>
          <w:color w:val="000000"/>
          <w:sz w:val="20"/>
        </w:rPr>
        <w:t>Collins v. PRG Real Estate, 2017 U.S. Dist. LEXIS 43961 (W.D. Ky., Mar. 27, 2017)</w:t>
      </w:r>
    </w:p>
    <w:p w:rsidR="00E456CD" w:rsidRDefault="00000000">
      <w:pPr>
        <w:pStyle w:val="Normal34"/>
        <w:widowControl w:val="0"/>
        <w:spacing w:before="240" w:line="260" w:lineRule="atLeast"/>
      </w:pPr>
      <w:bookmarkStart w:id="5345" w:name="Counsel_33"/>
      <w:bookmarkEnd w:id="5345"/>
      <w:r>
        <w:rPr>
          <w:rFonts w:ascii="Arial" w:eastAsia="Arial" w:hAnsi="Arial" w:cs="Arial"/>
          <w:b/>
          <w:color w:val="000000"/>
          <w:sz w:val="20"/>
        </w:rPr>
        <w:t>Counsel:</w:t>
      </w:r>
      <w:r>
        <w:rPr>
          <w:rFonts w:ascii="Arial" w:eastAsia="Arial" w:hAnsi="Arial" w:cs="Arial"/>
          <w:color w:val="000000"/>
          <w:sz w:val="20"/>
        </w:rPr>
        <w:t> For Stephen H. Collins, Plaintiff - Appellant: Joshua D. Farley, Farley &amp; Associates, Louisville, KY.</w:t>
      </w:r>
    </w:p>
    <w:p w:rsidR="00E456CD" w:rsidRDefault="00000000">
      <w:pPr>
        <w:pStyle w:val="Normal34"/>
        <w:widowControl w:val="0"/>
        <w:spacing w:before="120" w:line="260" w:lineRule="atLeast"/>
      </w:pPr>
      <w:r>
        <w:rPr>
          <w:rFonts w:ascii="Arial" w:eastAsia="Arial" w:hAnsi="Arial" w:cs="Arial"/>
          <w:color w:val="000000"/>
          <w:sz w:val="20"/>
        </w:rPr>
        <w:t>For Prg Real Estate, River Oaks Apartments, New River Oak Associates, Llc, Defendants - Appellees: Katherine A. Garbarino, Fisher &amp; Phillips, Louisville, KY.</w:t>
      </w:r>
    </w:p>
    <w:p w:rsidR="00E456CD" w:rsidRDefault="00000000">
      <w:pPr>
        <w:pStyle w:val="Normal34"/>
        <w:widowControl w:val="0"/>
        <w:spacing w:before="240" w:line="260" w:lineRule="atLeast"/>
      </w:pPr>
      <w:bookmarkStart w:id="5346" w:name="Judges_33"/>
      <w:bookmarkEnd w:id="5346"/>
      <w:r>
        <w:rPr>
          <w:rFonts w:ascii="Arial" w:eastAsia="Arial" w:hAnsi="Arial" w:cs="Arial"/>
          <w:b/>
          <w:color w:val="000000"/>
          <w:sz w:val="20"/>
        </w:rPr>
        <w:t>Judges:</w:t>
      </w:r>
      <w:r>
        <w:rPr>
          <w:rFonts w:ascii="Arial" w:eastAsia="Arial" w:hAnsi="Arial" w:cs="Arial"/>
          <w:color w:val="000000"/>
          <w:sz w:val="20"/>
        </w:rPr>
        <w:t> Before: BATCHELDER, GIBBONS, and WHITE, Circuit Judges.</w:t>
      </w:r>
    </w:p>
    <w:p w:rsidR="00E456CD" w:rsidRDefault="00000000">
      <w:pPr>
        <w:pStyle w:val="Normal34"/>
        <w:keepNext/>
        <w:widowControl w:val="0"/>
        <w:spacing w:before="240" w:line="340" w:lineRule="atLeast"/>
      </w:pPr>
      <w:bookmarkStart w:id="5347" w:name="Opinion_33"/>
      <w:bookmarkEnd w:id="5347"/>
      <w:r>
        <w:rPr>
          <w:rFonts w:ascii="Arial" w:eastAsia="Arial" w:hAnsi="Arial" w:cs="Arial"/>
          <w:b/>
          <w:color w:val="000000"/>
          <w:sz w:val="28"/>
        </w:rPr>
        <w:t>Opinion</w:t>
      </w:r>
    </w:p>
    <w:p w:rsidR="00E456CD" w:rsidRDefault="00E22289">
      <w:pPr>
        <w:pStyle w:val="Normal34"/>
        <w:spacing w:line="60" w:lineRule="exact"/>
      </w:pPr>
      <w:r>
        <w:rPr>
          <w:noProof/>
        </w:rPr>
        <mc:AlternateContent>
          <mc:Choice Requires="wps">
            <w:drawing>
              <wp:anchor distT="0" distB="0" distL="114300" distR="114300" simplePos="0" relativeHeight="25173196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01948693"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7ED58" id="Line 75"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4"/>
        <w:spacing w:line="120" w:lineRule="exact"/>
      </w:pPr>
    </w:p>
    <w:p w:rsidR="00E456CD" w:rsidRDefault="00000000">
      <w:pPr>
        <w:pStyle w:val="Normal34"/>
        <w:widowControl w:val="0"/>
        <w:spacing w:before="240" w:line="260" w:lineRule="atLeast"/>
      </w:pPr>
      <w:r>
        <w:br/>
      </w:r>
      <w:r>
        <w:rPr>
          <w:rFonts w:ascii="Arial" w:eastAsia="Arial" w:hAnsi="Arial" w:cs="Arial"/>
          <w:color w:val="000000"/>
          <w:sz w:val="20"/>
          <w:u w:val="single"/>
        </w:rPr>
        <w:t>ORDER</w:t>
      </w:r>
    </w:p>
    <w:p w:rsidR="00E456CD" w:rsidRDefault="00000000">
      <w:pPr>
        <w:pStyle w:val="Normal34"/>
        <w:widowControl w:val="0"/>
        <w:spacing w:before="200" w:line="260" w:lineRule="atLeast"/>
        <w:jc w:val="both"/>
      </w:pPr>
      <w:bookmarkStart w:id="5348" w:name="Bookmark_para_3_33"/>
      <w:bookmarkEnd w:id="5348"/>
      <w:r>
        <w:rPr>
          <w:rFonts w:ascii="Arial" w:eastAsia="Arial" w:hAnsi="Arial" w:cs="Arial"/>
          <w:color w:val="000000"/>
          <w:sz w:val="20"/>
        </w:rPr>
        <w:t xml:space="preserve">Stephen H. Collins, proceeding through counsel, appeals the district court's judgment for the defendants, PRG Real Estate and New River Oak Associates, LLC, in his action filed pursuant to the Americans with Disabilities Act ("ADA"), 42 U.S.C. § 12101, </w:t>
      </w:r>
      <w:r>
        <w:rPr>
          <w:rFonts w:ascii="Arial" w:eastAsia="Arial" w:hAnsi="Arial" w:cs="Arial"/>
          <w:i/>
          <w:color w:val="000000"/>
          <w:sz w:val="20"/>
        </w:rPr>
        <w:t>et seq.</w:t>
      </w:r>
      <w:r>
        <w:rPr>
          <w:rFonts w:ascii="Arial" w:eastAsia="Arial" w:hAnsi="Arial" w:cs="Arial"/>
          <w:color w:val="000000"/>
          <w:sz w:val="20"/>
        </w:rPr>
        <w:t xml:space="preserve">, and the Fair Housing Act ("FHA"), 42 U.S.C. § 3601, </w:t>
      </w:r>
      <w:r>
        <w:rPr>
          <w:rFonts w:ascii="Arial" w:eastAsia="Arial" w:hAnsi="Arial" w:cs="Arial"/>
          <w:i/>
          <w:color w:val="000000"/>
          <w:sz w:val="20"/>
        </w:rPr>
        <w:t>et seq.</w:t>
      </w:r>
      <w:r>
        <w:rPr>
          <w:rFonts w:ascii="Arial" w:eastAsia="Arial" w:hAnsi="Arial" w:cs="Arial"/>
          <w:color w:val="000000"/>
          <w:sz w:val="20"/>
        </w:rPr>
        <w:t xml:space="preserve"> The parties have waived oral argument, and this panel unanimously agrees that oral argument is not needed. </w:t>
      </w:r>
      <w:r>
        <w:rPr>
          <w:rFonts w:ascii="Arial" w:eastAsia="Arial" w:hAnsi="Arial" w:cs="Arial"/>
          <w:i/>
          <w:color w:val="000000"/>
          <w:sz w:val="20"/>
        </w:rPr>
        <w:t>See</w:t>
      </w:r>
      <w:r>
        <w:rPr>
          <w:rFonts w:ascii="Arial" w:eastAsia="Arial" w:hAnsi="Arial" w:cs="Arial"/>
          <w:color w:val="000000"/>
          <w:sz w:val="20"/>
        </w:rPr>
        <w:t xml:space="preserve"> Fed. R. App. P. 34(a).</w:t>
      </w:r>
    </w:p>
    <w:p w:rsidR="00E456CD" w:rsidRDefault="00000000">
      <w:pPr>
        <w:pStyle w:val="Normal34"/>
        <w:widowControl w:val="0"/>
        <w:spacing w:before="200" w:line="260" w:lineRule="atLeast"/>
        <w:jc w:val="both"/>
      </w:pPr>
      <w:bookmarkStart w:id="5349" w:name="Bookmark_para_4_33"/>
      <w:bookmarkEnd w:id="5349"/>
      <w:r>
        <w:rPr>
          <w:rFonts w:ascii="Arial" w:eastAsia="Arial" w:hAnsi="Arial" w:cs="Arial"/>
          <w:color w:val="000000"/>
          <w:sz w:val="20"/>
        </w:rPr>
        <w:t>Collins is a former tenant of River Oaks Apartments ("River Oaks"), which is an apartment complex that the defendants own and operate in Louisville, Kentucky. He was diagnosed with a lower back injury in 1995 and receives disability payments from the Social Security Administration as a result of his condition. In June 2013, Collins requested an accessible parking space near his unit. Collins alleged that the defendants [*2]  "did not immediately accommodate this request and only after the parking lot was re-paved on or about November of 2014 was a handicapped parking space marked with paint on the pavement." Collins also alleged that he made a request for accommodation in October 2013, citing his difficulty climbing the stairs and grasping the hand rails that led to his second floor unit. Collins alleged that the defendants "refused to take steps to reasonably accommodate [his] request." Collins had a total knee replacement performed in 2014, after which he claimed that he notified the defendants "of the extreme difficulty, pain, and inconvenience" he encountered from climbing the stairs to his unit. Collins alleged that the defendants "refused to take any steps to accommodate his disability." Collins then informed the defendants that, because he was unable to access his unit due to his disabilities, he was prematurely terminating his lease and moving to another apartment complex that could accommodate him. The defendants informed Collins that a first floor unit would be available in four months' time. Despite this, Collins moved out of River Oaks. Collins alleged that the defendants attempted to collect [*3]  the remaining rent and subsequently reported his failure to pay rent to credit reporting agencies.</w:t>
      </w:r>
    </w:p>
    <w:p w:rsidR="00E456CD" w:rsidRDefault="00000000">
      <w:pPr>
        <w:pStyle w:val="Normal34"/>
        <w:widowControl w:val="0"/>
        <w:spacing w:before="200" w:line="260" w:lineRule="atLeast"/>
        <w:jc w:val="both"/>
      </w:pPr>
      <w:bookmarkStart w:id="5350" w:name="Bookmark_para_5_33"/>
      <w:bookmarkEnd w:id="5350"/>
      <w:r>
        <w:rPr>
          <w:rFonts w:ascii="Arial" w:eastAsia="Arial" w:hAnsi="Arial" w:cs="Arial"/>
          <w:color w:val="000000"/>
          <w:sz w:val="20"/>
        </w:rPr>
        <w:t>In 2014, Collins filed a pro se complaint alleging that the defendants violated Title III of the ADA and failed to provide a reasonable accommodation under the FHA. The defendants denied the allegations set forth in Collins's complaint. The defendants thereafter filed a partial motion to dismiss Collins's ADA claims pursuant to Federal Rule of Civil Procedure 12(b)(6) for failure to state a claim upon which relief can be granted. Specifically, the defendants argued that Title III of the ADA was inapplicable to the defendants' residential facility because it was not a place of public accommodation within the meaning of the Act. Collins filed a response in opposition to the defendants' motion to dismiss, in which he argued that, although Title III of the ADA does not apply to strictly residential facilities, it does cover places of public accommodation within residential facilities, such as a leasing office and parking spaces. The district court granted the defendants' motion to partially dismiss after concluding that Title III of the ADA does not apply to apartments or parking spaces in residential facilities.</w:t>
      </w:r>
    </w:p>
    <w:p w:rsidR="00E456CD" w:rsidRDefault="00000000">
      <w:pPr>
        <w:pStyle w:val="Normal34"/>
        <w:widowControl w:val="0"/>
        <w:spacing w:before="200" w:line="260" w:lineRule="atLeast"/>
        <w:jc w:val="both"/>
      </w:pPr>
      <w:bookmarkStart w:id="5351" w:name="Bookmark_para_6_33"/>
      <w:bookmarkEnd w:id="5351"/>
      <w:r>
        <w:rPr>
          <w:rFonts w:ascii="Arial" w:eastAsia="Arial" w:hAnsi="Arial" w:cs="Arial"/>
          <w:color w:val="000000"/>
          <w:sz w:val="20"/>
        </w:rPr>
        <w:t>In 2016, Collins, [*4]  now proceeding through counsel, filed an amended complaint alleging that the defendants: (1) failed to reasonably accommodate his disability in violation of 42 U.S.C. § 3604(f)(3); and (2) retaliated against him for exercising his rights under the FHA in violation of 42 U.S.C. § 3617. The defendants thereafter filed a "Motion to dismiss or, in the alternative, Motion for summary judgment." Collins filed a brief in opposition to the defendants' motion. The district court treated the defendants' motion as one for summary judgment, granted the defendants' motion, and dismissed Collins's complaint with prejudice. Collins timely appealed.</w:t>
      </w:r>
    </w:p>
    <w:p w:rsidR="00E456CD" w:rsidRDefault="00000000">
      <w:pPr>
        <w:pStyle w:val="Normal34"/>
        <w:widowControl w:val="0"/>
        <w:spacing w:before="200" w:line="260" w:lineRule="atLeast"/>
        <w:jc w:val="both"/>
      </w:pPr>
      <w:bookmarkStart w:id="5352" w:name="Bookmark_para_7_32"/>
      <w:bookmarkEnd w:id="5352"/>
      <w:r>
        <w:rPr>
          <w:rFonts w:ascii="Arial" w:eastAsia="Arial" w:hAnsi="Arial" w:cs="Arial"/>
          <w:color w:val="000000"/>
          <w:sz w:val="20"/>
        </w:rPr>
        <w:t>Collins advances two arguments on appeal. First, he argues that the district court erred by granting the defendants' Rule 12(b)(6) motion to dismiss his ADA claims. Specifically, Collins contends that the publicly accessible areas on River Oaks' premises are places of public accommodation within the meaning of the ADA. Second, Collins argues that the district court erred by granting the defendants' motion for summary judgment on his FHA claims by failing to analyze his claims under § 3604(f)(3)(A) and (B).</w:t>
      </w:r>
    </w:p>
    <w:p w:rsidR="00E456CD" w:rsidRDefault="00000000">
      <w:pPr>
        <w:pStyle w:val="Normal34"/>
        <w:widowControl w:val="0"/>
        <w:spacing w:before="200" w:line="260" w:lineRule="atLeast"/>
        <w:jc w:val="both"/>
      </w:pPr>
      <w:bookmarkStart w:id="5353" w:name="Bookmark_para_8_32"/>
      <w:bookmarkStart w:id="5354" w:name="Bookmark_I5RP263F28T4S40020000400"/>
      <w:bookmarkStart w:id="5355" w:name="Bookmark_I5RP263F28T4S40040000400"/>
      <w:bookmarkStart w:id="5356" w:name="Bookmark_LNHNREFclscc1_29"/>
      <w:bookmarkEnd w:id="5353"/>
      <w:bookmarkEnd w:id="5354"/>
      <w:bookmarkEnd w:id="5355"/>
      <w:bookmarkEnd w:id="5356"/>
      <w:r>
        <w:rPr>
          <w:rFonts w:ascii="Arial" w:eastAsia="Arial" w:hAnsi="Arial" w:cs="Arial"/>
          <w:color w:val="000000"/>
          <w:sz w:val="20"/>
        </w:rPr>
        <w:t xml:space="preserve">We review de novo a district court's grant of a motion to dismiss. </w:t>
      </w:r>
      <w:bookmarkStart w:id="5357" w:name="Bookmark_I5RP263F28T4S40010000400"/>
      <w:bookmarkEnd w:id="5357"/>
      <w:r>
        <w:rPr>
          <w:rFonts w:ascii="Arial" w:eastAsia="Arial" w:hAnsi="Arial" w:cs="Arial"/>
          <w:i/>
          <w:color w:val="000000"/>
          <w:sz w:val="20"/>
        </w:rPr>
        <w:t>Top Flight Entm't, Ltd. v. Schuette</w:t>
      </w:r>
      <w:r>
        <w:rPr>
          <w:rFonts w:ascii="Arial" w:eastAsia="Arial" w:hAnsi="Arial" w:cs="Arial"/>
          <w:color w:val="000000"/>
          <w:sz w:val="20"/>
        </w:rPr>
        <w:t xml:space="preserve">, 729 F.3d 623, 630 (6th Cir. 2013). </w:t>
      </w:r>
      <w:bookmarkStart w:id="5358" w:name="Bookmark_I5RP263F2HM6N60030000400"/>
      <w:bookmarkEnd w:id="5358"/>
      <w:r>
        <w:rPr>
          <w:rFonts w:ascii="Arial" w:eastAsia="Arial" w:hAnsi="Arial" w:cs="Arial"/>
          <w:color w:val="000000"/>
          <w:sz w:val="20"/>
        </w:rPr>
        <w:t xml:space="preserve">Rule 12(b)(6) permits dismissal for "failure to state a claim [*5]  upon which relief can be granted." We construe the complaint in the light most favorable to the plaintiff and determine whether the complaint "contain[s] sufficient factual matter, accepted as true, to 'state a claim to relief that is plausible on its face.'" </w:t>
      </w:r>
      <w:bookmarkStart w:id="5359" w:name="Bookmark_I5RP263F28T4S40030000400"/>
      <w:bookmarkEnd w:id="5359"/>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(quoting </w:t>
      </w:r>
      <w:bookmarkStart w:id="5360" w:name="Bookmark_I5RP263F28T4S40050000400"/>
      <w:bookmarkEnd w:id="5360"/>
      <w:r>
        <w:rPr>
          <w:rFonts w:ascii="Arial" w:eastAsia="Arial" w:hAnsi="Arial" w:cs="Arial"/>
          <w:i/>
          <w:color w:val="000000"/>
          <w:sz w:val="20"/>
        </w:rPr>
        <w:t>Bell Atl. Corp. v. Twombly</w:t>
      </w:r>
      <w:r>
        <w:rPr>
          <w:rFonts w:ascii="Arial" w:eastAsia="Arial" w:hAnsi="Arial" w:cs="Arial"/>
          <w:color w:val="000000"/>
          <w:sz w:val="20"/>
        </w:rPr>
        <w:t xml:space="preserve">, 550 U.S. 544, 570, 127 S. Ct. 1955, 167 L. Ed. 2d 929 (2007)). </w:t>
      </w:r>
      <w:bookmarkStart w:id="5361" w:name="Bookmark_I5RP263F2HM6N60030000400_2"/>
      <w:bookmarkEnd w:id="5361"/>
      <w:r>
        <w:rPr>
          <w:rFonts w:ascii="Arial" w:eastAsia="Arial" w:hAnsi="Arial" w:cs="Arial"/>
          <w:color w:val="000000"/>
          <w:sz w:val="20"/>
        </w:rPr>
        <w:t xml:space="preserve">We are not required, however, to accept as true legal conclusions couched as factual allegations. </w:t>
      </w:r>
      <w:bookmarkStart w:id="5362" w:name="Bookmark_I5RP263F2HM6N60050000400"/>
      <w:bookmarkEnd w:id="5362"/>
      <w:r>
        <w:rPr>
          <w:rFonts w:ascii="Arial" w:eastAsia="Arial" w:hAnsi="Arial" w:cs="Arial"/>
          <w:i/>
          <w:color w:val="000000"/>
          <w:sz w:val="20"/>
        </w:rPr>
        <w:t xml:space="preserve">See </w:t>
      </w:r>
      <w:bookmarkStart w:id="5363" w:name="Bookmark_I5RP263F2HM6N60020000400"/>
      <w:bookmarkEnd w:id="5363"/>
      <w:r>
        <w:rPr>
          <w:rFonts w:ascii="Arial" w:eastAsia="Arial" w:hAnsi="Arial" w:cs="Arial"/>
          <w:i/>
          <w:color w:val="000000"/>
          <w:sz w:val="20"/>
        </w:rPr>
        <w:t>Twombly</w:t>
      </w:r>
      <w:r>
        <w:rPr>
          <w:rFonts w:ascii="Arial" w:eastAsia="Arial" w:hAnsi="Arial" w:cs="Arial"/>
          <w:color w:val="000000"/>
          <w:sz w:val="20"/>
        </w:rPr>
        <w:t>, 550 U.S. at 555.</w:t>
      </w:r>
    </w:p>
    <w:p w:rsidR="00E456CD" w:rsidRDefault="00000000">
      <w:pPr>
        <w:pStyle w:val="Normal34"/>
        <w:widowControl w:val="0"/>
        <w:spacing w:line="260" w:lineRule="atLeast"/>
        <w:ind w:left="400"/>
        <w:jc w:val="both"/>
      </w:pPr>
      <w:bookmarkStart w:id="5364" w:name="Bookmark_para_9_32"/>
      <w:bookmarkStart w:id="5365" w:name="Bookmark_I5RP263F2HM6N60050000400_2"/>
      <w:bookmarkStart w:id="5366" w:name="Bookmark_LNHNREFclscc2_29"/>
      <w:bookmarkEnd w:id="5364"/>
      <w:bookmarkEnd w:id="5365"/>
      <w:bookmarkEnd w:id="5366"/>
      <w:r>
        <w:rPr>
          <w:rFonts w:ascii="Arial" w:eastAsia="Arial" w:hAnsi="Arial" w:cs="Arial"/>
          <w:color w:val="000000"/>
          <w:sz w:val="20"/>
        </w:rPr>
        <w:t>Title III of the ADA prohibits a place of public accommodation from discriminating against disabled individuals and states that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p w:rsidR="00E456CD" w:rsidRDefault="00000000">
      <w:pPr>
        <w:pStyle w:val="Normal34"/>
        <w:widowControl w:val="0"/>
        <w:spacing w:before="200" w:line="260" w:lineRule="atLeast"/>
        <w:jc w:val="both"/>
      </w:pPr>
      <w:bookmarkStart w:id="5367" w:name="Bookmark_I5RP263F2HM6N60050000400_3"/>
      <w:bookmarkStart w:id="5368" w:name="Bookmark_I5RP263F28T4S50020000400"/>
      <w:bookmarkStart w:id="5369" w:name="Bookmark_I5RP263F2HM6N60040000400"/>
      <w:bookmarkEnd w:id="5367"/>
      <w:bookmarkEnd w:id="5368"/>
      <w:bookmarkEnd w:id="5369"/>
      <w:r>
        <w:rPr>
          <w:rFonts w:ascii="Arial" w:eastAsia="Arial" w:hAnsi="Arial" w:cs="Arial"/>
          <w:i/>
          <w:color w:val="000000"/>
          <w:sz w:val="20"/>
        </w:rPr>
        <w:t>Smith v. Moorman</w:t>
      </w:r>
      <w:r>
        <w:rPr>
          <w:rFonts w:ascii="Arial" w:eastAsia="Arial" w:hAnsi="Arial" w:cs="Arial"/>
          <w:color w:val="000000"/>
          <w:sz w:val="20"/>
        </w:rPr>
        <w:t xml:space="preserve">, 47 F. App'x 755, 756 (6th Cir. 2002) (quoting 42 U.S.C. § 12182(a)). </w:t>
      </w:r>
      <w:bookmarkStart w:id="5370" w:name="Bookmark_I5RP263F28T4S50020000400_2"/>
      <w:bookmarkStart w:id="5371" w:name="Bookmark_I5RP263F28T4S50040000400"/>
      <w:bookmarkEnd w:id="5370"/>
      <w:bookmarkEnd w:id="5371"/>
      <w:r>
        <w:rPr>
          <w:rFonts w:ascii="Arial" w:eastAsia="Arial" w:hAnsi="Arial" w:cs="Arial"/>
          <w:color w:val="000000"/>
          <w:sz w:val="20"/>
        </w:rPr>
        <w:t xml:space="preserve">"Place of public accommodation" is defined as "a facility operated by a private entity whose operations affect commerce and fall within at least one of" twelve specified categories, including "an inn, hotel, motel, or other place of lodging." 28 C.F.R. § 36.104; 42 U.S.C. § 12181(7)(A). "'Facility,' in turn, is defined as 'all or any portion of buildings, structures, sites, complexes, equipment, rolling stock [*6]  or other conveyances, roads, walks, passageways, parking lots, or other real or personal property, including the site where the building, property, structure, or equipment is located.'" </w:t>
      </w:r>
      <w:bookmarkStart w:id="5372" w:name="Bookmark_I5RP263F28T4S50010000400"/>
      <w:bookmarkEnd w:id="5372"/>
      <w:r>
        <w:rPr>
          <w:rFonts w:ascii="Arial" w:eastAsia="Arial" w:hAnsi="Arial" w:cs="Arial"/>
          <w:i/>
          <w:color w:val="000000"/>
          <w:sz w:val="20"/>
        </w:rPr>
        <w:t>Stoutenborough v. Nat'l Football League, Inc.</w:t>
      </w:r>
      <w:r>
        <w:rPr>
          <w:rFonts w:ascii="Arial" w:eastAsia="Arial" w:hAnsi="Arial" w:cs="Arial"/>
          <w:color w:val="000000"/>
          <w:sz w:val="20"/>
        </w:rPr>
        <w:t xml:space="preserve">, 59 F.3d 580, 583 (6th Cir. 1995) (quoting 28 C.F.R. § 36.104). </w:t>
      </w:r>
      <w:bookmarkStart w:id="5373" w:name="Bookmark_I5RP263F28T4S50040000400_2"/>
      <w:bookmarkEnd w:id="5373"/>
      <w:r>
        <w:rPr>
          <w:rFonts w:ascii="Arial" w:eastAsia="Arial" w:hAnsi="Arial" w:cs="Arial"/>
          <w:color w:val="000000"/>
          <w:sz w:val="20"/>
        </w:rPr>
        <w:t xml:space="preserve">At least one federal circuit and several federal district courts have observed that residential facilities do not qualify as "public accommodations" for purposes of the ADA. </w:t>
      </w:r>
      <w:r>
        <w:rPr>
          <w:rFonts w:ascii="Arial" w:eastAsia="Arial" w:hAnsi="Arial" w:cs="Arial"/>
          <w:i/>
          <w:color w:val="000000"/>
          <w:sz w:val="20"/>
        </w:rPr>
        <w:t xml:space="preserve">See </w:t>
      </w:r>
      <w:bookmarkStart w:id="5374" w:name="Bookmark_I5RP263F28T4S50030000400"/>
      <w:bookmarkEnd w:id="5374"/>
      <w:r>
        <w:rPr>
          <w:rFonts w:ascii="Arial" w:eastAsia="Arial" w:hAnsi="Arial" w:cs="Arial"/>
          <w:i/>
          <w:color w:val="000000"/>
          <w:sz w:val="20"/>
        </w:rPr>
        <w:t>Regents of Mercersburg Coll. v. Republic Franklin Ins. Co.</w:t>
      </w:r>
      <w:r>
        <w:rPr>
          <w:rFonts w:ascii="Arial" w:eastAsia="Arial" w:hAnsi="Arial" w:cs="Arial"/>
          <w:color w:val="000000"/>
          <w:sz w:val="20"/>
        </w:rPr>
        <w:t xml:space="preserve">, 458 F.3d 159, 165 n.8 (3d Cir. 2006); </w:t>
      </w:r>
      <w:bookmarkStart w:id="5375" w:name="Bookmark_I5RP263F28T4S50050000400"/>
      <w:bookmarkEnd w:id="5375"/>
      <w:r>
        <w:rPr>
          <w:rFonts w:ascii="Arial" w:eastAsia="Arial" w:hAnsi="Arial" w:cs="Arial"/>
          <w:i/>
          <w:color w:val="000000"/>
          <w:sz w:val="20"/>
        </w:rPr>
        <w:t>Sutton v. Freedom Square Ltd.</w:t>
      </w:r>
      <w:r>
        <w:rPr>
          <w:rFonts w:ascii="Arial" w:eastAsia="Arial" w:hAnsi="Arial" w:cs="Arial"/>
          <w:color w:val="000000"/>
          <w:sz w:val="20"/>
        </w:rPr>
        <w:t>, No. 07-14897, 2008 U.S. Dist. LEXIS 81600, 2008 WL 4601372, at *6-7 (E.D. Mich. Oct. 15, 2008) (collecting district court cases).</w:t>
      </w:r>
    </w:p>
    <w:p w:rsidR="00E456CD" w:rsidRDefault="00000000">
      <w:pPr>
        <w:pStyle w:val="Normal34"/>
        <w:widowControl w:val="0"/>
        <w:spacing w:before="200" w:line="260" w:lineRule="atLeast"/>
        <w:jc w:val="both"/>
      </w:pPr>
      <w:bookmarkStart w:id="5376" w:name="Bookmark_para_10_31"/>
      <w:bookmarkStart w:id="5377" w:name="Bookmark_I5RP263F2HM6N70030000400"/>
      <w:bookmarkEnd w:id="5376"/>
      <w:bookmarkEnd w:id="5377"/>
      <w:r>
        <w:rPr>
          <w:rFonts w:ascii="Arial" w:eastAsia="Arial" w:hAnsi="Arial" w:cs="Arial"/>
          <w:color w:val="000000"/>
          <w:sz w:val="20"/>
        </w:rPr>
        <w:t xml:space="preserve">Collins concedes that Title III of the ADA does not regulate residential facilities. Rather, he argues that because River Oaks has a place of public accommodation—a leasing office—on its premises, all of River Oaks' common areas, including the parking lot, walkways, and building entryways, must also be areas of public accommodation because they are open to residents, prospective tenants, and guests alike. In support of this position, Collins cites </w:t>
      </w:r>
      <w:bookmarkStart w:id="5378" w:name="Bookmark_I5RP263F2HM6N70020000400"/>
      <w:bookmarkEnd w:id="5378"/>
      <w:r>
        <w:rPr>
          <w:rFonts w:ascii="Arial" w:eastAsia="Arial" w:hAnsi="Arial" w:cs="Arial"/>
          <w:i/>
          <w:color w:val="000000"/>
          <w:sz w:val="20"/>
        </w:rPr>
        <w:t>No Barriers, Inc. v. BRH TEX. GP, L.L.C.</w:t>
      </w:r>
      <w:r>
        <w:rPr>
          <w:rFonts w:ascii="Arial" w:eastAsia="Arial" w:hAnsi="Arial" w:cs="Arial"/>
          <w:color w:val="000000"/>
          <w:sz w:val="20"/>
        </w:rPr>
        <w:t xml:space="preserve">, No. 3:01-cv-0344, 2001 U.S. Dist. LEXIS 15504, 2001 WL 896924 (N.D. Tex. Aug. 2, 2001), which held that a leasing office located within a residential facility was a public accommodation subject to the purview of the ADA. </w:t>
      </w:r>
      <w:bookmarkStart w:id="5379" w:name="Bookmark_I5RP263F2HM6N70040000400"/>
      <w:bookmarkEnd w:id="5379"/>
      <w:r>
        <w:rPr>
          <w:rFonts w:ascii="Arial" w:eastAsia="Arial" w:hAnsi="Arial" w:cs="Arial"/>
          <w:color w:val="000000"/>
          <w:sz w:val="20"/>
        </w:rPr>
        <w:t>2001 U.S. Dist. LEXIS 15504, [WL] at *2. That case, however, does not stand for the proposition that the ADA automatically extends to all publicly accessible areas within a residential [*7]  facility so long as that facility has at least one area of public accommodation on its premises. Thus, assuming that the River Oaks' on-site leasing office is a place of public accommodation, Collins has cited no authority suggesting that the complex's parking lot, walkways, entryways, and stairwells are also places of public accommodation as a matter of law. Moreover, because Collins's complaint reflects that he never made any request for an accommodation with respect to River Oaks' leasing office, we need not decide whether it qualifies as a "place of public accommodation" for purposes of the ADA. Based on the foregoing, Collins has failed to demonstrate that the district court erred by dismissing his ADA claims for failure to state a claim upon which relief can be granted.</w:t>
      </w:r>
    </w:p>
    <w:p w:rsidR="00E456CD" w:rsidRDefault="00000000">
      <w:pPr>
        <w:pStyle w:val="Normal34"/>
        <w:widowControl w:val="0"/>
        <w:spacing w:before="200" w:line="260" w:lineRule="atLeast"/>
        <w:jc w:val="both"/>
      </w:pPr>
      <w:bookmarkStart w:id="5380" w:name="Bookmark_para_11_30"/>
      <w:bookmarkStart w:id="5381" w:name="Bookmark_I5RP263F2SF7SY0020000400"/>
      <w:bookmarkEnd w:id="5380"/>
      <w:bookmarkEnd w:id="5381"/>
      <w:r>
        <w:rPr>
          <w:rFonts w:ascii="Arial" w:eastAsia="Arial" w:hAnsi="Arial" w:cs="Arial"/>
          <w:color w:val="000000"/>
          <w:sz w:val="20"/>
        </w:rPr>
        <w:t xml:space="preserve">Collins also appeals from the district court's grant of summary judgment in favor of the defendants with respect to his FHA claims. </w:t>
      </w:r>
      <w:bookmarkStart w:id="5382" w:name="Bookmark_I5RP263F2SF7SY0040000400"/>
      <w:bookmarkStart w:id="5383" w:name="Bookmark_LNHNREFclscc3_27"/>
      <w:bookmarkEnd w:id="5382"/>
      <w:bookmarkEnd w:id="5383"/>
      <w:r>
        <w:rPr>
          <w:rFonts w:ascii="Arial" w:eastAsia="Arial" w:hAnsi="Arial" w:cs="Arial"/>
          <w:color w:val="000000"/>
          <w:sz w:val="20"/>
        </w:rPr>
        <w:t xml:space="preserve">We review the district court's grant of summary judgment de novo. </w:t>
      </w:r>
      <w:bookmarkStart w:id="5384" w:name="Bookmark_I5RP263F2SF7SY0010000400"/>
      <w:bookmarkEnd w:id="5384"/>
      <w:r>
        <w:rPr>
          <w:rFonts w:ascii="Arial" w:eastAsia="Arial" w:hAnsi="Arial" w:cs="Arial"/>
          <w:i/>
          <w:color w:val="000000"/>
          <w:sz w:val="20"/>
        </w:rPr>
        <w:t>Brown v. Chapman</w:t>
      </w:r>
      <w:r>
        <w:rPr>
          <w:rFonts w:ascii="Arial" w:eastAsia="Arial" w:hAnsi="Arial" w:cs="Arial"/>
          <w:color w:val="000000"/>
          <w:sz w:val="20"/>
        </w:rPr>
        <w:t xml:space="preserve">, 814 F.3d 447, 464 (6th Cir. 2016). The district court properly grants summary judgment if "there is no genuine dispute as to any material fact and the movant is entitled to judgment as a matter of law." Fed. R. Civ. P. 56(a). </w:t>
      </w:r>
      <w:bookmarkStart w:id="5385" w:name="Bookmark_I5RP263F2SF7SY0040000400_2"/>
      <w:bookmarkEnd w:id="5385"/>
      <w:r>
        <w:rPr>
          <w:rFonts w:ascii="Arial" w:eastAsia="Arial" w:hAnsi="Arial" w:cs="Arial"/>
          <w:color w:val="000000"/>
          <w:sz w:val="20"/>
        </w:rPr>
        <w:t xml:space="preserve">The moving party must demonstrate "the absence [*8]  of a genuine issue of material fact as to at least one essential element on each of Plaintiff's claims," at which point the non-moving party "must present sufficient evidence from which a jury could reasonably find for him." </w:t>
      </w:r>
      <w:bookmarkStart w:id="5386" w:name="Bookmark_I5RP263F2SF7SY0030000400"/>
      <w:bookmarkEnd w:id="5386"/>
      <w:r>
        <w:rPr>
          <w:rFonts w:ascii="Arial" w:eastAsia="Arial" w:hAnsi="Arial" w:cs="Arial"/>
          <w:i/>
          <w:color w:val="000000"/>
          <w:sz w:val="20"/>
        </w:rPr>
        <w:t>Jones v. Muskegon Cty.</w:t>
      </w:r>
      <w:r>
        <w:rPr>
          <w:rFonts w:ascii="Arial" w:eastAsia="Arial" w:hAnsi="Arial" w:cs="Arial"/>
          <w:color w:val="000000"/>
          <w:sz w:val="20"/>
        </w:rPr>
        <w:t>, 625 F.3d 935, 940 (6th Cir. 2010).</w:t>
      </w:r>
    </w:p>
    <w:p w:rsidR="00E456CD" w:rsidRDefault="00000000">
      <w:pPr>
        <w:pStyle w:val="Normal34"/>
        <w:widowControl w:val="0"/>
        <w:spacing w:before="200" w:line="260" w:lineRule="atLeast"/>
        <w:jc w:val="both"/>
      </w:pPr>
      <w:bookmarkStart w:id="5387" w:name="Bookmark_para_12_29"/>
      <w:bookmarkStart w:id="5388" w:name="Bookmark_LNHNREFclscc4_26"/>
      <w:bookmarkEnd w:id="5387"/>
      <w:bookmarkEnd w:id="5388"/>
      <w:r>
        <w:rPr>
          <w:rFonts w:ascii="Arial" w:eastAsia="Arial" w:hAnsi="Arial" w:cs="Arial"/>
          <w:color w:val="000000"/>
          <w:sz w:val="20"/>
        </w:rPr>
        <w:t>The FHA makes it unlawful to "discriminate against any person in the terms, conditions, or privileges of sale or rental of a dwelling, or in the provision of services or facilities in connection with such dwelling, because of a handicap." 42 U.S.C. § 3604(f)(2). Such discrimination includes:</w:t>
      </w:r>
    </w:p>
    <w:p w:rsidR="00E456CD" w:rsidRDefault="00000000">
      <w:pPr>
        <w:pStyle w:val="Normal34"/>
        <w:widowControl w:val="0"/>
        <w:spacing w:line="260" w:lineRule="atLeast"/>
        <w:ind w:left="400"/>
        <w:jc w:val="both"/>
      </w:pPr>
      <w:bookmarkStart w:id="5389" w:name="Bookmark_para_13_27"/>
      <w:bookmarkEnd w:id="5389"/>
      <w:r>
        <w:rPr>
          <w:rFonts w:ascii="Arial" w:eastAsia="Arial" w:hAnsi="Arial" w:cs="Arial"/>
          <w:color w:val="000000"/>
          <w:sz w:val="20"/>
        </w:rPr>
        <w:t>(A) a refusal to permit, at the expense of the handicapped person, reasonable modifications of existing premises occupied or to be occupied by such person if such modifications may be necessary to afford such person full enjoyment of the premises except that, in the case of a rental, the landlord may where it is reasonable to do so condition permission for a modification on the renter agreeing to restore the interior of the premises to the condition that existed before the modification, reasonable wear and tear excepted[;]</w:t>
      </w:r>
    </w:p>
    <w:p w:rsidR="00E456CD" w:rsidRDefault="00000000">
      <w:pPr>
        <w:pStyle w:val="Normal34"/>
        <w:widowControl w:val="0"/>
        <w:spacing w:before="200" w:line="260" w:lineRule="atLeast"/>
        <w:ind w:left="400"/>
        <w:jc w:val="both"/>
      </w:pPr>
      <w:bookmarkStart w:id="5390" w:name="Bookmark_para_14_26"/>
      <w:bookmarkEnd w:id="5390"/>
      <w:r>
        <w:rPr>
          <w:rFonts w:ascii="Arial" w:eastAsia="Arial" w:hAnsi="Arial" w:cs="Arial"/>
          <w:color w:val="000000"/>
          <w:sz w:val="20"/>
        </w:rPr>
        <w:t>(B) a refusal to make reasonable accommodations in rules, policies, practices, or services, when such accommodations may be necessary to afford such person equal opportunity to [*9]  use and enjoy a dwelling; or</w:t>
      </w:r>
    </w:p>
    <w:p w:rsidR="00E456CD" w:rsidRDefault="00000000">
      <w:pPr>
        <w:pStyle w:val="Normal34"/>
        <w:widowControl w:val="0"/>
        <w:spacing w:line="260" w:lineRule="atLeast"/>
        <w:ind w:left="400"/>
        <w:jc w:val="both"/>
      </w:pPr>
      <w:bookmarkStart w:id="5391" w:name="Bookmark_para_15_26"/>
      <w:bookmarkEnd w:id="5391"/>
      <w:r>
        <w:rPr>
          <w:rFonts w:ascii="Arial" w:eastAsia="Arial" w:hAnsi="Arial" w:cs="Arial"/>
          <w:color w:val="000000"/>
          <w:sz w:val="20"/>
        </w:rPr>
        <w:t>(C) in connection with the design and construction of covered multifamily dwellings for first occupancy after the date that is 30 months after September 13, 1988, a failure to design and construct those dwellings in such a manner that —</w:t>
      </w:r>
    </w:p>
    <w:p w:rsidR="00E456CD" w:rsidRDefault="00000000">
      <w:pPr>
        <w:pStyle w:val="Normal34"/>
        <w:widowControl w:val="0"/>
        <w:spacing w:line="260" w:lineRule="atLeast"/>
        <w:ind w:left="800"/>
        <w:jc w:val="both"/>
      </w:pPr>
      <w:bookmarkStart w:id="5392" w:name="Bookmark_para_16_25"/>
      <w:bookmarkEnd w:id="5392"/>
      <w:r>
        <w:rPr>
          <w:rFonts w:ascii="Arial" w:eastAsia="Arial" w:hAnsi="Arial" w:cs="Arial"/>
          <w:color w:val="000000"/>
          <w:sz w:val="20"/>
        </w:rPr>
        <w:t>(i) the public use and common use portions of such dwellings are readily accessible to and usable by handicapped persons;</w:t>
      </w:r>
    </w:p>
    <w:p w:rsidR="00E456CD" w:rsidRDefault="00000000">
      <w:pPr>
        <w:pStyle w:val="Normal34"/>
        <w:widowControl w:val="0"/>
        <w:spacing w:line="260" w:lineRule="atLeast"/>
        <w:ind w:left="800"/>
        <w:jc w:val="both"/>
      </w:pPr>
      <w:bookmarkStart w:id="5393" w:name="Bookmark_para_17_24"/>
      <w:bookmarkEnd w:id="5393"/>
      <w:r>
        <w:rPr>
          <w:rFonts w:ascii="Arial" w:eastAsia="Arial" w:hAnsi="Arial" w:cs="Arial"/>
          <w:color w:val="000000"/>
          <w:sz w:val="20"/>
        </w:rPr>
        <w:t>. . .</w:t>
      </w:r>
    </w:p>
    <w:p w:rsidR="00E456CD" w:rsidRDefault="00000000">
      <w:pPr>
        <w:pStyle w:val="Normal34"/>
        <w:widowControl w:val="0"/>
        <w:spacing w:line="260" w:lineRule="atLeast"/>
        <w:ind w:left="800"/>
        <w:jc w:val="both"/>
      </w:pPr>
      <w:bookmarkStart w:id="5394" w:name="Bookmark_para_18_23"/>
      <w:bookmarkEnd w:id="5394"/>
      <w:r>
        <w:rPr>
          <w:rFonts w:ascii="Arial" w:eastAsia="Arial" w:hAnsi="Arial" w:cs="Arial"/>
          <w:color w:val="000000"/>
          <w:sz w:val="20"/>
        </w:rPr>
        <w:t>(iii) all premises within such dwellings contain the following features of adaptive design:</w:t>
      </w:r>
    </w:p>
    <w:p w:rsidR="00E456CD" w:rsidRDefault="00000000">
      <w:pPr>
        <w:pStyle w:val="Normal34"/>
        <w:widowControl w:val="0"/>
        <w:spacing w:line="260" w:lineRule="atLeast"/>
        <w:ind w:left="1200"/>
        <w:jc w:val="both"/>
      </w:pPr>
      <w:bookmarkStart w:id="5395" w:name="Bookmark_para_19_22"/>
      <w:bookmarkStart w:id="5396" w:name="Bookmark_I5RP263F2SF7T00010000400"/>
      <w:bookmarkEnd w:id="5395"/>
      <w:bookmarkEnd w:id="5396"/>
      <w:r>
        <w:rPr>
          <w:rFonts w:ascii="Arial" w:eastAsia="Arial" w:hAnsi="Arial" w:cs="Arial"/>
          <w:color w:val="000000"/>
          <w:sz w:val="20"/>
        </w:rPr>
        <w:t>(I) an accessible route into and through the dwelling[.]</w:t>
      </w:r>
    </w:p>
    <w:p w:rsidR="00E456CD" w:rsidRDefault="00000000">
      <w:pPr>
        <w:pStyle w:val="Normal34"/>
        <w:widowControl w:val="0"/>
        <w:spacing w:before="200" w:line="260" w:lineRule="atLeast"/>
        <w:jc w:val="both"/>
      </w:pPr>
      <w:bookmarkStart w:id="5397" w:name="Bookmark_I5RP263F2SF7T00010000400_2"/>
      <w:bookmarkEnd w:id="5397"/>
      <w:r>
        <w:rPr>
          <w:rFonts w:ascii="Arial" w:eastAsia="Arial" w:hAnsi="Arial" w:cs="Arial"/>
          <w:color w:val="000000"/>
          <w:sz w:val="20"/>
        </w:rPr>
        <w:t>42 U.S.C. § 3604(f)(3).</w:t>
      </w:r>
      <w:bookmarkStart w:id="5398" w:name="Bookmark_LNHNREFclscc5_25"/>
      <w:bookmarkEnd w:id="5398"/>
      <w:r>
        <w:rPr>
          <w:rFonts w:ascii="Arial" w:eastAsia="Arial" w:hAnsi="Arial" w:cs="Arial"/>
          <w:color w:val="000000"/>
          <w:sz w:val="20"/>
        </w:rPr>
        <w:t xml:space="preserve"> "Plaintiffs who allege a violation of 42 U.S.C. 3604(f) may proceed under any or all three theories: disparate treatment, disparate impact, and failure to make reasonable accommodations." </w:t>
      </w:r>
      <w:bookmarkStart w:id="5399" w:name="Bookmark_I5RP263F2SF7SY0050000400"/>
      <w:bookmarkEnd w:id="5399"/>
      <w:r>
        <w:rPr>
          <w:rFonts w:ascii="Arial" w:eastAsia="Arial" w:hAnsi="Arial" w:cs="Arial"/>
          <w:i/>
          <w:color w:val="000000"/>
          <w:sz w:val="20"/>
        </w:rPr>
        <w:t>Smith &amp; Lee Assocs. v. City of Taylor</w:t>
      </w:r>
      <w:r>
        <w:rPr>
          <w:rFonts w:ascii="Arial" w:eastAsia="Arial" w:hAnsi="Arial" w:cs="Arial"/>
          <w:color w:val="000000"/>
          <w:sz w:val="20"/>
        </w:rPr>
        <w:t>, 102 F.3d 781, 790 (6th Cir. 1996).</w:t>
      </w:r>
    </w:p>
    <w:p w:rsidR="00E456CD" w:rsidRDefault="00000000">
      <w:pPr>
        <w:pStyle w:val="Normal34"/>
        <w:widowControl w:val="0"/>
        <w:spacing w:before="200" w:line="260" w:lineRule="atLeast"/>
        <w:jc w:val="both"/>
      </w:pPr>
      <w:bookmarkStart w:id="5400" w:name="Bookmark_para_20_21"/>
      <w:bookmarkEnd w:id="5400"/>
      <w:r>
        <w:rPr>
          <w:rFonts w:ascii="Arial" w:eastAsia="Arial" w:hAnsi="Arial" w:cs="Arial"/>
          <w:color w:val="000000"/>
          <w:sz w:val="20"/>
        </w:rPr>
        <w:t xml:space="preserve">In their motion for summary judgment, the defendants argued that they were entitled to judgment as a matter of law because § 3604(f)(3)(A)—(C) were respectively inapplicable to the present case, and also because Collins's retaliation claim was meritless. </w:t>
      </w:r>
      <w:bookmarkStart w:id="5401" w:name="Bookmark_I5RP263F2SF7T00030000400"/>
      <w:bookmarkEnd w:id="5401"/>
      <w:r>
        <w:rPr>
          <w:rFonts w:ascii="Arial" w:eastAsia="Arial" w:hAnsi="Arial" w:cs="Arial"/>
          <w:color w:val="000000"/>
          <w:sz w:val="20"/>
        </w:rPr>
        <w:t xml:space="preserve">In granting the defendants' motion for summary judgment, the district court noted that "Collins's response to the defendants' motion indicates that he relies on § 3604(f)(3)(C)." The district court ultimately concluded that § 3604(f)(3)(C) did not apply in this case and Collins does [*10]  not challenge that determination on appeal. He has therefore abandoned any argument concerning § 3604(f)(3)(C)'s applicability in this matter. </w:t>
      </w:r>
      <w:r>
        <w:rPr>
          <w:rFonts w:ascii="Arial" w:eastAsia="Arial" w:hAnsi="Arial" w:cs="Arial"/>
          <w:i/>
          <w:color w:val="000000"/>
          <w:sz w:val="20"/>
        </w:rPr>
        <w:t xml:space="preserve">See </w:t>
      </w:r>
      <w:bookmarkStart w:id="5402" w:name="Bookmark_I5RP263F2SF7T00020000400"/>
      <w:bookmarkEnd w:id="5402"/>
      <w:r>
        <w:rPr>
          <w:rFonts w:ascii="Arial" w:eastAsia="Arial" w:hAnsi="Arial" w:cs="Arial"/>
          <w:i/>
          <w:color w:val="000000"/>
          <w:sz w:val="20"/>
        </w:rPr>
        <w:t>Robinson v. Jones</w:t>
      </w:r>
      <w:r>
        <w:rPr>
          <w:rFonts w:ascii="Arial" w:eastAsia="Arial" w:hAnsi="Arial" w:cs="Arial"/>
          <w:color w:val="000000"/>
          <w:sz w:val="20"/>
        </w:rPr>
        <w:t>, 142 F.3d 905, 906 (6th Cir. 1998).</w:t>
      </w:r>
    </w:p>
    <w:p w:rsidR="00E456CD" w:rsidRDefault="00000000">
      <w:pPr>
        <w:pStyle w:val="Normal34"/>
        <w:widowControl w:val="0"/>
        <w:spacing w:before="200" w:line="260" w:lineRule="atLeast"/>
        <w:jc w:val="both"/>
      </w:pPr>
      <w:bookmarkStart w:id="5403" w:name="Bookmark_para_21_20"/>
      <w:bookmarkEnd w:id="5403"/>
      <w:r>
        <w:rPr>
          <w:rFonts w:ascii="Arial" w:eastAsia="Arial" w:hAnsi="Arial" w:cs="Arial"/>
          <w:color w:val="000000"/>
          <w:sz w:val="20"/>
        </w:rPr>
        <w:t>However, the district court did not address § 3604(f)(3)(A) or (B). Although the district court determined that Collins was proceeding solely under § 3604(f)(3)(C), Collins clearly stated within his response brief that he "made multiple requests for accommodations that were reasonable" and that the defendants "never made any accommodations[.]" While Collins's response brief did not explicitly cite § 3604(f)(3)(A) or (B), the substance of his argument arguably implicates those subsections. Accordingly, the district court erred by not addressing these subsections. We therefore vacate in part the district court's judgment granting summary judgment in favor of the defendants and remand the matter for the district court to consider the applicability of § 3604(f)(3)(A) and (B) in the first instance.</w:t>
      </w:r>
    </w:p>
    <w:p w:rsidR="00E456CD" w:rsidRDefault="00000000">
      <w:pPr>
        <w:pStyle w:val="Normal34"/>
        <w:widowControl w:val="0"/>
        <w:spacing w:before="200" w:line="260" w:lineRule="atLeast"/>
        <w:jc w:val="both"/>
      </w:pPr>
      <w:bookmarkStart w:id="5404" w:name="Bookmark_para_22_19"/>
      <w:bookmarkEnd w:id="5404"/>
      <w:r>
        <w:rPr>
          <w:rFonts w:ascii="Arial" w:eastAsia="Arial" w:hAnsi="Arial" w:cs="Arial"/>
          <w:color w:val="000000"/>
          <w:sz w:val="20"/>
        </w:rPr>
        <w:t>Finally, the district court concluded that Collins's retaliation claim failed because Collins "did not have a right to accommodation under § 3604." As discussed above, however, the district court did not consider § 3604(f)(3)(A) or (B) prior to entering summary judgment. The district court's disposition of Collins's retaliation claim was therefore premature [*11]  and we vacate the district court's grant of summary judgment with respect to that claim.</w:t>
      </w:r>
    </w:p>
    <w:p w:rsidR="00E456CD" w:rsidRDefault="00000000">
      <w:pPr>
        <w:pStyle w:val="Normal34"/>
        <w:widowControl w:val="0"/>
        <w:spacing w:before="200" w:line="260" w:lineRule="atLeast"/>
        <w:jc w:val="both"/>
      </w:pPr>
      <w:bookmarkStart w:id="5405" w:name="Bookmark_para_23_19"/>
      <w:bookmarkEnd w:id="5405"/>
      <w:r>
        <w:rPr>
          <w:rFonts w:ascii="Arial" w:eastAsia="Arial" w:hAnsi="Arial" w:cs="Arial"/>
          <w:color w:val="000000"/>
          <w:sz w:val="20"/>
        </w:rPr>
        <w:t xml:space="preserve">The district court's judgment granting the defendants' Rule 12(b)(6) motion to dismiss is </w:t>
      </w:r>
      <w:r>
        <w:rPr>
          <w:rFonts w:ascii="Arial" w:eastAsia="Arial" w:hAnsi="Arial" w:cs="Arial"/>
          <w:b/>
          <w:color w:val="000000"/>
          <w:sz w:val="20"/>
        </w:rPr>
        <w:t>AFFIRMED</w:t>
      </w:r>
      <w:r>
        <w:rPr>
          <w:rFonts w:ascii="Arial" w:eastAsia="Arial" w:hAnsi="Arial" w:cs="Arial"/>
          <w:color w:val="000000"/>
          <w:sz w:val="20"/>
        </w:rPr>
        <w:t xml:space="preserve">. The district court's judgment granting summary judgment in favor of the defendants is </w:t>
      </w:r>
      <w:r>
        <w:rPr>
          <w:rFonts w:ascii="Arial" w:eastAsia="Arial" w:hAnsi="Arial" w:cs="Arial"/>
          <w:b/>
          <w:color w:val="000000"/>
          <w:sz w:val="20"/>
        </w:rPr>
        <w:t>AFFIRMED</w:t>
      </w:r>
      <w:r>
        <w:rPr>
          <w:rFonts w:ascii="Arial" w:eastAsia="Arial" w:hAnsi="Arial" w:cs="Arial"/>
          <w:color w:val="000000"/>
          <w:sz w:val="20"/>
        </w:rPr>
        <w:t xml:space="preserve"> in part and </w:t>
      </w:r>
      <w:r>
        <w:rPr>
          <w:rFonts w:ascii="Arial" w:eastAsia="Arial" w:hAnsi="Arial" w:cs="Arial"/>
          <w:b/>
          <w:color w:val="000000"/>
          <w:sz w:val="20"/>
        </w:rPr>
        <w:t>VACATED</w:t>
      </w:r>
      <w:r>
        <w:rPr>
          <w:rFonts w:ascii="Arial" w:eastAsia="Arial" w:hAnsi="Arial" w:cs="Arial"/>
          <w:color w:val="000000"/>
          <w:sz w:val="20"/>
        </w:rPr>
        <w:t xml:space="preserve"> in part, and this matter is remanded for further proceedings consistent with this opinion.</w:t>
      </w:r>
    </w:p>
    <w:p w:rsidR="00E456CD" w:rsidRDefault="00E456CD">
      <w:pPr>
        <w:pStyle w:val="Normal34"/>
      </w:pPr>
    </w:p>
    <w:p w:rsidR="00E456CD" w:rsidRDefault="00000000">
      <w:pPr>
        <w:pStyle w:val="Normal34"/>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3299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49712587"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8DBE3" id="Line 76"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5"/>
        <w:sectPr w:rsidR="00E456CD">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gutter="0"/>
          <w:cols w:space="720"/>
          <w:titlePg/>
        </w:sectPr>
      </w:pPr>
    </w:p>
    <w:p w:rsidR="00E456CD" w:rsidRDefault="00E456CD">
      <w:pPr>
        <w:pStyle w:val="Normal35"/>
      </w:pPr>
    </w:p>
    <w:p w:rsidR="00E456CD" w:rsidRDefault="00000000">
      <w:pPr>
        <w:pStyle w:val="Heading134"/>
        <w:keepNext w:val="0"/>
        <w:widowControl w:val="0"/>
        <w:spacing w:after="200" w:line="340" w:lineRule="atLeast"/>
        <w:jc w:val="center"/>
      </w:pPr>
      <w:r>
        <w:rPr>
          <w:rFonts w:eastAsia="Arial"/>
          <w:color w:val="000000"/>
          <w:sz w:val="28"/>
        </w:rPr>
        <w:t>Dunlap v. Liberty Natural Prods.</w:t>
      </w:r>
    </w:p>
    <w:p w:rsidR="00E456CD" w:rsidRDefault="00000000">
      <w:pPr>
        <w:pStyle w:val="Normal35"/>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35"/>
        <w:widowControl w:val="0"/>
        <w:spacing w:before="120" w:line="260" w:lineRule="atLeast"/>
        <w:jc w:val="center"/>
      </w:pPr>
      <w:r>
        <w:rPr>
          <w:rFonts w:ascii="Arial" w:eastAsia="Arial" w:hAnsi="Arial" w:cs="Arial"/>
          <w:color w:val="000000"/>
          <w:sz w:val="20"/>
        </w:rPr>
        <w:t>June 6, 2017, Argued and Submitted, Portland, Oregon; December 28, 2017, Filed</w:t>
      </w:r>
    </w:p>
    <w:p w:rsidR="00E456CD" w:rsidRDefault="00000000">
      <w:pPr>
        <w:pStyle w:val="Normal35"/>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Nos. 15-35395, 16-35113, No. 16-35271</w:t>
      </w:r>
    </w:p>
    <w:p w:rsidR="00E456CD" w:rsidRDefault="00E456CD">
      <w:pPr>
        <w:pStyle w:val="Normal35"/>
        <w:widowControl w:val="0"/>
        <w:spacing w:line="240" w:lineRule="atLeast"/>
        <w:jc w:val="both"/>
      </w:pPr>
      <w:bookmarkStart w:id="5406" w:name="Bookmark_36"/>
      <w:bookmarkEnd w:id="5406"/>
    </w:p>
    <w:p w:rsidR="00E456CD" w:rsidRDefault="00000000">
      <w:pPr>
        <w:pStyle w:val="Normal35"/>
        <w:widowControl w:val="0"/>
        <w:spacing w:before="200" w:line="240" w:lineRule="atLeast"/>
      </w:pPr>
      <w:bookmarkStart w:id="5407" w:name="Reporter_34"/>
      <w:bookmarkEnd w:id="5407"/>
      <w:r>
        <w:rPr>
          <w:rFonts w:ascii="Arial" w:eastAsia="Arial" w:hAnsi="Arial" w:cs="Arial"/>
          <w:b/>
          <w:color w:val="000000"/>
          <w:sz w:val="18"/>
        </w:rPr>
        <w:t>Reporter</w:t>
      </w:r>
    </w:p>
    <w:p w:rsidR="00E456CD" w:rsidRDefault="00000000">
      <w:pPr>
        <w:pStyle w:val="Normal35"/>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878 F.3d 794 *; 2017 U.S. App. LEXIS 27101 **; 33 Am. Disabilities Cas. (BNA) 1425; 2017 WL 6614570</w:t>
      </w:r>
    </w:p>
    <w:p w:rsidR="00E456CD" w:rsidRDefault="00000000">
      <w:pPr>
        <w:pStyle w:val="Normal35"/>
        <w:widowControl w:val="0"/>
        <w:spacing w:before="120" w:line="260" w:lineRule="atLeast"/>
      </w:pPr>
      <w:r>
        <w:rPr>
          <w:rFonts w:ascii="Arial" w:eastAsia="Arial" w:hAnsi="Arial" w:cs="Arial"/>
          <w:color w:val="000000"/>
          <w:sz w:val="20"/>
        </w:rPr>
        <w:t>TRACY DUNLAP, Plaintiff-Appellee, v. LIBERTY NATURAL PRODUCTS, INC., Defendant-Appellant.TRACY DUNLAP, Plaintiff-Appellant, v. LIBERTY NATURAL PRODUCTS, INC., Defendant-Appellee.</w:t>
      </w:r>
    </w:p>
    <w:p w:rsidR="00E456CD" w:rsidRDefault="00000000">
      <w:pPr>
        <w:pStyle w:val="Normal35"/>
        <w:widowControl w:val="0"/>
        <w:spacing w:before="240" w:line="260" w:lineRule="atLeast"/>
        <w:jc w:val="both"/>
      </w:pPr>
      <w:bookmarkStart w:id="5408" w:name="Subsequent_History_14"/>
      <w:bookmarkEnd w:id="5408"/>
      <w:r>
        <w:rPr>
          <w:rFonts w:ascii="Arial" w:eastAsia="Arial" w:hAnsi="Arial" w:cs="Arial"/>
          <w:b/>
          <w:color w:val="000000"/>
          <w:sz w:val="20"/>
        </w:rPr>
        <w:t>Subsequent History:</w:t>
      </w:r>
      <w:r>
        <w:rPr>
          <w:rFonts w:ascii="Arial" w:eastAsia="Arial" w:hAnsi="Arial" w:cs="Arial"/>
          <w:color w:val="000000"/>
          <w:sz w:val="20"/>
        </w:rPr>
        <w:t> </w:t>
      </w:r>
      <w:bookmarkStart w:id="5409" w:name="Bookmark_para_1_34"/>
      <w:bookmarkEnd w:id="5409"/>
      <w:r>
        <w:rPr>
          <w:rFonts w:ascii="Arial" w:eastAsia="Arial" w:hAnsi="Arial" w:cs="Arial"/>
          <w:color w:val="000000"/>
          <w:sz w:val="20"/>
        </w:rPr>
        <w:t>As Corrected January 29, 2018.</w:t>
      </w:r>
    </w:p>
    <w:p w:rsidR="00E456CD" w:rsidRDefault="00000000">
      <w:pPr>
        <w:pStyle w:val="Normal35"/>
        <w:widowControl w:val="0"/>
        <w:spacing w:before="120" w:line="260" w:lineRule="atLeast"/>
      </w:pPr>
      <w:r>
        <w:rPr>
          <w:rFonts w:ascii="Arial" w:eastAsia="Arial" w:hAnsi="Arial" w:cs="Arial"/>
          <w:color w:val="000000"/>
          <w:sz w:val="20"/>
        </w:rPr>
        <w:t>Costs and fees proceeding at, Request granted Dunlap v. Liberty Natural Prods., 2018 U.S. App. LEXIS 5683 (9th Cir. Or., Mar. 6, 2018)</w:t>
      </w:r>
    </w:p>
    <w:p w:rsidR="00E456CD" w:rsidRDefault="00000000">
      <w:pPr>
        <w:pStyle w:val="Normal35"/>
        <w:widowControl w:val="0"/>
        <w:spacing w:before="240" w:line="260" w:lineRule="atLeast"/>
        <w:jc w:val="both"/>
      </w:pPr>
      <w:bookmarkStart w:id="5410" w:name="Prior_History_34"/>
      <w:bookmarkEnd w:id="5410"/>
      <w:r>
        <w:rPr>
          <w:rFonts w:ascii="Arial" w:eastAsia="Arial" w:hAnsi="Arial" w:cs="Arial"/>
          <w:b/>
          <w:color w:val="000000"/>
          <w:sz w:val="20"/>
        </w:rPr>
        <w:t>Prior History:</w:t>
      </w:r>
      <w:r>
        <w:rPr>
          <w:rFonts w:ascii="Arial" w:eastAsia="Arial" w:hAnsi="Arial" w:cs="Arial"/>
          <w:color w:val="000000"/>
          <w:sz w:val="20"/>
        </w:rPr>
        <w:t> </w:t>
      </w:r>
      <w:bookmarkStart w:id="5411" w:name="Bookmark_para_2_34"/>
      <w:bookmarkEnd w:id="5411"/>
      <w:r>
        <w:rPr>
          <w:rFonts w:ascii="Arial" w:eastAsia="Arial" w:hAnsi="Arial" w:cs="Arial"/>
          <w:color w:val="000000"/>
          <w:sz w:val="20"/>
        </w:rPr>
        <w:t> [**1] Appeal from the United States District Court for the District of Oregon. D.C. No. 3:12-cv-01635-SI. D.C. No. 3:12-cv-01635-SI. Michael H. Simon, District Judge, Presiding.</w:t>
      </w:r>
    </w:p>
    <w:p w:rsidR="00E456CD" w:rsidRDefault="00000000">
      <w:pPr>
        <w:pStyle w:val="Normal35"/>
        <w:widowControl w:val="0"/>
        <w:spacing w:before="120" w:line="260" w:lineRule="atLeast"/>
      </w:pPr>
      <w:r>
        <w:rPr>
          <w:rFonts w:ascii="Arial" w:eastAsia="Arial" w:hAnsi="Arial" w:cs="Arial"/>
          <w:color w:val="000000"/>
          <w:sz w:val="20"/>
        </w:rPr>
        <w:t>Dunlap v. Liberty Natural Prods., 2016 U.S. Dist. LEXIS 17488 (D. Or., Feb. 12, 2016)</w:t>
      </w:r>
    </w:p>
    <w:p w:rsidR="00E456CD" w:rsidRDefault="00000000">
      <w:pPr>
        <w:pStyle w:val="Normal35"/>
        <w:widowControl w:val="0"/>
        <w:spacing w:before="240" w:line="260" w:lineRule="atLeast"/>
        <w:jc w:val="both"/>
      </w:pPr>
      <w:bookmarkStart w:id="5412" w:name="Disposition_9"/>
      <w:bookmarkEnd w:id="5412"/>
      <w:r>
        <w:rPr>
          <w:rFonts w:ascii="Arial" w:eastAsia="Arial" w:hAnsi="Arial" w:cs="Arial"/>
          <w:b/>
          <w:color w:val="000000"/>
          <w:sz w:val="20"/>
        </w:rPr>
        <w:t>Disposition:</w:t>
      </w:r>
      <w:r>
        <w:rPr>
          <w:rFonts w:ascii="Arial" w:eastAsia="Arial" w:hAnsi="Arial" w:cs="Arial"/>
          <w:color w:val="000000"/>
          <w:sz w:val="20"/>
        </w:rPr>
        <w:t> </w:t>
      </w:r>
      <w:bookmarkStart w:id="5413" w:name="Bookmark_clspara_1_1"/>
      <w:bookmarkEnd w:id="5413"/>
      <w:r>
        <w:rPr>
          <w:rFonts w:ascii="Arial" w:eastAsia="Arial" w:hAnsi="Arial" w:cs="Arial"/>
          <w:color w:val="000000"/>
          <w:sz w:val="20"/>
        </w:rPr>
        <w:t>AFFIRMED.</w:t>
      </w:r>
    </w:p>
    <w:p w:rsidR="00E456CD" w:rsidRDefault="00000000">
      <w:pPr>
        <w:pStyle w:val="Normal35"/>
        <w:widowControl w:val="0"/>
        <w:spacing w:before="240" w:line="260" w:lineRule="atLeast"/>
      </w:pPr>
      <w:bookmarkStart w:id="5414" w:name="Summary_0"/>
      <w:bookmarkEnd w:id="5414"/>
      <w:r>
        <w:rPr>
          <w:rFonts w:ascii="Arial" w:eastAsia="Arial" w:hAnsi="Arial" w:cs="Arial"/>
          <w:b/>
          <w:color w:val="000000"/>
          <w:sz w:val="20"/>
        </w:rPr>
        <w:t>Summary:</w:t>
      </w:r>
    </w:p>
    <w:p w:rsidR="00E456CD" w:rsidRDefault="00000000">
      <w:pPr>
        <w:pStyle w:val="Normal35"/>
        <w:widowControl w:val="0"/>
        <w:spacing w:before="240" w:line="260" w:lineRule="atLeast"/>
        <w:jc w:val="both"/>
      </w:pPr>
      <w:bookmarkStart w:id="5415" w:name="Bookmark_clspara_2"/>
      <w:bookmarkEnd w:id="5415"/>
      <w:r>
        <w:rPr>
          <w:rFonts w:ascii="Arial" w:eastAsia="Arial" w:hAnsi="Arial" w:cs="Arial"/>
          <w:b/>
          <w:color w:val="000000"/>
          <w:sz w:val="20"/>
        </w:rPr>
        <w:t>SUMMARY</w:t>
      </w:r>
      <w:r>
        <w:rPr>
          <w:rFonts w:ascii="Arial" w:eastAsia="Arial" w:hAnsi="Arial" w:cs="Arial"/>
          <w:vertAlign w:val="superscript"/>
        </w:rPr>
        <w:footnoteReference w:customMarkFollows="1" w:id="232"/>
        <w:t>**</w:t>
      </w:r>
    </w:p>
    <w:p w:rsidR="00E456CD" w:rsidRDefault="00000000">
      <w:pPr>
        <w:pStyle w:val="Normal35"/>
        <w:widowControl w:val="0"/>
        <w:spacing w:before="240" w:line="260" w:lineRule="atLeast"/>
        <w:jc w:val="both"/>
      </w:pPr>
      <w:bookmarkStart w:id="5417" w:name="Bookmark_clspara_3"/>
      <w:bookmarkEnd w:id="5417"/>
      <w:r>
        <w:rPr>
          <w:rFonts w:ascii="Arial" w:eastAsia="Arial" w:hAnsi="Arial" w:cs="Arial"/>
          <w:b/>
          <w:color w:val="000000"/>
          <w:sz w:val="20"/>
        </w:rPr>
        <w:t>Employment Discrimination</w:t>
      </w:r>
    </w:p>
    <w:p w:rsidR="00E456CD" w:rsidRDefault="00000000">
      <w:pPr>
        <w:pStyle w:val="Normal35"/>
        <w:widowControl w:val="0"/>
        <w:spacing w:before="240" w:line="260" w:lineRule="atLeast"/>
        <w:jc w:val="both"/>
      </w:pPr>
      <w:bookmarkStart w:id="5418" w:name="Bookmark_clspara_4_7"/>
      <w:bookmarkEnd w:id="5418"/>
      <w:r>
        <w:rPr>
          <w:rFonts w:ascii="Arial" w:eastAsia="Arial" w:hAnsi="Arial" w:cs="Arial"/>
          <w:color w:val="000000"/>
          <w:sz w:val="20"/>
        </w:rPr>
        <w:t>The panel affirmed (1) the district court's decision denying the defendant's renewed motion for judgment as a matter of law on a claim of disability discrimination under the Americans with Disabilities Act and Oregon state law, and (2) the district court's order granting in part the plaintiff's motion for an award of attorney's fees.</w:t>
      </w:r>
    </w:p>
    <w:p w:rsidR="00E456CD" w:rsidRDefault="00000000">
      <w:pPr>
        <w:pStyle w:val="Normal35"/>
        <w:widowControl w:val="0"/>
        <w:spacing w:before="240" w:line="260" w:lineRule="atLeast"/>
        <w:jc w:val="both"/>
      </w:pPr>
      <w:bookmarkStart w:id="5419" w:name="Bookmark_clspara_5_0"/>
      <w:bookmarkEnd w:id="5419"/>
      <w:r>
        <w:rPr>
          <w:rFonts w:ascii="Arial" w:eastAsia="Arial" w:hAnsi="Arial" w:cs="Arial"/>
          <w:color w:val="000000"/>
          <w:sz w:val="20"/>
        </w:rPr>
        <w:t>The panel held that the district court committed instructional error by conflating the elements of the plaintiff's disparate-treatment and failure-to-accommodate claims. Nevertheless, the instructional error was harmless because the defendant was on notice of the need to accommodate, and it was more probable than not that the jury's verdict was not affected.</w:t>
      </w:r>
    </w:p>
    <w:p w:rsidR="00E456CD" w:rsidRDefault="00000000">
      <w:pPr>
        <w:pStyle w:val="Normal35"/>
        <w:widowControl w:val="0"/>
        <w:spacing w:before="240" w:line="260" w:lineRule="atLeast"/>
        <w:jc w:val="both"/>
      </w:pPr>
      <w:bookmarkStart w:id="5420" w:name="Bookmark_clspara_6_0"/>
      <w:bookmarkEnd w:id="5420"/>
      <w:r>
        <w:rPr>
          <w:rFonts w:ascii="Arial" w:eastAsia="Arial" w:hAnsi="Arial" w:cs="Arial"/>
          <w:color w:val="000000"/>
          <w:sz w:val="20"/>
        </w:rPr>
        <w:t>The panel held that, construed in the light most favorable to the plaintiff, the evidence supported the jury's finding that a reasonable accommodation existed that would have enabled her to perform the essential functions of her shipping clerk position.</w:t>
      </w:r>
    </w:p>
    <w:p w:rsidR="00E456CD" w:rsidRDefault="00000000">
      <w:pPr>
        <w:pStyle w:val="Normal35"/>
        <w:widowControl w:val="0"/>
        <w:spacing w:before="240" w:line="260" w:lineRule="atLeast"/>
        <w:jc w:val="both"/>
      </w:pPr>
      <w:bookmarkStart w:id="5421" w:name="Bookmark_clspara_7_0"/>
      <w:bookmarkEnd w:id="5421"/>
      <w:r>
        <w:rPr>
          <w:rFonts w:ascii="Arial" w:eastAsia="Arial" w:hAnsi="Arial" w:cs="Arial"/>
          <w:color w:val="000000"/>
          <w:sz w:val="20"/>
        </w:rPr>
        <w:t>The panel also held that the district court [**2]  did not abuse its discretion in reducing the plaintiff's fee award by 50 percent based on the degree of success she achieved in the overall litigation.</w:t>
      </w:r>
    </w:p>
    <w:p w:rsidR="00E456CD" w:rsidRDefault="00000000">
      <w:pPr>
        <w:pStyle w:val="Normal35"/>
        <w:widowControl w:val="0"/>
        <w:spacing w:before="240" w:line="260" w:lineRule="atLeast"/>
      </w:pPr>
      <w:bookmarkStart w:id="5422" w:name="Counsel_34"/>
      <w:bookmarkEnd w:id="5422"/>
      <w:r>
        <w:rPr>
          <w:rFonts w:ascii="Arial" w:eastAsia="Arial" w:hAnsi="Arial" w:cs="Arial"/>
          <w:b/>
          <w:color w:val="000000"/>
          <w:sz w:val="20"/>
        </w:rPr>
        <w:t>Counsel:</w:t>
      </w:r>
      <w:r>
        <w:rPr>
          <w:rFonts w:ascii="Arial" w:eastAsia="Arial" w:hAnsi="Arial" w:cs="Arial"/>
          <w:color w:val="000000"/>
          <w:sz w:val="20"/>
        </w:rPr>
        <w:t> Matthew Kalmanson (argued), Ruth C. Rocker, and Janet M. Schroer, Hart Wagner LLP, Portland, Oregon, for Defendant-Appellant/Defendant-Appellee.</w:t>
      </w:r>
    </w:p>
    <w:p w:rsidR="00E456CD" w:rsidRDefault="00000000">
      <w:pPr>
        <w:pStyle w:val="Normal35"/>
        <w:widowControl w:val="0"/>
        <w:spacing w:before="120" w:line="260" w:lineRule="atLeast"/>
      </w:pPr>
      <w:r>
        <w:rPr>
          <w:rFonts w:ascii="Arial" w:eastAsia="Arial" w:hAnsi="Arial" w:cs="Arial"/>
          <w:color w:val="000000"/>
          <w:sz w:val="20"/>
        </w:rPr>
        <w:t>Banafsheh Violet Nazari (argued), Nazari Law, Portland, Oregon; Aruna A. Masih (argued) and Michael J. Morris, Bennett Hartman Morris &amp; Kaplan, Portland, Oregon, for Plaintiff-Appellee/Plaintiff-Appellant.</w:t>
      </w:r>
    </w:p>
    <w:p w:rsidR="00E456CD" w:rsidRDefault="00000000">
      <w:pPr>
        <w:pStyle w:val="Normal35"/>
        <w:widowControl w:val="0"/>
        <w:spacing w:before="240" w:line="260" w:lineRule="atLeast"/>
      </w:pPr>
      <w:bookmarkStart w:id="5423" w:name="Judges_34"/>
      <w:bookmarkEnd w:id="5423"/>
      <w:r>
        <w:rPr>
          <w:rFonts w:ascii="Arial" w:eastAsia="Arial" w:hAnsi="Arial" w:cs="Arial"/>
          <w:b/>
          <w:color w:val="000000"/>
          <w:sz w:val="20"/>
        </w:rPr>
        <w:t>Judges:</w:t>
      </w:r>
      <w:r>
        <w:rPr>
          <w:rFonts w:ascii="Arial" w:eastAsia="Arial" w:hAnsi="Arial" w:cs="Arial"/>
          <w:color w:val="000000"/>
          <w:sz w:val="20"/>
        </w:rPr>
        <w:t> Before: Ronald M. Gould and Johnnie B. Rawlinson, Circuit Judges, and Larry A. Burns,</w:t>
      </w:r>
      <w:r>
        <w:rPr>
          <w:rFonts w:ascii="Arial" w:eastAsia="Arial" w:hAnsi="Arial" w:cs="Arial"/>
          <w:vertAlign w:val="superscript"/>
        </w:rPr>
        <w:footnoteReference w:customMarkFollows="1" w:id="233"/>
        <w:t>*</w:t>
      </w:r>
      <w:r>
        <w:rPr>
          <w:rFonts w:ascii="Arial" w:eastAsia="Arial" w:hAnsi="Arial" w:cs="Arial"/>
          <w:color w:val="000000"/>
          <w:sz w:val="20"/>
        </w:rPr>
        <w:t xml:space="preserve"> District Judge. Opinion by Judge Rawlinson.</w:t>
      </w:r>
    </w:p>
    <w:p w:rsidR="00E456CD" w:rsidRDefault="00000000">
      <w:pPr>
        <w:pStyle w:val="Normal35"/>
        <w:widowControl w:val="0"/>
        <w:spacing w:before="240" w:line="260" w:lineRule="atLeast"/>
      </w:pPr>
      <w:bookmarkStart w:id="5425" w:name="Opinion_by_21"/>
      <w:bookmarkEnd w:id="5425"/>
      <w:r>
        <w:rPr>
          <w:rFonts w:ascii="Arial" w:eastAsia="Arial" w:hAnsi="Arial" w:cs="Arial"/>
          <w:b/>
          <w:color w:val="000000"/>
          <w:sz w:val="20"/>
        </w:rPr>
        <w:t>Opinion by:</w:t>
      </w:r>
      <w:r>
        <w:rPr>
          <w:rFonts w:ascii="Arial" w:eastAsia="Arial" w:hAnsi="Arial" w:cs="Arial"/>
          <w:color w:val="000000"/>
          <w:sz w:val="20"/>
        </w:rPr>
        <w:t> Johnnie B. Rawlinson</w:t>
      </w:r>
    </w:p>
    <w:p w:rsidR="00E456CD" w:rsidRDefault="00000000">
      <w:pPr>
        <w:pStyle w:val="Normal35"/>
        <w:keepNext/>
        <w:widowControl w:val="0"/>
        <w:spacing w:before="240" w:line="340" w:lineRule="atLeast"/>
      </w:pPr>
      <w:bookmarkStart w:id="5426" w:name="Opinion_34"/>
      <w:bookmarkEnd w:id="5426"/>
      <w:r>
        <w:rPr>
          <w:rFonts w:ascii="Arial" w:eastAsia="Arial" w:hAnsi="Arial" w:cs="Arial"/>
          <w:b/>
          <w:color w:val="000000"/>
          <w:sz w:val="28"/>
        </w:rPr>
        <w:t>Opinion</w:t>
      </w:r>
    </w:p>
    <w:p w:rsidR="00E456CD" w:rsidRDefault="00E22289">
      <w:pPr>
        <w:pStyle w:val="Normal35"/>
        <w:spacing w:line="60" w:lineRule="exact"/>
      </w:pPr>
      <w:r>
        <w:rPr>
          <w:noProof/>
        </w:rPr>
        <mc:AlternateContent>
          <mc:Choice Requires="wps">
            <w:drawing>
              <wp:anchor distT="0" distB="0" distL="114300" distR="114300" simplePos="0" relativeHeight="25173401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77716105"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83AE1" id="Line 77"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5"/>
      </w:pPr>
    </w:p>
    <w:p w:rsidR="00E456CD" w:rsidRDefault="00000000">
      <w:pPr>
        <w:pStyle w:val="Normal35"/>
        <w:widowControl w:val="0"/>
        <w:spacing w:before="200" w:line="260" w:lineRule="atLeast"/>
        <w:jc w:val="both"/>
      </w:pPr>
      <w:bookmarkStart w:id="5427" w:name="Bookmark_para_3_34"/>
      <w:bookmarkEnd w:id="5427"/>
      <w:r>
        <w:rPr>
          <w:rFonts w:ascii="Arial" w:eastAsia="Arial" w:hAnsi="Arial" w:cs="Arial"/>
          <w:color w:val="000000"/>
          <w:sz w:val="20"/>
        </w:rPr>
        <w:t> [*796]  RAWLINSON, Circuit Judge:</w:t>
      </w:r>
    </w:p>
    <w:p w:rsidR="00E456CD" w:rsidRDefault="00000000">
      <w:pPr>
        <w:pStyle w:val="Normal35"/>
        <w:widowControl w:val="0"/>
        <w:spacing w:before="200" w:line="260" w:lineRule="atLeast"/>
        <w:jc w:val="both"/>
      </w:pPr>
      <w:bookmarkStart w:id="5428" w:name="Bookmark_para_4_34"/>
      <w:bookmarkEnd w:id="5428"/>
      <w:r>
        <w:rPr>
          <w:rFonts w:ascii="Arial" w:eastAsia="Arial" w:hAnsi="Arial" w:cs="Arial"/>
          <w:color w:val="000000"/>
          <w:sz w:val="20"/>
        </w:rPr>
        <w:t>Appellant Liberty Natural Products, Inc. (Liberty) challenges the district court's decision denying Liberty's renewed motion for judgment as a matter of law (JMOL). Appellee Tracy Dunlap (Dunlap) brought suit against Liberty under the Americans with Disabilities Act (ADA) and Oregon state law, alleging that Liberty failed to accommodate her disability and subjected her to disparate treatment due to her disability. Dunlap challenges the district court's order granting in part Dunlap's motion for an award of attorney's fees. [**3] </w:t>
      </w:r>
    </w:p>
    <w:p w:rsidR="00E456CD" w:rsidRDefault="00000000">
      <w:pPr>
        <w:pStyle w:val="Normal35"/>
        <w:widowControl w:val="0"/>
        <w:spacing w:before="200" w:line="260" w:lineRule="atLeast"/>
        <w:jc w:val="both"/>
      </w:pPr>
      <w:bookmarkStart w:id="5429" w:name="Bookmark_para_5_34"/>
      <w:bookmarkEnd w:id="5429"/>
      <w:r>
        <w:rPr>
          <w:rFonts w:ascii="Arial" w:eastAsia="Arial" w:hAnsi="Arial" w:cs="Arial"/>
          <w:color w:val="000000"/>
          <w:sz w:val="20"/>
        </w:rPr>
        <w:t>We have jurisdiction under 28 U.S.C. § 1291 and affirm both decisions.</w:t>
      </w:r>
    </w:p>
    <w:p w:rsidR="00E456CD" w:rsidRDefault="00000000">
      <w:pPr>
        <w:pStyle w:val="Normal35"/>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rsidR="00E456CD" w:rsidRDefault="00000000">
      <w:pPr>
        <w:pStyle w:val="Normal35"/>
        <w:widowControl w:val="0"/>
        <w:spacing w:before="200" w:line="260" w:lineRule="atLeast"/>
        <w:jc w:val="both"/>
      </w:pPr>
      <w:bookmarkStart w:id="5430" w:name="Bookmark_para_6_34"/>
      <w:bookmarkEnd w:id="5430"/>
      <w:r>
        <w:rPr>
          <w:rFonts w:ascii="Arial" w:eastAsia="Arial" w:hAnsi="Arial" w:cs="Arial"/>
          <w:color w:val="000000"/>
          <w:sz w:val="20"/>
        </w:rPr>
        <w:t>Liberty is a small business that imports and distributes wholesale botanical products. From September, 2006, to April, 2012, Liberty employed Dunlap as a shipping clerk.</w:t>
      </w:r>
    </w:p>
    <w:p w:rsidR="00E456CD" w:rsidRDefault="00000000">
      <w:pPr>
        <w:pStyle w:val="Normal35"/>
        <w:widowControl w:val="0"/>
        <w:spacing w:before="200" w:line="260" w:lineRule="atLeast"/>
        <w:jc w:val="both"/>
      </w:pPr>
      <w:bookmarkStart w:id="5431" w:name="Bookmark_para_7_33"/>
      <w:bookmarkEnd w:id="5431"/>
      <w:r>
        <w:rPr>
          <w:rFonts w:ascii="Arial" w:eastAsia="Arial" w:hAnsi="Arial" w:cs="Arial"/>
          <w:color w:val="000000"/>
          <w:sz w:val="20"/>
        </w:rPr>
        <w:t>In June, 2010, Dunlap began experiencing pain in her right elbow. She filed a workers' compensation claim and a physician  [*797]  later diagnosed Dunlap with bilateral lateral epicondylitis in both elbows. For two years, Dunlap worked full-time for Liberty, with restrictions. Her workers' compensation claim was eventually accepted and later closed. The Notice of Closure, which was sent to both Dunlap and Liberty, classified Dunlap's condition as disabling.</w:t>
      </w:r>
    </w:p>
    <w:p w:rsidR="00E456CD" w:rsidRDefault="00000000">
      <w:pPr>
        <w:pStyle w:val="Normal35"/>
        <w:widowControl w:val="0"/>
        <w:spacing w:before="200" w:line="260" w:lineRule="atLeast"/>
        <w:jc w:val="both"/>
      </w:pPr>
      <w:bookmarkStart w:id="5432" w:name="Bookmark_para_8_33"/>
      <w:bookmarkEnd w:id="5432"/>
      <w:r>
        <w:rPr>
          <w:rFonts w:ascii="Arial" w:eastAsia="Arial" w:hAnsi="Arial" w:cs="Arial"/>
          <w:color w:val="000000"/>
          <w:sz w:val="20"/>
        </w:rPr>
        <w:t>One month after Dunlap's claim was closed, Liberty terminated Dunlap's employment. Dunlap immediately requested reinstatement to her former position or another suitable position. Liberty declined Dunlap's request for reinstatement.</w:t>
      </w:r>
    </w:p>
    <w:p w:rsidR="00E456CD" w:rsidRDefault="00000000">
      <w:pPr>
        <w:pStyle w:val="Normal35"/>
        <w:widowControl w:val="0"/>
        <w:spacing w:before="200" w:line="260" w:lineRule="atLeast"/>
        <w:jc w:val="both"/>
      </w:pPr>
      <w:bookmarkStart w:id="5433" w:name="Bookmark_para_9_33"/>
      <w:bookmarkEnd w:id="5433"/>
      <w:r>
        <w:rPr>
          <w:rFonts w:ascii="Arial" w:eastAsia="Arial" w:hAnsi="Arial" w:cs="Arial"/>
          <w:color w:val="000000"/>
          <w:sz w:val="20"/>
        </w:rPr>
        <w:t>Dunlap then filed an action against Liberty, alleging employment discrimination based on disability under the ADA and under Or. Rev. Stat. §§ 659A.112, 659A.040, 659A.043, 659A.046, and 659A.199. The district court granted summary judgment in favor of Liberty on all but three claims—disability discrimination, "regarded as" disability discrimination, and [**4]  failure to reinstate or reemploy. The jury returned a verdict in Dunlap's favor on her claim for disability discrimination under the ADA and related Oregon statutes. The jury returned a verdict in favor of Liberty on Dunlap's "regarded as" disability claim and on her failure to reinstate or reemploy claim. The jury awarded Dunlap $70,000 in non-economic damages, and the district court awarded Dunlap $13,200 in backpay damages.</w:t>
      </w:r>
    </w:p>
    <w:p w:rsidR="00E456CD" w:rsidRDefault="00000000">
      <w:pPr>
        <w:pStyle w:val="Normal35"/>
        <w:widowControl w:val="0"/>
        <w:spacing w:before="200" w:line="260" w:lineRule="atLeast"/>
        <w:jc w:val="both"/>
      </w:pPr>
      <w:bookmarkStart w:id="5434" w:name="Bookmark_para_10_32"/>
      <w:bookmarkEnd w:id="5434"/>
      <w:r>
        <w:rPr>
          <w:rFonts w:ascii="Arial" w:eastAsia="Arial" w:hAnsi="Arial" w:cs="Arial"/>
          <w:color w:val="000000"/>
          <w:sz w:val="20"/>
        </w:rPr>
        <w:t>After the district court denied Liberty's renewed motion for JMOL, Liberty filed a timely appeal challenging the jury instructions and the district court's denial of its renewed motion for JMOL. Dunlap subsequently moved for $235,038 in attorney's fees, and the district court granted the motion in part, reducing the requested fees by fifty percent. Dunlap timely appealed the fee award.</w:t>
      </w:r>
    </w:p>
    <w:p w:rsidR="00E456CD" w:rsidRDefault="00000000">
      <w:pPr>
        <w:pStyle w:val="Normal35"/>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rsidR="00E456CD" w:rsidRDefault="00000000">
      <w:pPr>
        <w:pStyle w:val="Normal35"/>
        <w:widowControl w:val="0"/>
        <w:spacing w:before="200" w:line="260" w:lineRule="atLeast"/>
        <w:jc w:val="both"/>
      </w:pPr>
      <w:bookmarkStart w:id="5435" w:name="Bookmark_para_11_31"/>
      <w:bookmarkStart w:id="5436" w:name="Bookmark_I5RHJJV02D6MWJ0020000400"/>
      <w:bookmarkEnd w:id="5435"/>
      <w:bookmarkEnd w:id="5436"/>
      <w:r>
        <w:rPr>
          <w:rFonts w:ascii="Arial" w:eastAsia="Arial" w:hAnsi="Arial" w:cs="Arial"/>
          <w:color w:val="000000"/>
          <w:sz w:val="20"/>
        </w:rPr>
        <w:t xml:space="preserve">Where a litigant asserts that a challenged jury instruction "is an incorrect statement of law, our review is </w:t>
      </w:r>
      <w:r>
        <w:rPr>
          <w:rFonts w:ascii="Arial" w:eastAsia="Arial" w:hAnsi="Arial" w:cs="Arial"/>
          <w:i/>
          <w:color w:val="000000"/>
          <w:sz w:val="20"/>
        </w:rPr>
        <w:t>de novo</w:t>
      </w:r>
      <w:r>
        <w:rPr>
          <w:rFonts w:ascii="Arial" w:eastAsia="Arial" w:hAnsi="Arial" w:cs="Arial"/>
          <w:color w:val="000000"/>
          <w:sz w:val="20"/>
        </w:rPr>
        <w:t xml:space="preserve">." </w:t>
      </w:r>
      <w:bookmarkStart w:id="5437" w:name="Bookmark_I5RHJJV02D6MWJ0010000400"/>
      <w:bookmarkEnd w:id="5437"/>
      <w:r>
        <w:rPr>
          <w:rFonts w:ascii="Arial" w:eastAsia="Arial" w:hAnsi="Arial" w:cs="Arial"/>
          <w:i/>
          <w:color w:val="000000"/>
          <w:sz w:val="20"/>
        </w:rPr>
        <w:t>Chess v. Dovey</w:t>
      </w:r>
      <w:r>
        <w:rPr>
          <w:rFonts w:ascii="Arial" w:eastAsia="Arial" w:hAnsi="Arial" w:cs="Arial"/>
          <w:color w:val="000000"/>
          <w:sz w:val="20"/>
        </w:rPr>
        <w:t xml:space="preserve">, 790 F.3d 961, 970 (9th Cir. 2015) (citation omitted). ["W]hen a litigant in a civil trial fails to object to a jury instruction, we may review the challenged jury instruction for plain error." </w:t>
      </w:r>
      <w:r>
        <w:rPr>
          <w:rFonts w:ascii="Arial" w:eastAsia="Arial" w:hAnsi="Arial" w:cs="Arial"/>
          <w:i/>
          <w:color w:val="000000"/>
          <w:sz w:val="20"/>
        </w:rPr>
        <w:t>Id.</w:t>
      </w:r>
    </w:p>
    <w:p w:rsidR="00E456CD" w:rsidRDefault="00000000">
      <w:pPr>
        <w:pStyle w:val="Normal35"/>
        <w:widowControl w:val="0"/>
        <w:spacing w:before="200" w:line="260" w:lineRule="atLeast"/>
        <w:jc w:val="both"/>
      </w:pPr>
      <w:bookmarkStart w:id="5438" w:name="Bookmark_para_12_30"/>
      <w:bookmarkStart w:id="5439" w:name="Bookmark_I5RHJJV02D6MWJ0040000400"/>
      <w:bookmarkStart w:id="5440" w:name="Bookmark_I5RHJJV02SF8150010000400"/>
      <w:bookmarkEnd w:id="5438"/>
      <w:bookmarkEnd w:id="5439"/>
      <w:bookmarkEnd w:id="5440"/>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the district court's denial of a Rule 50(b) renewed motion for judgment as a matter of law. [**5]  The test is whether the evidence, construed in the light most favorable to the nonmoving party, permits only one reasonable conclusion, and that conclusion is contrary to that of the jury. . . ." </w:t>
      </w:r>
      <w:bookmarkStart w:id="5441" w:name="Bookmark_I5RHJJV02D6MWJ0030000400"/>
      <w:bookmarkEnd w:id="5441"/>
      <w:r>
        <w:rPr>
          <w:rFonts w:ascii="Arial" w:eastAsia="Arial" w:hAnsi="Arial" w:cs="Arial"/>
          <w:i/>
          <w:color w:val="000000"/>
          <w:sz w:val="20"/>
        </w:rPr>
        <w:t>Estate of Diaz v. City of Anaheim</w:t>
      </w:r>
      <w:r>
        <w:rPr>
          <w:rFonts w:ascii="Arial" w:eastAsia="Arial" w:hAnsi="Arial" w:cs="Arial"/>
          <w:color w:val="000000"/>
          <w:sz w:val="20"/>
        </w:rPr>
        <w:t xml:space="preserve">, 840 F.3d 592, 604 (9th Cir. 2016), </w:t>
      </w:r>
      <w:r>
        <w:rPr>
          <w:rFonts w:ascii="Arial" w:eastAsia="Arial" w:hAnsi="Arial" w:cs="Arial"/>
          <w:i/>
          <w:color w:val="000000"/>
          <w:sz w:val="20"/>
        </w:rPr>
        <w:t>as amended</w:t>
      </w:r>
      <w:r>
        <w:rPr>
          <w:rFonts w:ascii="Arial" w:eastAsia="Arial" w:hAnsi="Arial" w:cs="Arial"/>
          <w:color w:val="000000"/>
          <w:sz w:val="20"/>
        </w:rPr>
        <w:t xml:space="preserve"> (citation and internal quotation marks omitted). "A jury's verdict must be upheld if it is supported by substantial evidence that is adequate to support the jury's findings, even if contrary findings are also possible." </w:t>
      </w:r>
      <w:bookmarkStart w:id="5442" w:name="Bookmark_I5RHJJV02D6MWJ0050000400"/>
      <w:bookmarkEnd w:id="5442"/>
      <w:r>
        <w:rPr>
          <w:rFonts w:ascii="Arial" w:eastAsia="Arial" w:hAnsi="Arial" w:cs="Arial"/>
          <w:i/>
          <w:color w:val="000000"/>
          <w:sz w:val="20"/>
        </w:rPr>
        <w:t>Escriba v. Foster Poultry Farms, Inc.</w:t>
      </w:r>
      <w:r>
        <w:rPr>
          <w:rFonts w:ascii="Arial" w:eastAsia="Arial" w:hAnsi="Arial" w:cs="Arial"/>
          <w:color w:val="000000"/>
          <w:sz w:val="20"/>
        </w:rPr>
        <w:t>, 743 F.3d 1236, 1242 (9th Cir. 2014) (citation omitted).</w:t>
      </w:r>
    </w:p>
    <w:p w:rsidR="00E456CD" w:rsidRDefault="00000000">
      <w:pPr>
        <w:pStyle w:val="Normal35"/>
        <w:widowControl w:val="0"/>
        <w:spacing w:before="200" w:line="260" w:lineRule="atLeast"/>
        <w:jc w:val="both"/>
      </w:pPr>
      <w:bookmarkStart w:id="5443" w:name="Bookmark_para_13_28"/>
      <w:bookmarkStart w:id="5444" w:name="Bookmark_I5RHJJV02SF8150030000400"/>
      <w:bookmarkEnd w:id="5443"/>
      <w:bookmarkEnd w:id="5444"/>
      <w:r>
        <w:rPr>
          <w:rFonts w:ascii="Arial" w:eastAsia="Arial" w:hAnsi="Arial" w:cs="Arial"/>
          <w:color w:val="000000"/>
          <w:sz w:val="20"/>
        </w:rPr>
        <w:t xml:space="preserve">"[W]e review the calculation of fees for abuse of discretion. . . ." </w:t>
      </w:r>
      <w:bookmarkStart w:id="5445" w:name="Bookmark_I5RHJJV02SF8150020000400"/>
      <w:bookmarkEnd w:id="5445"/>
      <w:r>
        <w:rPr>
          <w:rFonts w:ascii="Arial" w:eastAsia="Arial" w:hAnsi="Arial" w:cs="Arial"/>
          <w:i/>
          <w:color w:val="000000"/>
          <w:sz w:val="20"/>
        </w:rPr>
        <w:t>Chaudhry v. Los Angeles</w:t>
      </w:r>
      <w:r>
        <w:rPr>
          <w:rFonts w:ascii="Arial" w:eastAsia="Arial" w:hAnsi="Arial" w:cs="Arial"/>
          <w:color w:val="000000"/>
          <w:sz w:val="20"/>
        </w:rPr>
        <w:t>, 751 F.3d 1096, 1110 (9th Cir. 2014) (citation omitted).</w:t>
      </w:r>
    </w:p>
    <w:p w:rsidR="00E456CD" w:rsidRDefault="00000000">
      <w:pPr>
        <w:pStyle w:val="Normal35"/>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rsidR="00E456CD" w:rsidRDefault="00000000">
      <w:pPr>
        <w:pStyle w:val="Normal35"/>
        <w:widowControl w:val="0"/>
        <w:spacing w:before="240" w:line="260" w:lineRule="atLeast"/>
      </w:pPr>
      <w:r>
        <w:br/>
      </w:r>
      <w:r>
        <w:rPr>
          <w:rFonts w:ascii="Arial" w:eastAsia="Arial" w:hAnsi="Arial" w:cs="Arial"/>
          <w:b/>
          <w:color w:val="000000"/>
          <w:sz w:val="20"/>
        </w:rPr>
        <w:t>A. Instructional Error</w:t>
      </w:r>
    </w:p>
    <w:p w:rsidR="00E456CD" w:rsidRDefault="00000000">
      <w:pPr>
        <w:pStyle w:val="Normal35"/>
        <w:widowControl w:val="0"/>
        <w:spacing w:before="200" w:line="260" w:lineRule="atLeast"/>
        <w:jc w:val="both"/>
      </w:pPr>
      <w:bookmarkStart w:id="5446" w:name="Bookmark_para_14_27"/>
      <w:bookmarkEnd w:id="5446"/>
      <w:r>
        <w:rPr>
          <w:rFonts w:ascii="Arial" w:eastAsia="Arial" w:hAnsi="Arial" w:cs="Arial"/>
          <w:color w:val="000000"/>
          <w:sz w:val="20"/>
        </w:rPr>
        <w:t>Liberty contends that the district court committed instructional error by conflating the elements of the disparate-treatment and failure-to-accommodate claims.</w:t>
      </w:r>
      <w:r>
        <w:rPr>
          <w:rFonts w:ascii="Arial" w:eastAsia="Arial" w:hAnsi="Arial" w:cs="Arial"/>
          <w:vertAlign w:val="superscript"/>
        </w:rPr>
        <w:footnoteReference w:customMarkFollows="1" w:id="234"/>
        <w:t>1</w:t>
      </w:r>
      <w:r>
        <w:rPr>
          <w:rFonts w:ascii="Arial" w:eastAsia="Arial" w:hAnsi="Arial" w:cs="Arial"/>
          <w:color w:val="000000"/>
          <w:sz w:val="20"/>
        </w:rPr>
        <w:t xml:space="preserve"> According  [*798]  to Liberty, this error "denied the jury the opportunity to decide the foundational issue of whether [Dunlap] triggered a duty to accommodate."</w:t>
      </w:r>
    </w:p>
    <w:p w:rsidR="00E456CD" w:rsidRDefault="00000000">
      <w:pPr>
        <w:pStyle w:val="Normal35"/>
        <w:widowControl w:val="0"/>
        <w:spacing w:before="200" w:line="260" w:lineRule="atLeast"/>
        <w:jc w:val="both"/>
      </w:pPr>
      <w:bookmarkStart w:id="5449" w:name="Bookmark_para_16_26"/>
      <w:bookmarkStart w:id="5450" w:name="Bookmark_I5RHJJV02SF8150050000400"/>
      <w:bookmarkEnd w:id="5449"/>
      <w:bookmarkEnd w:id="5450"/>
      <w:r>
        <w:rPr>
          <w:rFonts w:ascii="Arial" w:eastAsia="Arial" w:hAnsi="Arial" w:cs="Arial"/>
          <w:color w:val="000000"/>
          <w:sz w:val="20"/>
        </w:rPr>
        <w:t xml:space="preserve">Dunlap counters that Liberty failed to properly preserve its objections to the jury instructions. Dunlap contends in the alternative that any instructional error was harmless. </w:t>
      </w:r>
      <w:bookmarkStart w:id="5451" w:name="Bookmark_I5RHJJV028T50C0020000400"/>
      <w:bookmarkEnd w:id="5451"/>
      <w:r>
        <w:rPr>
          <w:rFonts w:ascii="Arial" w:eastAsia="Arial" w:hAnsi="Arial" w:cs="Arial"/>
          <w:color w:val="000000"/>
          <w:sz w:val="20"/>
        </w:rPr>
        <w:t xml:space="preserve">Because the district court proceeded on the basis that Liberty adequately objected to the failure-to-accommodate instruction as a misstatement of the law, we review this issue </w:t>
      </w:r>
      <w:r>
        <w:rPr>
          <w:rFonts w:ascii="Arial" w:eastAsia="Arial" w:hAnsi="Arial" w:cs="Arial"/>
          <w:i/>
          <w:color w:val="000000"/>
          <w:sz w:val="20"/>
        </w:rPr>
        <w:t>de novo</w:t>
      </w:r>
      <w:r>
        <w:rPr>
          <w:rFonts w:ascii="Arial" w:eastAsia="Arial" w:hAnsi="Arial" w:cs="Arial"/>
          <w:color w:val="000000"/>
          <w:sz w:val="20"/>
        </w:rPr>
        <w:t xml:space="preserve">. </w:t>
      </w:r>
      <w:r>
        <w:rPr>
          <w:rFonts w:ascii="Arial" w:eastAsia="Arial" w:hAnsi="Arial" w:cs="Arial"/>
          <w:i/>
          <w:color w:val="000000"/>
          <w:sz w:val="20"/>
        </w:rPr>
        <w:t xml:space="preserve">See </w:t>
      </w:r>
      <w:bookmarkStart w:id="5452" w:name="Bookmark_I5RHJJV02SF8150040000400"/>
      <w:bookmarkEnd w:id="5452"/>
      <w:r>
        <w:rPr>
          <w:rFonts w:ascii="Arial" w:eastAsia="Arial" w:hAnsi="Arial" w:cs="Arial"/>
          <w:i/>
          <w:color w:val="000000"/>
          <w:sz w:val="20"/>
        </w:rPr>
        <w:t>Chess</w:t>
      </w:r>
      <w:r>
        <w:rPr>
          <w:rFonts w:ascii="Arial" w:eastAsia="Arial" w:hAnsi="Arial" w:cs="Arial"/>
          <w:color w:val="000000"/>
          <w:sz w:val="20"/>
        </w:rPr>
        <w:t xml:space="preserve">, 790 F.3d at 970. </w:t>
      </w:r>
      <w:bookmarkStart w:id="5453" w:name="Bookmark_I5RHJJV028T50C0020000400_2"/>
      <w:bookmarkEnd w:id="5453"/>
      <w:r>
        <w:rPr>
          <w:rFonts w:ascii="Arial" w:eastAsia="Arial" w:hAnsi="Arial" w:cs="Arial"/>
          <w:color w:val="000000"/>
          <w:sz w:val="20"/>
        </w:rPr>
        <w:t xml:space="preserve">We also note that Liberty submitted proposed instructions, objected to Dunlap's proposed instructions, and penned a letter to the court regarding the asserted instructional error. </w:t>
      </w:r>
      <w:r>
        <w:rPr>
          <w:rFonts w:ascii="Arial" w:eastAsia="Arial" w:hAnsi="Arial" w:cs="Arial"/>
          <w:i/>
          <w:color w:val="000000"/>
          <w:sz w:val="20"/>
        </w:rPr>
        <w:t xml:space="preserve">See </w:t>
      </w:r>
      <w:bookmarkStart w:id="5454" w:name="Bookmark_I5RHJJV028T50C0010000400"/>
      <w:bookmarkEnd w:id="5454"/>
      <w:r>
        <w:rPr>
          <w:rFonts w:ascii="Arial" w:eastAsia="Arial" w:hAnsi="Arial" w:cs="Arial"/>
          <w:i/>
          <w:color w:val="000000"/>
          <w:sz w:val="20"/>
        </w:rPr>
        <w:t>Hunter v. Cty. of Sacramento</w:t>
      </w:r>
      <w:r>
        <w:rPr>
          <w:rFonts w:ascii="Arial" w:eastAsia="Arial" w:hAnsi="Arial" w:cs="Arial"/>
          <w:color w:val="000000"/>
          <w:sz w:val="20"/>
        </w:rPr>
        <w:t>, 652 F.3d 1225, 1230 (9th Cir. 2011) (explaining that the proffer of an alternate instruction sufficiently preserves the objection).</w:t>
      </w:r>
    </w:p>
    <w:p w:rsidR="00E456CD" w:rsidRDefault="00000000">
      <w:pPr>
        <w:pStyle w:val="Normal35"/>
        <w:widowControl w:val="0"/>
        <w:spacing w:before="200" w:line="260" w:lineRule="atLeast"/>
        <w:jc w:val="both"/>
      </w:pPr>
      <w:bookmarkStart w:id="5455" w:name="Bookmark_para_17_25"/>
      <w:bookmarkStart w:id="5456" w:name="Bookmark_I5RHJJV028T50C0040000400"/>
      <w:bookmarkEnd w:id="5455"/>
      <w:bookmarkEnd w:id="5456"/>
      <w:r>
        <w:rPr>
          <w:rFonts w:ascii="Arial" w:eastAsia="Arial" w:hAnsi="Arial" w:cs="Arial"/>
          <w:color w:val="000000"/>
          <w:sz w:val="20"/>
        </w:rPr>
        <w:t xml:space="preserve">Ideally, the district court would have separated the elements of Dunlap's disparate treatment and failure-to-accommodate claims in the jury instructions. </w:t>
      </w:r>
      <w:bookmarkStart w:id="5457" w:name="Bookmark_I5RHJJV02N1R3B0010000400"/>
      <w:bookmarkEnd w:id="5457"/>
      <w:r>
        <w:rPr>
          <w:rFonts w:ascii="Arial" w:eastAsia="Arial" w:hAnsi="Arial" w:cs="Arial"/>
          <w:color w:val="000000"/>
          <w:sz w:val="20"/>
        </w:rPr>
        <w:t xml:space="preserve">We have recognized that a failure-to-accommodate claim "is analytically distinct from a claim of disparate treatment or impact under the ADA." </w:t>
      </w:r>
      <w:bookmarkStart w:id="5458" w:name="Bookmark_I5RHJJV028T50C0030000400"/>
      <w:bookmarkEnd w:id="5458"/>
      <w:r>
        <w:rPr>
          <w:rFonts w:ascii="Arial" w:eastAsia="Arial" w:hAnsi="Arial" w:cs="Arial"/>
          <w:i/>
          <w:color w:val="000000"/>
          <w:sz w:val="20"/>
        </w:rPr>
        <w:t>Johnson v. Bd. of Trustees of Boundary Cty. Sch. Dist.</w:t>
      </w:r>
      <w:r>
        <w:rPr>
          <w:rFonts w:ascii="Arial" w:eastAsia="Arial" w:hAnsi="Arial" w:cs="Arial"/>
          <w:color w:val="000000"/>
          <w:sz w:val="20"/>
        </w:rPr>
        <w:t xml:space="preserve">, 666 F.3d 561, 567 (9th Cir. 2011). Accordingly, the district court's conflation of the elements of Dunlap's disparate treatment and failure-to-accommodate claims constituted instructional [**7]  error as a misstatement of the law. </w:t>
      </w:r>
      <w:r>
        <w:rPr>
          <w:rFonts w:ascii="Arial" w:eastAsia="Arial" w:hAnsi="Arial" w:cs="Arial"/>
          <w:i/>
          <w:color w:val="000000"/>
          <w:sz w:val="20"/>
        </w:rPr>
        <w:t>See id.</w:t>
      </w:r>
      <w:r>
        <w:rPr>
          <w:rFonts w:ascii="Arial" w:eastAsia="Arial" w:hAnsi="Arial" w:cs="Arial"/>
          <w:color w:val="000000"/>
          <w:sz w:val="20"/>
        </w:rPr>
        <w:t xml:space="preserve"> Nevertheless, the instructional error was not cause for reversal. </w:t>
      </w:r>
      <w:bookmarkStart w:id="5459" w:name="Bookmark_I5RHJJV02N1R3B0010000400_2"/>
      <w:bookmarkEnd w:id="5459"/>
      <w:r>
        <w:rPr>
          <w:rFonts w:ascii="Arial" w:eastAsia="Arial" w:hAnsi="Arial" w:cs="Arial"/>
          <w:i/>
          <w:color w:val="000000"/>
          <w:sz w:val="20"/>
        </w:rPr>
        <w:t xml:space="preserve">See </w:t>
      </w:r>
      <w:bookmarkStart w:id="5460" w:name="Bookmark_I5RHJJV028T50C0050000400"/>
      <w:bookmarkEnd w:id="5460"/>
      <w:r>
        <w:rPr>
          <w:rFonts w:ascii="Arial" w:eastAsia="Arial" w:hAnsi="Arial" w:cs="Arial"/>
          <w:i/>
          <w:color w:val="000000"/>
          <w:sz w:val="20"/>
        </w:rPr>
        <w:t>Clem v. Lomeli</w:t>
      </w:r>
      <w:r>
        <w:rPr>
          <w:rFonts w:ascii="Arial" w:eastAsia="Arial" w:hAnsi="Arial" w:cs="Arial"/>
          <w:color w:val="000000"/>
          <w:sz w:val="20"/>
        </w:rPr>
        <w:t xml:space="preserve">, 566 F.3d 1177, 1182 (9th Cir. 2009) ("An error in instructing the jury in a civil case requires reversal unless the error is more probably than not harmless. . . .") (citation omitted). Where "it is more probable than not that the jury would have reached the same verdict had it been properly instructed," the erroneous instruction is harmless. </w:t>
      </w:r>
      <w:r>
        <w:rPr>
          <w:rFonts w:ascii="Arial" w:eastAsia="Arial" w:hAnsi="Arial" w:cs="Arial"/>
          <w:i/>
          <w:color w:val="000000"/>
          <w:sz w:val="20"/>
        </w:rPr>
        <w:t>Id.</w:t>
      </w:r>
      <w:r>
        <w:rPr>
          <w:rFonts w:ascii="Arial" w:eastAsia="Arial" w:hAnsi="Arial" w:cs="Arial"/>
          <w:color w:val="000000"/>
          <w:sz w:val="20"/>
        </w:rPr>
        <w:t xml:space="preserve"> (citation omitted).</w:t>
      </w:r>
    </w:p>
    <w:p w:rsidR="00E456CD" w:rsidRDefault="00000000">
      <w:pPr>
        <w:pStyle w:val="Normal35"/>
        <w:widowControl w:val="0"/>
        <w:spacing w:before="200" w:line="260" w:lineRule="atLeast"/>
        <w:jc w:val="both"/>
      </w:pPr>
      <w:bookmarkStart w:id="5461" w:name="Bookmark_para_18_24"/>
      <w:bookmarkEnd w:id="5461"/>
      <w:r>
        <w:rPr>
          <w:rFonts w:ascii="Arial" w:eastAsia="Arial" w:hAnsi="Arial" w:cs="Arial"/>
          <w:color w:val="000000"/>
          <w:sz w:val="20"/>
        </w:rPr>
        <w:t xml:space="preserve">The record is undisputed that Liberty was on notice of Dunlap's physical limitations. Dunlap provided Liberty with medical notes and releases describing her restrictions. </w:t>
      </w:r>
      <w:bookmarkStart w:id="5462" w:name="Bookmark_I5RHJJV02N1R3B0030000400"/>
      <w:bookmarkEnd w:id="5462"/>
      <w:r>
        <w:rPr>
          <w:rFonts w:ascii="Arial" w:eastAsia="Arial" w:hAnsi="Arial" w:cs="Arial"/>
          <w:color w:val="000000"/>
          <w:sz w:val="20"/>
        </w:rPr>
        <w:t xml:space="preserve">Liberty was also aware of Dunlap's request to use carts and other modifications to her workspace to accommodate her restrictions. Due to this ample notice of Dunlap's physical limitations, Liberty was aware of or had reason to be aware of Dunlap's desire for a reasonable accommodation. </w:t>
      </w:r>
      <w:r>
        <w:rPr>
          <w:rFonts w:ascii="Arial" w:eastAsia="Arial" w:hAnsi="Arial" w:cs="Arial"/>
          <w:i/>
          <w:color w:val="000000"/>
          <w:sz w:val="20"/>
        </w:rPr>
        <w:t xml:space="preserve">See </w:t>
      </w:r>
      <w:bookmarkStart w:id="5463" w:name="Bookmark_I5RHJJV02N1R3B0020000400"/>
      <w:bookmarkEnd w:id="5463"/>
      <w:r>
        <w:rPr>
          <w:rFonts w:ascii="Arial" w:eastAsia="Arial" w:hAnsi="Arial" w:cs="Arial"/>
          <w:i/>
          <w:color w:val="000000"/>
          <w:sz w:val="20"/>
        </w:rPr>
        <w:t>Humphrey v. Mem'l Hosp. Ass'n</w:t>
      </w:r>
      <w:r>
        <w:rPr>
          <w:rFonts w:ascii="Arial" w:eastAsia="Arial" w:hAnsi="Arial" w:cs="Arial"/>
          <w:color w:val="000000"/>
          <w:sz w:val="20"/>
        </w:rPr>
        <w:t xml:space="preserve">, 239 F.3d 1128, 1137 (9th Cir. 2001). </w:t>
      </w:r>
      <w:bookmarkStart w:id="5464" w:name="Bookmark_I5RHJJV02N1R3B0050000400"/>
      <w:bookmarkEnd w:id="5464"/>
      <w:r>
        <w:rPr>
          <w:rFonts w:ascii="Arial" w:eastAsia="Arial" w:hAnsi="Arial" w:cs="Arial"/>
          <w:color w:val="000000"/>
          <w:sz w:val="20"/>
        </w:rPr>
        <w:t xml:space="preserve">Such awareness triggered Liberty's duty to engage in the interactive process. </w:t>
      </w:r>
      <w:r>
        <w:rPr>
          <w:rFonts w:ascii="Arial" w:eastAsia="Arial" w:hAnsi="Arial" w:cs="Arial"/>
          <w:i/>
          <w:color w:val="000000"/>
          <w:sz w:val="20"/>
        </w:rPr>
        <w:t>See id.</w:t>
      </w:r>
      <w:r>
        <w:rPr>
          <w:rFonts w:ascii="Arial" w:eastAsia="Arial" w:hAnsi="Arial" w:cs="Arial"/>
          <w:color w:val="000000"/>
          <w:sz w:val="20"/>
        </w:rPr>
        <w:t xml:space="preserve"> As a result, we do not accept Liberty's contention that the jury was deprived of the "opportunity to decide the foundational issue of whether [Dunlap] triggered a duty to accommodate." Because "it is more [**8]  probable than not" that the jury's verdict was not affected, the district court's instructional error was harmless. </w:t>
      </w:r>
      <w:bookmarkStart w:id="5465" w:name="Bookmark_I5RHJJV02N1R3B0040000400"/>
      <w:bookmarkEnd w:id="5465"/>
      <w:r>
        <w:rPr>
          <w:rFonts w:ascii="Arial" w:eastAsia="Arial" w:hAnsi="Arial" w:cs="Arial"/>
          <w:i/>
          <w:color w:val="000000"/>
          <w:sz w:val="20"/>
        </w:rPr>
        <w:t>Clem</w:t>
      </w:r>
      <w:r>
        <w:rPr>
          <w:rFonts w:ascii="Arial" w:eastAsia="Arial" w:hAnsi="Arial" w:cs="Arial"/>
          <w:color w:val="000000"/>
          <w:sz w:val="20"/>
        </w:rPr>
        <w:t>, 566 F.3d at 1182 (citation omitted).</w:t>
      </w:r>
    </w:p>
    <w:p w:rsidR="00E456CD" w:rsidRDefault="00000000">
      <w:pPr>
        <w:pStyle w:val="Normal35"/>
        <w:widowControl w:val="0"/>
        <w:spacing w:before="240" w:line="260" w:lineRule="atLeast"/>
      </w:pPr>
      <w:r>
        <w:br/>
      </w:r>
      <w:r>
        <w:rPr>
          <w:rFonts w:ascii="Arial" w:eastAsia="Arial" w:hAnsi="Arial" w:cs="Arial"/>
          <w:b/>
          <w:color w:val="000000"/>
          <w:sz w:val="20"/>
        </w:rPr>
        <w:t>B. Renewed Motion for JMOL</w:t>
      </w:r>
    </w:p>
    <w:p w:rsidR="00E456CD" w:rsidRDefault="00000000">
      <w:pPr>
        <w:pStyle w:val="Normal35"/>
        <w:widowControl w:val="0"/>
        <w:spacing w:before="200" w:line="260" w:lineRule="atLeast"/>
        <w:jc w:val="both"/>
      </w:pPr>
      <w:bookmarkStart w:id="5466" w:name="Bookmark_para_19_23"/>
      <w:bookmarkEnd w:id="5466"/>
      <w:r>
        <w:rPr>
          <w:rFonts w:ascii="Arial" w:eastAsia="Arial" w:hAnsi="Arial" w:cs="Arial"/>
          <w:color w:val="000000"/>
          <w:sz w:val="20"/>
        </w:rPr>
        <w:t>Liberty contends that the district court erred in denying its motion for renewed JMOL because Dunlap failed to meet her burden to prove that a reasonable accommodation existed that would have enabled her to perform the essential functions of her shipping clerk position.</w:t>
      </w:r>
    </w:p>
    <w:p w:rsidR="00E456CD" w:rsidRDefault="00000000">
      <w:pPr>
        <w:pStyle w:val="Normal35"/>
        <w:widowControl w:val="0"/>
        <w:spacing w:before="200" w:line="260" w:lineRule="atLeast"/>
        <w:jc w:val="both"/>
      </w:pPr>
      <w:bookmarkStart w:id="5467" w:name="Bookmark_para_20_22"/>
      <w:bookmarkStart w:id="5468" w:name="Bookmark_I4GSWXBV8PN0010DC98001W7"/>
      <w:bookmarkStart w:id="5469" w:name="Bookmark_I5RHJJV02D6MWK0020000400"/>
      <w:bookmarkEnd w:id="5467"/>
      <w:bookmarkEnd w:id="5468"/>
      <w:bookmarkEnd w:id="5469"/>
      <w:r>
        <w:rPr>
          <w:rFonts w:ascii="Arial" w:eastAsia="Arial" w:hAnsi="Arial" w:cs="Arial"/>
          <w:color w:val="000000"/>
          <w:sz w:val="20"/>
        </w:rPr>
        <w:t xml:space="preserve">We are not persuaded by Liberty's contention. To prevail on her ADA claim, Dunlap was required to establish (1) that she was disabled under the ADA; (2)  [*799]  that she was a qualified individual with a disability; and (3) that she was discriminated against by her employer because of that disability. </w:t>
      </w:r>
      <w:bookmarkStart w:id="5470" w:name="Bookmark_I5RHJJV02D6MWK0040000400"/>
      <w:bookmarkEnd w:id="5470"/>
      <w:r>
        <w:rPr>
          <w:rFonts w:ascii="Arial" w:eastAsia="Arial" w:hAnsi="Arial" w:cs="Arial"/>
          <w:i/>
          <w:color w:val="000000"/>
          <w:sz w:val="20"/>
        </w:rPr>
        <w:t xml:space="preserve">See </w:t>
      </w:r>
      <w:bookmarkStart w:id="5471" w:name="Bookmark_I5RHJJV02D6MWK0010000400"/>
      <w:bookmarkEnd w:id="5471"/>
      <w:r>
        <w:rPr>
          <w:rFonts w:ascii="Arial" w:eastAsia="Arial" w:hAnsi="Arial" w:cs="Arial"/>
          <w:i/>
          <w:color w:val="000000"/>
          <w:sz w:val="20"/>
        </w:rPr>
        <w:t>Smith v. Clark Cty. Sch. Dist.</w:t>
      </w:r>
      <w:r>
        <w:rPr>
          <w:rFonts w:ascii="Arial" w:eastAsia="Arial" w:hAnsi="Arial" w:cs="Arial"/>
          <w:color w:val="000000"/>
          <w:sz w:val="20"/>
        </w:rPr>
        <w:t xml:space="preserve">, 727 F.3d 950, 955 (9th Cir. 2013). </w:t>
      </w:r>
      <w:bookmarkStart w:id="5472" w:name="Bookmark_I5RHJJV02D6MWK0040000400_2"/>
      <w:bookmarkEnd w:id="5472"/>
      <w:r>
        <w:rPr>
          <w:rFonts w:ascii="Arial" w:eastAsia="Arial" w:hAnsi="Arial" w:cs="Arial"/>
          <w:color w:val="000000"/>
          <w:sz w:val="20"/>
        </w:rPr>
        <w:t xml:space="preserve">"A qualified individual with a disability is defined as an individual with a disability who, with or without reasonable accommodation, can perform the essential functions of the employment position that such individual holds or desires. . . ." </w:t>
      </w:r>
      <w:r>
        <w:rPr>
          <w:rFonts w:ascii="Arial" w:eastAsia="Arial" w:hAnsi="Arial" w:cs="Arial"/>
          <w:i/>
          <w:color w:val="000000"/>
          <w:sz w:val="20"/>
        </w:rPr>
        <w:t>Id.</w:t>
      </w:r>
      <w:r>
        <w:rPr>
          <w:rFonts w:ascii="Arial" w:eastAsia="Arial" w:hAnsi="Arial" w:cs="Arial"/>
          <w:color w:val="000000"/>
          <w:sz w:val="20"/>
        </w:rPr>
        <w:t xml:space="preserve"> (citation and internal quotation marks omitted). The ADA "defines discrimination to include an employer's failure to make [a] reasonable accommodation." </w:t>
      </w:r>
      <w:bookmarkStart w:id="5473" w:name="Bookmark_I5RHJJV02D6MWK0030000400"/>
      <w:bookmarkEnd w:id="5473"/>
      <w:r>
        <w:rPr>
          <w:rFonts w:ascii="Arial" w:eastAsia="Arial" w:hAnsi="Arial" w:cs="Arial"/>
          <w:i/>
          <w:color w:val="000000"/>
          <w:sz w:val="20"/>
        </w:rPr>
        <w:t>Mendoza v. The Roman Catholic Archbishop of Los Angeles</w:t>
      </w:r>
      <w:r>
        <w:rPr>
          <w:rFonts w:ascii="Arial" w:eastAsia="Arial" w:hAnsi="Arial" w:cs="Arial"/>
          <w:color w:val="000000"/>
          <w:sz w:val="20"/>
        </w:rPr>
        <w:t>, 824 F.3d 1148, 1150 (9th Cir. 2016) (citation, alteration, and internal quotation marks omitted).</w:t>
      </w:r>
    </w:p>
    <w:p w:rsidR="00E456CD" w:rsidRDefault="00000000">
      <w:pPr>
        <w:pStyle w:val="Normal35"/>
        <w:widowControl w:val="0"/>
        <w:spacing w:before="200" w:line="260" w:lineRule="atLeast"/>
        <w:jc w:val="both"/>
      </w:pPr>
      <w:bookmarkStart w:id="5474" w:name="Bookmark_para_21_21"/>
      <w:bookmarkStart w:id="5475" w:name="Bookmark_I5RHJJV028T50D0010000400"/>
      <w:bookmarkEnd w:id="5474"/>
      <w:bookmarkEnd w:id="5475"/>
      <w:r>
        <w:rPr>
          <w:rFonts w:ascii="Arial" w:eastAsia="Arial" w:hAnsi="Arial" w:cs="Arial"/>
          <w:color w:val="000000"/>
          <w:sz w:val="20"/>
        </w:rPr>
        <w:t xml:space="preserve">The [**9]  term "'reasonable accommodation' may include . . . acquisition or modification of equipment or devices . . . and other similar accommodations for individuals with disabilities." 42 U.S.C. § 12111(9). </w:t>
      </w:r>
      <w:bookmarkStart w:id="5476" w:name="Bookmark_I5RHJJV028T50D0030000400"/>
      <w:bookmarkEnd w:id="5476"/>
      <w:r>
        <w:rPr>
          <w:rFonts w:ascii="Arial" w:eastAsia="Arial" w:hAnsi="Arial" w:cs="Arial"/>
          <w:color w:val="000000"/>
          <w:sz w:val="20"/>
        </w:rPr>
        <w:t xml:space="preserve">Whether an accommodation is reasonable "depends on the individual circumstances of each case, and requires a fact-specific, individualized analysis of the disabled individual's circumstances and the [potential] accommodations." </w:t>
      </w:r>
      <w:bookmarkStart w:id="5477" w:name="Bookmark_I5RHJJV02D6MWK0050000400"/>
      <w:bookmarkEnd w:id="5477"/>
      <w:r>
        <w:rPr>
          <w:rFonts w:ascii="Arial" w:eastAsia="Arial" w:hAnsi="Arial" w:cs="Arial"/>
          <w:i/>
          <w:color w:val="000000"/>
          <w:sz w:val="20"/>
        </w:rPr>
        <w:t>Mark H. v. Hamamoto</w:t>
      </w:r>
      <w:r>
        <w:rPr>
          <w:rFonts w:ascii="Arial" w:eastAsia="Arial" w:hAnsi="Arial" w:cs="Arial"/>
          <w:color w:val="000000"/>
          <w:sz w:val="20"/>
        </w:rPr>
        <w:t xml:space="preserve">, 620 F.3d 1090, 1098 (9th Cir. 2010) (citation omitted). "Once an employer becomes aware of the need for accommodation, that employer has a mandatory obligation under the ADA to engage in an interactive process with the employee to identify and implement appropriate reasonable accommodations" that will enable the employee to perform her job duties. </w:t>
      </w:r>
      <w:bookmarkStart w:id="5478" w:name="Bookmark_I5RHJJV028T50D0030000400_2"/>
      <w:bookmarkStart w:id="5479" w:name="Bookmark_I5RHJJV028T50D0020000400"/>
      <w:bookmarkEnd w:id="5478"/>
      <w:bookmarkEnd w:id="5479"/>
      <w:r>
        <w:rPr>
          <w:rFonts w:ascii="Arial" w:eastAsia="Arial" w:hAnsi="Arial" w:cs="Arial"/>
          <w:i/>
          <w:color w:val="000000"/>
          <w:sz w:val="20"/>
        </w:rPr>
        <w:t>Humphrey</w:t>
      </w:r>
      <w:r>
        <w:rPr>
          <w:rFonts w:ascii="Arial" w:eastAsia="Arial" w:hAnsi="Arial" w:cs="Arial"/>
          <w:color w:val="000000"/>
          <w:sz w:val="20"/>
        </w:rPr>
        <w:t>, 239 F.3d at 1137.</w:t>
      </w:r>
    </w:p>
    <w:p w:rsidR="00E456CD" w:rsidRDefault="00000000">
      <w:pPr>
        <w:pStyle w:val="Normal35"/>
        <w:widowControl w:val="0"/>
        <w:spacing w:before="200" w:line="260" w:lineRule="atLeast"/>
        <w:jc w:val="both"/>
      </w:pPr>
      <w:bookmarkStart w:id="5480" w:name="Bookmark_para_22_20"/>
      <w:bookmarkStart w:id="5481" w:name="Bookmark_I5RHJJV028T50D0050000400"/>
      <w:bookmarkEnd w:id="5480"/>
      <w:bookmarkEnd w:id="5481"/>
      <w:r>
        <w:rPr>
          <w:rFonts w:ascii="Arial" w:eastAsia="Arial" w:hAnsi="Arial" w:cs="Arial"/>
          <w:color w:val="000000"/>
          <w:sz w:val="20"/>
        </w:rPr>
        <w:t xml:space="preserve">Construed in the light most favorable to Dunlap, the evidence supports the jury's verdict. </w:t>
      </w:r>
      <w:r>
        <w:rPr>
          <w:rFonts w:ascii="Arial" w:eastAsia="Arial" w:hAnsi="Arial" w:cs="Arial"/>
          <w:i/>
          <w:color w:val="000000"/>
          <w:sz w:val="20"/>
        </w:rPr>
        <w:t xml:space="preserve">See </w:t>
      </w:r>
      <w:bookmarkStart w:id="5482" w:name="Bookmark_I5RHJJV028T50D0040000400"/>
      <w:bookmarkEnd w:id="5482"/>
      <w:r>
        <w:rPr>
          <w:rFonts w:ascii="Arial" w:eastAsia="Arial" w:hAnsi="Arial" w:cs="Arial"/>
          <w:i/>
          <w:color w:val="000000"/>
          <w:sz w:val="20"/>
        </w:rPr>
        <w:t>Estate of Diaz</w:t>
      </w:r>
      <w:r>
        <w:rPr>
          <w:rFonts w:ascii="Arial" w:eastAsia="Arial" w:hAnsi="Arial" w:cs="Arial"/>
          <w:color w:val="000000"/>
          <w:sz w:val="20"/>
        </w:rPr>
        <w:t xml:space="preserve">, 840 F.3d at 604. The record reflects that Dunlap satisfied her burden to prove the existence of reasonable accommodations that would enable her to perform the essential job functions of her position. Dunlap specifically adduced evidence that onsite carts and other affordable assistive devices, such as a scissor lift table, were readily available to Liberty and could have enabled her to perform [**10]  the essential job function of moving objects from one point to another. </w:t>
      </w:r>
      <w:bookmarkStart w:id="5483" w:name="Bookmark_I5RHJJV02HM6W60020000400"/>
      <w:bookmarkEnd w:id="5483"/>
      <w:r>
        <w:rPr>
          <w:rFonts w:ascii="Arial" w:eastAsia="Arial" w:hAnsi="Arial" w:cs="Arial"/>
          <w:color w:val="000000"/>
          <w:sz w:val="20"/>
        </w:rPr>
        <w:t xml:space="preserve">Dunlap also established that she placed Liberty on notice of her limitations by providing Liberty her medical restrictions and releases. The record reflects that Liberty discouraged use of the onsite carts, failed to discuss or provide assistive devices, and terminated Dunlap's employment due to her perceived inability to perform the essential job functions of her position. Because the evidence reflected that Liberty had prior notice of Dunlap's limitations, refused to consider or implement her proposed accommodations, and failed to articulate any undue hardship, the district court correctly denied Liberty's renewed motion for JMOL. </w:t>
      </w:r>
      <w:r>
        <w:rPr>
          <w:rFonts w:ascii="Arial" w:eastAsia="Arial" w:hAnsi="Arial" w:cs="Arial"/>
          <w:i/>
          <w:color w:val="000000"/>
          <w:sz w:val="20"/>
        </w:rPr>
        <w:t xml:space="preserve">See </w:t>
      </w:r>
      <w:bookmarkStart w:id="5484" w:name="Bookmark_I5RHJJV02HM6W60010000400"/>
      <w:bookmarkEnd w:id="5484"/>
      <w:r>
        <w:rPr>
          <w:rFonts w:ascii="Arial" w:eastAsia="Arial" w:hAnsi="Arial" w:cs="Arial"/>
          <w:i/>
          <w:color w:val="000000"/>
          <w:sz w:val="20"/>
        </w:rPr>
        <w:t>Escriba</w:t>
      </w:r>
      <w:r>
        <w:rPr>
          <w:rFonts w:ascii="Arial" w:eastAsia="Arial" w:hAnsi="Arial" w:cs="Arial"/>
          <w:color w:val="000000"/>
          <w:sz w:val="20"/>
        </w:rPr>
        <w:t xml:space="preserve">, 743 F.3d at 1242 (explaining that JMOL is properly granted only if the evidence "permits only one reasonable conclusion . . . contrary to the jury's verdict") (citation omitted); </w:t>
      </w:r>
      <w:r>
        <w:rPr>
          <w:rFonts w:ascii="Arial" w:eastAsia="Arial" w:hAnsi="Arial" w:cs="Arial"/>
          <w:i/>
          <w:color w:val="000000"/>
          <w:sz w:val="20"/>
        </w:rPr>
        <w:t xml:space="preserve">see also </w:t>
      </w:r>
      <w:bookmarkStart w:id="5485" w:name="Bookmark_I5RHJJV02HM6W60030000400"/>
      <w:bookmarkEnd w:id="5485"/>
      <w:r>
        <w:rPr>
          <w:rFonts w:ascii="Arial" w:eastAsia="Arial" w:hAnsi="Arial" w:cs="Arial"/>
          <w:i/>
          <w:color w:val="000000"/>
          <w:sz w:val="20"/>
        </w:rPr>
        <w:t>Humphrey</w:t>
      </w:r>
      <w:r>
        <w:rPr>
          <w:rFonts w:ascii="Arial" w:eastAsia="Arial" w:hAnsi="Arial" w:cs="Arial"/>
          <w:color w:val="000000"/>
          <w:sz w:val="20"/>
        </w:rPr>
        <w:t>, 239 F.3d at 1139 (clarifying that an employer is not required to provide an accommodation that would impose undue hardship on the employer).</w:t>
      </w:r>
    </w:p>
    <w:p w:rsidR="00E456CD" w:rsidRDefault="00000000">
      <w:pPr>
        <w:pStyle w:val="Normal35"/>
        <w:widowControl w:val="0"/>
        <w:spacing w:before="240" w:line="260" w:lineRule="atLeast"/>
      </w:pPr>
      <w:r>
        <w:br/>
      </w:r>
      <w:r>
        <w:rPr>
          <w:rFonts w:ascii="Arial" w:eastAsia="Arial" w:hAnsi="Arial" w:cs="Arial"/>
          <w:b/>
          <w:color w:val="000000"/>
          <w:sz w:val="20"/>
        </w:rPr>
        <w:t>C. Attorney's Fees</w:t>
      </w:r>
    </w:p>
    <w:p w:rsidR="00E456CD" w:rsidRDefault="00000000">
      <w:pPr>
        <w:pStyle w:val="Normal35"/>
        <w:widowControl w:val="0"/>
        <w:spacing w:before="200" w:line="260" w:lineRule="atLeast"/>
        <w:jc w:val="both"/>
      </w:pPr>
      <w:bookmarkStart w:id="5486" w:name="Bookmark_para_23_20"/>
      <w:bookmarkEnd w:id="5486"/>
      <w:r>
        <w:rPr>
          <w:rFonts w:ascii="Arial" w:eastAsia="Arial" w:hAnsi="Arial" w:cs="Arial"/>
          <w:color w:val="000000"/>
          <w:sz w:val="20"/>
        </w:rPr>
        <w:t>Dunlap contends that the district court abused its discretion in reducing her fee award by 50 percent. We do not agree.</w:t>
      </w:r>
    </w:p>
    <w:p w:rsidR="00E456CD" w:rsidRDefault="00000000">
      <w:pPr>
        <w:pStyle w:val="Normal35"/>
        <w:widowControl w:val="0"/>
        <w:spacing w:before="200" w:line="260" w:lineRule="atLeast"/>
        <w:jc w:val="both"/>
      </w:pPr>
      <w:bookmarkStart w:id="5487" w:name="Bookmark_para_24_18"/>
      <w:bookmarkStart w:id="5488" w:name="Bookmark_I5RHJJV02SF8160010000400"/>
      <w:bookmarkEnd w:id="5487"/>
      <w:bookmarkEnd w:id="5488"/>
      <w:r>
        <w:rPr>
          <w:rFonts w:ascii="Arial" w:eastAsia="Arial" w:hAnsi="Arial" w:cs="Arial"/>
          <w:color w:val="000000"/>
          <w:sz w:val="20"/>
        </w:rPr>
        <w:t xml:space="preserve">We have held that it is within the district court's [**11]  discretion to determine "what fees are reasonable." </w:t>
      </w:r>
      <w:bookmarkStart w:id="5489" w:name="Bookmark_I5RHJJV02HM6W60050000400"/>
      <w:bookmarkEnd w:id="5489"/>
      <w:r>
        <w:rPr>
          <w:rFonts w:ascii="Arial" w:eastAsia="Arial" w:hAnsi="Arial" w:cs="Arial"/>
          <w:i/>
          <w:color w:val="000000"/>
          <w:sz w:val="20"/>
        </w:rPr>
        <w:t>Chaudhry</w:t>
      </w:r>
      <w:r>
        <w:rPr>
          <w:rFonts w:ascii="Arial" w:eastAsia="Arial" w:hAnsi="Arial" w:cs="Arial"/>
          <w:color w:val="000000"/>
          <w:sz w:val="20"/>
        </w:rPr>
        <w:t xml:space="preserve">, 751 F.3d at 1110 (citation and internal quotation marks omitted). In addition, the district court is required to "provide a concise but clear explanation of its reasons for the fee award." </w:t>
      </w:r>
      <w:r>
        <w:rPr>
          <w:rFonts w:ascii="Arial" w:eastAsia="Arial" w:hAnsi="Arial" w:cs="Arial"/>
          <w:i/>
          <w:color w:val="000000"/>
          <w:sz w:val="20"/>
        </w:rPr>
        <w:t>Id.</w:t>
      </w:r>
      <w:r>
        <w:rPr>
          <w:rFonts w:ascii="Arial" w:eastAsia="Arial" w:hAnsi="Arial" w:cs="Arial"/>
          <w:color w:val="000000"/>
          <w:sz w:val="20"/>
        </w:rPr>
        <w:t xml:space="preserve"> (citation omitted). The district court may consider "the degree of  [*800]  success achieved by the prevailing party." </w:t>
      </w:r>
      <w:r>
        <w:rPr>
          <w:rFonts w:ascii="Arial" w:eastAsia="Arial" w:hAnsi="Arial" w:cs="Arial"/>
          <w:i/>
          <w:color w:val="000000"/>
          <w:sz w:val="20"/>
        </w:rPr>
        <w:t>Id.</w:t>
      </w:r>
      <w:r>
        <w:rPr>
          <w:rFonts w:ascii="Arial" w:eastAsia="Arial" w:hAnsi="Arial" w:cs="Arial"/>
          <w:color w:val="000000"/>
          <w:sz w:val="20"/>
        </w:rPr>
        <w:t xml:space="preserve"> (citation omitted).</w:t>
      </w:r>
    </w:p>
    <w:p w:rsidR="00E456CD" w:rsidRDefault="00000000">
      <w:pPr>
        <w:pStyle w:val="Normal35"/>
        <w:widowControl w:val="0"/>
        <w:spacing w:before="200" w:line="260" w:lineRule="atLeast"/>
        <w:jc w:val="both"/>
      </w:pPr>
      <w:bookmarkStart w:id="5490" w:name="Bookmark_para_25_18"/>
      <w:bookmarkStart w:id="5491" w:name="Bookmark_I5RHJJV02SF8160030000400"/>
      <w:bookmarkStart w:id="5492" w:name="Bookmark_I5RHJJV02SF8160050000400"/>
      <w:bookmarkEnd w:id="5490"/>
      <w:bookmarkEnd w:id="5491"/>
      <w:bookmarkEnd w:id="5492"/>
      <w:r>
        <w:rPr>
          <w:rFonts w:ascii="Arial" w:eastAsia="Arial" w:hAnsi="Arial" w:cs="Arial"/>
          <w:color w:val="000000"/>
          <w:sz w:val="20"/>
        </w:rPr>
        <w:t>After reviewing the relief Dunlap obtained relative to the overall litigation, the district court explained that "[a] 50 percent reduction based on limited success is reasonable in this case, especially where Plaintiff essentially succeeded on only one of her five claims."</w:t>
      </w:r>
      <w:r>
        <w:rPr>
          <w:rFonts w:ascii="Arial" w:eastAsia="Arial" w:hAnsi="Arial" w:cs="Arial"/>
          <w:vertAlign w:val="superscript"/>
        </w:rPr>
        <w:footnoteReference w:customMarkFollows="1" w:id="235"/>
        <w:t>2</w:t>
      </w:r>
      <w:r>
        <w:rPr>
          <w:rFonts w:ascii="Arial" w:eastAsia="Arial" w:hAnsi="Arial" w:cs="Arial"/>
          <w:color w:val="000000"/>
          <w:sz w:val="20"/>
        </w:rPr>
        <w:t xml:space="preserve"> Because the district court provided a "concise but clear explanation of its reasons" for the fee reduction and because we view "the degree of success achieved by the prevailing party" as an appropriate consideration, we defer to the exercise of the district court's discretion and uphold the fee award. </w:t>
      </w:r>
      <w:bookmarkStart w:id="5495" w:name="Bookmark_I5RHJJV02SF8160020000400"/>
      <w:bookmarkEnd w:id="5495"/>
      <w:r>
        <w:rPr>
          <w:rFonts w:ascii="Arial" w:eastAsia="Arial" w:hAnsi="Arial" w:cs="Arial"/>
          <w:i/>
          <w:color w:val="000000"/>
          <w:sz w:val="20"/>
        </w:rPr>
        <w:t>Chaudhry</w:t>
      </w:r>
      <w:r>
        <w:rPr>
          <w:rFonts w:ascii="Arial" w:eastAsia="Arial" w:hAnsi="Arial" w:cs="Arial"/>
          <w:color w:val="000000"/>
          <w:sz w:val="20"/>
        </w:rPr>
        <w:t>, 751 F.3d at 1110.</w:t>
      </w:r>
      <w:r>
        <w:rPr>
          <w:rFonts w:ascii="Arial" w:eastAsia="Arial" w:hAnsi="Arial" w:cs="Arial"/>
          <w:vertAlign w:val="superscript"/>
        </w:rPr>
        <w:footnoteReference w:customMarkFollows="1" w:id="236"/>
        <w:t>3</w:t>
      </w:r>
    </w:p>
    <w:p w:rsidR="00E456CD" w:rsidRDefault="00000000">
      <w:pPr>
        <w:pStyle w:val="Normal35"/>
        <w:widowControl w:val="0"/>
        <w:spacing w:before="240" w:line="260" w:lineRule="atLeast"/>
      </w:pPr>
      <w:r>
        <w:br/>
      </w:r>
      <w:r>
        <w:rPr>
          <w:rFonts w:ascii="Arial" w:eastAsia="Arial" w:hAnsi="Arial" w:cs="Arial"/>
          <w:b/>
          <w:color w:val="000000"/>
          <w:sz w:val="20"/>
        </w:rPr>
        <w:t>IV</w:t>
      </w:r>
      <w:r>
        <w:rPr>
          <w:rFonts w:ascii="Arial" w:eastAsia="Arial" w:hAnsi="Arial" w:cs="Arial"/>
          <w:color w:val="000000"/>
          <w:sz w:val="20"/>
        </w:rPr>
        <w:t>.</w:t>
      </w:r>
    </w:p>
    <w:p w:rsidR="00E456CD" w:rsidRDefault="00000000">
      <w:pPr>
        <w:pStyle w:val="Normal35"/>
        <w:widowControl w:val="0"/>
        <w:spacing w:before="200" w:line="260" w:lineRule="atLeast"/>
        <w:jc w:val="both"/>
      </w:pPr>
      <w:bookmarkStart w:id="5498" w:name="Bookmark_para_27_17"/>
      <w:bookmarkEnd w:id="5498"/>
      <w:r>
        <w:rPr>
          <w:rFonts w:ascii="Arial" w:eastAsia="Arial" w:hAnsi="Arial" w:cs="Arial"/>
          <w:color w:val="000000"/>
          <w:sz w:val="20"/>
        </w:rPr>
        <w:t>Although the district court should not have conflated the instructions for the disparate treatment and failure-to-accommodate claims under the ADA, the error was harmless because the employer was on notice of the need to accommodate. We affirm the attorney fee award as adequately explained and calculated within the district court's sound discretion.</w:t>
      </w:r>
    </w:p>
    <w:p w:rsidR="00E456CD" w:rsidRDefault="00000000">
      <w:pPr>
        <w:pStyle w:val="Normal35"/>
        <w:widowControl w:val="0"/>
        <w:spacing w:before="200" w:line="260" w:lineRule="atLeast"/>
        <w:jc w:val="both"/>
      </w:pPr>
      <w:bookmarkStart w:id="5499" w:name="Bookmark_para_28_17"/>
      <w:bookmarkEnd w:id="5499"/>
      <w:r>
        <w:rPr>
          <w:rFonts w:ascii="Arial" w:eastAsia="Arial" w:hAnsi="Arial" w:cs="Arial"/>
          <w:b/>
          <w:color w:val="000000"/>
          <w:sz w:val="20"/>
        </w:rPr>
        <w:t>AFFIRMED</w:t>
      </w:r>
      <w:r>
        <w:rPr>
          <w:rFonts w:ascii="Arial" w:eastAsia="Arial" w:hAnsi="Arial" w:cs="Arial"/>
          <w:color w:val="000000"/>
          <w:sz w:val="20"/>
        </w:rPr>
        <w:t>.</w:t>
      </w:r>
    </w:p>
    <w:p w:rsidR="00E456CD" w:rsidRDefault="00E456CD">
      <w:pPr>
        <w:pStyle w:val="Normal35"/>
      </w:pPr>
    </w:p>
    <w:p w:rsidR="00E456CD" w:rsidRDefault="00000000">
      <w:pPr>
        <w:pStyle w:val="Normal35"/>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3504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659507060"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8FC09" id="Line 78"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6"/>
        <w:sectPr w:rsidR="00E456CD">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gutter="0"/>
          <w:cols w:space="720"/>
          <w:titlePg/>
        </w:sectPr>
      </w:pPr>
    </w:p>
    <w:p w:rsidR="00E456CD" w:rsidRDefault="00E456CD">
      <w:pPr>
        <w:pStyle w:val="Normal36"/>
      </w:pPr>
    </w:p>
    <w:p w:rsidR="00E456CD" w:rsidRDefault="00000000">
      <w:pPr>
        <w:pStyle w:val="Heading135"/>
        <w:keepNext w:val="0"/>
        <w:widowControl w:val="0"/>
        <w:spacing w:after="200" w:line="340" w:lineRule="atLeast"/>
        <w:jc w:val="center"/>
      </w:pPr>
      <w:r>
        <w:rPr>
          <w:rFonts w:eastAsia="Arial"/>
          <w:color w:val="000000"/>
          <w:sz w:val="28"/>
        </w:rPr>
        <w:t>Windham v. Harris Cty.</w:t>
      </w:r>
    </w:p>
    <w:p w:rsidR="00E456CD" w:rsidRDefault="00000000">
      <w:pPr>
        <w:pStyle w:val="Normal36"/>
        <w:widowControl w:val="0"/>
        <w:spacing w:before="120" w:line="260" w:lineRule="atLeast"/>
        <w:jc w:val="center"/>
      </w:pPr>
      <w:r>
        <w:rPr>
          <w:rFonts w:ascii="Arial" w:eastAsia="Arial" w:hAnsi="Arial" w:cs="Arial"/>
          <w:color w:val="000000"/>
          <w:sz w:val="20"/>
        </w:rPr>
        <w:t>United States Court of Appeals for the Fifth Circuit</w:t>
      </w:r>
    </w:p>
    <w:p w:rsidR="00E456CD" w:rsidRDefault="00000000">
      <w:pPr>
        <w:pStyle w:val="Normal36"/>
        <w:widowControl w:val="0"/>
        <w:spacing w:before="120" w:line="260" w:lineRule="atLeast"/>
        <w:jc w:val="center"/>
      </w:pPr>
      <w:r>
        <w:rPr>
          <w:rFonts w:ascii="Arial" w:eastAsia="Arial" w:hAnsi="Arial" w:cs="Arial"/>
          <w:color w:val="000000"/>
          <w:sz w:val="20"/>
        </w:rPr>
        <w:t>November 13, 2017, Filed</w:t>
      </w:r>
    </w:p>
    <w:p w:rsidR="00E456CD" w:rsidRDefault="00000000">
      <w:pPr>
        <w:pStyle w:val="Normal36"/>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16-20686</w:t>
      </w:r>
    </w:p>
    <w:p w:rsidR="00E456CD" w:rsidRDefault="00E456CD">
      <w:pPr>
        <w:pStyle w:val="Normal36"/>
        <w:widowControl w:val="0"/>
        <w:spacing w:line="240" w:lineRule="atLeast"/>
        <w:jc w:val="both"/>
      </w:pPr>
      <w:bookmarkStart w:id="5500" w:name="Bookmark_37"/>
      <w:bookmarkEnd w:id="5500"/>
    </w:p>
    <w:p w:rsidR="00E456CD" w:rsidRDefault="00000000">
      <w:pPr>
        <w:pStyle w:val="Normal36"/>
        <w:widowControl w:val="0"/>
        <w:spacing w:before="200" w:line="240" w:lineRule="atLeast"/>
      </w:pPr>
      <w:bookmarkStart w:id="5501" w:name="Reporter_35"/>
      <w:bookmarkEnd w:id="5501"/>
      <w:r>
        <w:rPr>
          <w:rFonts w:ascii="Arial" w:eastAsia="Arial" w:hAnsi="Arial" w:cs="Arial"/>
          <w:b/>
          <w:color w:val="000000"/>
          <w:sz w:val="18"/>
        </w:rPr>
        <w:t>Reporter</w:t>
      </w:r>
    </w:p>
    <w:p w:rsidR="00E456CD" w:rsidRDefault="00000000">
      <w:pPr>
        <w:pStyle w:val="Normal36"/>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875 F.3d 229 *; 2017 U.S. App. LEXIS 22712 **; 2017 WL 5245104</w:t>
      </w:r>
    </w:p>
    <w:p w:rsidR="00E456CD" w:rsidRDefault="00000000">
      <w:pPr>
        <w:pStyle w:val="Normal36"/>
        <w:widowControl w:val="0"/>
        <w:spacing w:before="120" w:line="260" w:lineRule="atLeast"/>
      </w:pPr>
      <w:r>
        <w:rPr>
          <w:rFonts w:ascii="Arial" w:eastAsia="Arial" w:hAnsi="Arial" w:cs="Arial"/>
          <w:color w:val="000000"/>
          <w:sz w:val="20"/>
        </w:rPr>
        <w:t>WILLIAM WINDHAM, Medical Doctor, Plaintiff - Appellant v. HARRIS COUNTY, TEXAS; DEPUTY T. R. PASKET; DEPUTY M. DUNN; JOHN DOE SUPERVISORS, Defendants - Appellees</w:t>
      </w:r>
    </w:p>
    <w:p w:rsidR="00E456CD" w:rsidRDefault="00000000">
      <w:pPr>
        <w:pStyle w:val="Normal36"/>
        <w:widowControl w:val="0"/>
        <w:spacing w:before="240" w:line="260" w:lineRule="atLeast"/>
        <w:jc w:val="both"/>
      </w:pPr>
      <w:bookmarkStart w:id="5502" w:name="Prior_History_35"/>
      <w:bookmarkEnd w:id="5502"/>
      <w:r>
        <w:rPr>
          <w:rFonts w:ascii="Arial" w:eastAsia="Arial" w:hAnsi="Arial" w:cs="Arial"/>
          <w:b/>
          <w:color w:val="000000"/>
          <w:sz w:val="20"/>
        </w:rPr>
        <w:t>Prior History:</w:t>
      </w:r>
      <w:r>
        <w:rPr>
          <w:rFonts w:ascii="Arial" w:eastAsia="Arial" w:hAnsi="Arial" w:cs="Arial"/>
          <w:color w:val="000000"/>
          <w:sz w:val="20"/>
        </w:rPr>
        <w:t> </w:t>
      </w:r>
      <w:bookmarkStart w:id="5503" w:name="Bookmark_para_1_35"/>
      <w:bookmarkEnd w:id="5503"/>
      <w:r>
        <w:rPr>
          <w:rFonts w:ascii="Arial" w:eastAsia="Arial" w:hAnsi="Arial" w:cs="Arial"/>
          <w:color w:val="000000"/>
          <w:sz w:val="20"/>
        </w:rPr>
        <w:t> [**1] Appeal from the United States District Court for the Southern District of Texas.</w:t>
      </w:r>
    </w:p>
    <w:p w:rsidR="00E456CD" w:rsidRDefault="00000000">
      <w:pPr>
        <w:pStyle w:val="Normal36"/>
        <w:widowControl w:val="0"/>
        <w:spacing w:before="120" w:line="260" w:lineRule="atLeast"/>
      </w:pPr>
      <w:r>
        <w:rPr>
          <w:rFonts w:ascii="Arial" w:eastAsia="Arial" w:hAnsi="Arial" w:cs="Arial"/>
          <w:color w:val="000000"/>
          <w:sz w:val="20"/>
        </w:rPr>
        <w:t>Windham v. Harris County Tex., 2016 U.S. Dist. LEXIS 124435 (S.D. Tex., Sept. 13, 2016)</w:t>
      </w:r>
    </w:p>
    <w:p w:rsidR="00E456CD" w:rsidRDefault="00000000">
      <w:pPr>
        <w:pStyle w:val="Normal36"/>
        <w:widowControl w:val="0"/>
        <w:spacing w:before="240" w:line="260" w:lineRule="atLeast"/>
      </w:pPr>
      <w:bookmarkStart w:id="5504" w:name="Counsel_35"/>
      <w:bookmarkEnd w:id="5504"/>
      <w:r>
        <w:rPr>
          <w:rFonts w:ascii="Arial" w:eastAsia="Arial" w:hAnsi="Arial" w:cs="Arial"/>
          <w:b/>
          <w:color w:val="000000"/>
          <w:sz w:val="20"/>
        </w:rPr>
        <w:t>Counsel:</w:t>
      </w:r>
      <w:r>
        <w:rPr>
          <w:rFonts w:ascii="Arial" w:eastAsia="Arial" w:hAnsi="Arial" w:cs="Arial"/>
          <w:color w:val="000000"/>
          <w:sz w:val="20"/>
        </w:rPr>
        <w:t> For WILLIAM WINDHAM, Medical Doctor, Plaintiff - Appellant: Randall Lee Kallinen, Esq., Law Office of Randall L. Kallinen, P.L.L.C., Houston, TX.</w:t>
      </w:r>
    </w:p>
    <w:p w:rsidR="00E456CD" w:rsidRDefault="00000000">
      <w:pPr>
        <w:pStyle w:val="Normal36"/>
        <w:widowControl w:val="0"/>
        <w:spacing w:before="120" w:line="260" w:lineRule="atLeast"/>
      </w:pPr>
      <w:r>
        <w:rPr>
          <w:rFonts w:ascii="Arial" w:eastAsia="Arial" w:hAnsi="Arial" w:cs="Arial"/>
          <w:color w:val="000000"/>
          <w:sz w:val="20"/>
        </w:rPr>
        <w:t>For HARRIS COUNTY, TEXAS, DEPUTY T. R. PASKET, DEPUTY M. DUNN, Defendants - Appellees: Bruce Stephen Powers, Assistant County Attorney, Mary E. Baker, County Attorney's Office for the County of Harris, Houston, TX.</w:t>
      </w:r>
    </w:p>
    <w:p w:rsidR="00E456CD" w:rsidRDefault="00000000">
      <w:pPr>
        <w:pStyle w:val="Normal36"/>
        <w:widowControl w:val="0"/>
        <w:spacing w:before="240" w:line="260" w:lineRule="atLeast"/>
      </w:pPr>
      <w:bookmarkStart w:id="5505" w:name="Judges_35"/>
      <w:bookmarkEnd w:id="5505"/>
      <w:r>
        <w:rPr>
          <w:rFonts w:ascii="Arial" w:eastAsia="Arial" w:hAnsi="Arial" w:cs="Arial"/>
          <w:b/>
          <w:color w:val="000000"/>
          <w:sz w:val="20"/>
        </w:rPr>
        <w:t>Judges:</w:t>
      </w:r>
      <w:r>
        <w:rPr>
          <w:rFonts w:ascii="Arial" w:eastAsia="Arial" w:hAnsi="Arial" w:cs="Arial"/>
          <w:color w:val="000000"/>
          <w:sz w:val="20"/>
        </w:rPr>
        <w:t> Before SMITH, OWEN, and HIGGINSON, Circuit Judges.</w:t>
      </w:r>
    </w:p>
    <w:p w:rsidR="00E456CD" w:rsidRDefault="00000000">
      <w:pPr>
        <w:pStyle w:val="Normal36"/>
        <w:widowControl w:val="0"/>
        <w:spacing w:before="240" w:line="260" w:lineRule="atLeast"/>
      </w:pPr>
      <w:bookmarkStart w:id="5506" w:name="Opinion_by_22"/>
      <w:bookmarkEnd w:id="5506"/>
      <w:r>
        <w:rPr>
          <w:rFonts w:ascii="Arial" w:eastAsia="Arial" w:hAnsi="Arial" w:cs="Arial"/>
          <w:b/>
          <w:color w:val="000000"/>
          <w:sz w:val="20"/>
        </w:rPr>
        <w:t>Opinion by:</w:t>
      </w:r>
      <w:r>
        <w:rPr>
          <w:rFonts w:ascii="Arial" w:eastAsia="Arial" w:hAnsi="Arial" w:cs="Arial"/>
          <w:color w:val="000000"/>
          <w:sz w:val="20"/>
        </w:rPr>
        <w:t> STEPHEN A. HIGGINSON</w:t>
      </w:r>
    </w:p>
    <w:p w:rsidR="00E456CD" w:rsidRDefault="00000000">
      <w:pPr>
        <w:pStyle w:val="Normal36"/>
        <w:keepNext/>
        <w:widowControl w:val="0"/>
        <w:spacing w:before="240" w:line="340" w:lineRule="atLeast"/>
      </w:pPr>
      <w:bookmarkStart w:id="5507" w:name="Opinion_35"/>
      <w:bookmarkEnd w:id="5507"/>
      <w:r>
        <w:rPr>
          <w:rFonts w:ascii="Arial" w:eastAsia="Arial" w:hAnsi="Arial" w:cs="Arial"/>
          <w:b/>
          <w:color w:val="000000"/>
          <w:sz w:val="28"/>
        </w:rPr>
        <w:t>Opinion</w:t>
      </w:r>
    </w:p>
    <w:p w:rsidR="00E456CD" w:rsidRDefault="00E22289">
      <w:pPr>
        <w:pStyle w:val="Normal36"/>
        <w:spacing w:line="60" w:lineRule="exact"/>
      </w:pPr>
      <w:r>
        <w:rPr>
          <w:noProof/>
        </w:rPr>
        <mc:AlternateContent>
          <mc:Choice Requires="wps">
            <w:drawing>
              <wp:anchor distT="0" distB="0" distL="114300" distR="114300" simplePos="0" relativeHeight="25173606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725814920"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5DE78" id="Line 79"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6"/>
      </w:pPr>
    </w:p>
    <w:p w:rsidR="00E456CD" w:rsidRDefault="00000000">
      <w:pPr>
        <w:pStyle w:val="Normal36"/>
        <w:widowControl w:val="0"/>
        <w:spacing w:before="200" w:line="260" w:lineRule="atLeast"/>
        <w:jc w:val="both"/>
      </w:pPr>
      <w:bookmarkStart w:id="5508" w:name="Bookmark_para_2_35"/>
      <w:bookmarkEnd w:id="5508"/>
      <w:r>
        <w:rPr>
          <w:rFonts w:ascii="Arial" w:eastAsia="Arial" w:hAnsi="Arial" w:cs="Arial"/>
          <w:color w:val="000000"/>
          <w:sz w:val="20"/>
        </w:rPr>
        <w:t> [*232]  STEPHEN A. HIGGINSON, Circuit Judge:</w:t>
      </w:r>
    </w:p>
    <w:p w:rsidR="00E456CD" w:rsidRDefault="00000000">
      <w:pPr>
        <w:pStyle w:val="Normal36"/>
        <w:widowControl w:val="0"/>
        <w:spacing w:before="200" w:line="260" w:lineRule="atLeast"/>
        <w:jc w:val="both"/>
      </w:pPr>
      <w:bookmarkStart w:id="5509" w:name="Bookmark_para_3_35"/>
      <w:bookmarkEnd w:id="5509"/>
      <w:r>
        <w:rPr>
          <w:rFonts w:ascii="Arial" w:eastAsia="Arial" w:hAnsi="Arial" w:cs="Arial"/>
          <w:color w:val="000000"/>
          <w:sz w:val="20"/>
        </w:rPr>
        <w:t>Two Harris County sheriff's deputies detained plaintiff William Windham on suspicion of driving while impaired. Windham filed suit against the officers and the County, contending that a standard field sobriety test injured him as a result of his preexisting neck condition. He now appeals the district court's grant of summary judgment for defendants on his failure-to-accommodate claim under Title II of the Americans with Disabilities Act ("ADA"), and on his claims for unjustified detention, excessive use of force, and municipal liability under 42 U.S.C. § 1983 and the Fourth Amendment. We affirm.</w:t>
      </w:r>
    </w:p>
    <w:p w:rsidR="00E456CD" w:rsidRDefault="00000000">
      <w:pPr>
        <w:pStyle w:val="Normal36"/>
        <w:widowControl w:val="0"/>
        <w:spacing w:before="240" w:line="260" w:lineRule="atLeast"/>
      </w:pPr>
      <w:r>
        <w:br/>
      </w:r>
      <w:r>
        <w:rPr>
          <w:rFonts w:ascii="Arial" w:eastAsia="Arial" w:hAnsi="Arial" w:cs="Arial"/>
          <w:b/>
          <w:color w:val="000000"/>
          <w:sz w:val="20"/>
        </w:rPr>
        <w:t>BACKGROUND</w:t>
      </w:r>
    </w:p>
    <w:p w:rsidR="00E456CD" w:rsidRDefault="00000000">
      <w:pPr>
        <w:pStyle w:val="Normal36"/>
        <w:widowControl w:val="0"/>
        <w:spacing w:before="200" w:line="260" w:lineRule="atLeast"/>
        <w:jc w:val="both"/>
      </w:pPr>
      <w:bookmarkStart w:id="5510" w:name="Bookmark_para_4_35"/>
      <w:bookmarkEnd w:id="5510"/>
      <w:r>
        <w:rPr>
          <w:rFonts w:ascii="Arial" w:eastAsia="Arial" w:hAnsi="Arial" w:cs="Arial"/>
          <w:color w:val="000000"/>
          <w:sz w:val="20"/>
        </w:rPr>
        <w:t>On May 30, 2011, Deputy Thomas Pasket was called to investigate an accident [**2]  reportedly caused by an intoxicated driver.  [*233]  When he arrived at the scene around 2:49 p.m., he learned that Windham had rear-ended another car. The other car's passenger reported that Windham appeared to be under the influence of drugs or alcohol and had fallen asleep behind the wheel while waiting for the police. Pasket observed that Windham's eyes were bloodshot, that he appeared confused, and that he had not been aware that he had hit another car. Windham explained that he had taken a prescription painkiller at 3:00 a.m. and had been awake for twenty hours.</w:t>
      </w:r>
    </w:p>
    <w:p w:rsidR="00E456CD" w:rsidRDefault="00000000">
      <w:pPr>
        <w:pStyle w:val="Normal36"/>
        <w:widowControl w:val="0"/>
        <w:spacing w:before="200" w:line="260" w:lineRule="atLeast"/>
        <w:jc w:val="both"/>
      </w:pPr>
      <w:bookmarkStart w:id="5511" w:name="Bookmark_para_5_35"/>
      <w:bookmarkEnd w:id="5511"/>
      <w:r>
        <w:rPr>
          <w:rFonts w:ascii="Arial" w:eastAsia="Arial" w:hAnsi="Arial" w:cs="Arial"/>
          <w:color w:val="000000"/>
          <w:sz w:val="20"/>
        </w:rPr>
        <w:t>Windham suffered from cervical stenosis. As a result, his neck involuntarily assumed a flexed, downward-looking position. He carried an explanatory doctor's note. The note stated that Windham's stenosis "place[d] him at risk for strenuous activities and particularly for driving in the unpredictable event of an accident." It added that "[b]ecause of [Windham's] risk of neurologic injury from neck extension, he should also consider delaying his thyroid surgery until such time as his cervical spine issues have been addressed." And it concluded by asking the reader to "[k]indly afford [Windham] the opportunity to address these issues in whatever way that you [**3]  can help him." The note gave no further details, however, as to the nature of Windham's "issues" or the accommodations they required. Pasket read the note and assured Windham that "nobody w[ould] extend [his] neck."</w:t>
      </w:r>
      <w:r>
        <w:rPr>
          <w:rFonts w:ascii="Arial" w:eastAsia="Arial" w:hAnsi="Arial" w:cs="Arial"/>
          <w:vertAlign w:val="superscript"/>
        </w:rPr>
        <w:footnoteReference w:customMarkFollows="1" w:id="237"/>
        <w:t>1</w:t>
      </w:r>
    </w:p>
    <w:p w:rsidR="00E456CD" w:rsidRDefault="00000000">
      <w:pPr>
        <w:pStyle w:val="Normal36"/>
        <w:widowControl w:val="0"/>
        <w:spacing w:before="200" w:line="260" w:lineRule="atLeast"/>
        <w:jc w:val="both"/>
      </w:pPr>
      <w:bookmarkStart w:id="5519" w:name="Bookmark_para_12_31"/>
      <w:bookmarkEnd w:id="5519"/>
      <w:r>
        <w:rPr>
          <w:rFonts w:ascii="Arial" w:eastAsia="Arial" w:hAnsi="Arial" w:cs="Arial"/>
          <w:color w:val="000000"/>
          <w:sz w:val="20"/>
        </w:rPr>
        <w:t>Pasket then sought Windham's permission to administer certain standard field sobriety tests. Although Windham declined to perform some, he "promptly agreed" to a gaze nystagmus test.</w:t>
      </w:r>
      <w:r>
        <w:rPr>
          <w:rFonts w:ascii="Arial" w:eastAsia="Arial" w:hAnsi="Arial" w:cs="Arial"/>
          <w:vertAlign w:val="superscript"/>
        </w:rPr>
        <w:footnoteReference w:customMarkFollows="1" w:id="238"/>
        <w:t>2</w:t>
      </w:r>
      <w:r>
        <w:rPr>
          <w:rFonts w:ascii="Arial" w:eastAsia="Arial" w:hAnsi="Arial" w:cs="Arial"/>
          <w:color w:val="000000"/>
          <w:sz w:val="20"/>
        </w:rPr>
        <w:t xml:space="preserve"> That test [**4]  involves waiving a stimulus in front of the subject's face and tracking his eye movements. Pasket performed the test without injuring Windham. The results were negative or inconclusive. Pasket determined that he needed to call a certified drug recognition expert, Deputy Matthew Dunn, to gauge Windham's impairment.</w:t>
      </w:r>
      <w:r>
        <w:rPr>
          <w:rFonts w:ascii="Arial" w:eastAsia="Arial" w:hAnsi="Arial" w:cs="Arial"/>
          <w:vertAlign w:val="superscript"/>
        </w:rPr>
        <w:footnoteReference w:customMarkFollows="1" w:id="239"/>
        <w:t>3</w:t>
      </w:r>
    </w:p>
    <w:p w:rsidR="00E456CD" w:rsidRDefault="00000000">
      <w:pPr>
        <w:pStyle w:val="Normal36"/>
        <w:widowControl w:val="0"/>
        <w:spacing w:before="200" w:line="260" w:lineRule="atLeast"/>
        <w:jc w:val="both"/>
      </w:pPr>
      <w:bookmarkStart w:id="5524" w:name="Bookmark_para_13_29"/>
      <w:bookmarkEnd w:id="5524"/>
      <w:r>
        <w:rPr>
          <w:rFonts w:ascii="Arial" w:eastAsia="Arial" w:hAnsi="Arial" w:cs="Arial"/>
          <w:color w:val="000000"/>
          <w:sz w:val="20"/>
        </w:rPr>
        <w:t xml:space="preserve">Dunn responded to Pasket's call as quickly as he could, arriving at 4:01 p.m. He spoke first with Pasket for about ten minutes. The officers then approached Windham together. </w:t>
      </w:r>
      <w:bookmarkStart w:id="5525" w:name="Bookmark_I5R4G3YD2D6NF20040000400"/>
      <w:bookmarkEnd w:id="5525"/>
      <w:r>
        <w:rPr>
          <w:rFonts w:ascii="Arial" w:eastAsia="Arial" w:hAnsi="Arial" w:cs="Arial"/>
          <w:color w:val="000000"/>
          <w:sz w:val="20"/>
        </w:rPr>
        <w:t xml:space="preserve">The dash cam on Dunn's patrol car recorded their interaction. To the extent the parties' recollections  [*234]  differ from the video account, we credit the video. </w:t>
      </w:r>
      <w:r>
        <w:rPr>
          <w:rFonts w:ascii="Arial" w:eastAsia="Arial" w:hAnsi="Arial" w:cs="Arial"/>
          <w:i/>
          <w:color w:val="000000"/>
          <w:sz w:val="20"/>
        </w:rPr>
        <w:t xml:space="preserve">See </w:t>
      </w:r>
      <w:bookmarkStart w:id="5526" w:name="Bookmark_I5R4G3YD2D6NF20030000400"/>
      <w:bookmarkEnd w:id="5526"/>
      <w:r>
        <w:rPr>
          <w:rFonts w:ascii="Arial" w:eastAsia="Arial" w:hAnsi="Arial" w:cs="Arial"/>
          <w:i/>
          <w:color w:val="000000"/>
          <w:sz w:val="20"/>
        </w:rPr>
        <w:t>Scott v. Harris</w:t>
      </w:r>
      <w:r>
        <w:rPr>
          <w:rFonts w:ascii="Arial" w:eastAsia="Arial" w:hAnsi="Arial" w:cs="Arial"/>
          <w:color w:val="000000"/>
          <w:sz w:val="20"/>
        </w:rPr>
        <w:t>, 550 U.S. 372, 380-81, 127 S. Ct. 1769, 167 L. Ed. 2d 686 (2007).</w:t>
      </w:r>
    </w:p>
    <w:p w:rsidR="00E456CD" w:rsidRDefault="00000000">
      <w:pPr>
        <w:pStyle w:val="Normal36"/>
        <w:widowControl w:val="0"/>
        <w:spacing w:before="200" w:line="260" w:lineRule="atLeast"/>
        <w:jc w:val="both"/>
      </w:pPr>
      <w:bookmarkStart w:id="5527" w:name="Bookmark_para_14_28"/>
      <w:bookmarkEnd w:id="5527"/>
      <w:r>
        <w:rPr>
          <w:rFonts w:ascii="Arial" w:eastAsia="Arial" w:hAnsi="Arial" w:cs="Arial"/>
          <w:color w:val="000000"/>
          <w:sz w:val="20"/>
        </w:rPr>
        <w:t>According to the video, Windham began by telling Dunn that he "do[es]n't drive at all" because he has "cervical stenosis with radiculopathy in both [his] legs." He added, "It's right here on my surgical..." before trailing off and handing Dunn a stack of papers, including the doctor's note. Dunn held the papers at arm's length and glanced at the topmost page for about three seconds. No one mentioned the note.</w:t>
      </w:r>
    </w:p>
    <w:p w:rsidR="00E456CD" w:rsidRDefault="00000000">
      <w:pPr>
        <w:pStyle w:val="Normal36"/>
        <w:widowControl w:val="0"/>
        <w:spacing w:before="200" w:line="260" w:lineRule="atLeast"/>
        <w:jc w:val="both"/>
      </w:pPr>
      <w:bookmarkStart w:id="5528" w:name="Bookmark_para_15_28"/>
      <w:bookmarkEnd w:id="5528"/>
      <w:r>
        <w:rPr>
          <w:rFonts w:ascii="Arial" w:eastAsia="Arial" w:hAnsi="Arial" w:cs="Arial"/>
          <w:color w:val="000000"/>
          <w:sz w:val="20"/>
        </w:rPr>
        <w:t>Dunn asked Windham if he would perform some field sobriety tests. Windham responded, "Yeah I'm not gonna be able [**5]  to do them." Dunn asked, "So are you refusing to do any?," and Windham quickly assured him, "No." Dunn sought clarification: "So you said you will or you won't?" Windham replied, somewhat enigmatically, "No I will. But I'm not gonna be able to." Dunn remarked "okay" and began administering a gaze nystagmus test.</w:t>
      </w:r>
    </w:p>
    <w:p w:rsidR="00E456CD" w:rsidRDefault="00000000">
      <w:pPr>
        <w:pStyle w:val="Normal36"/>
        <w:widowControl w:val="0"/>
        <w:spacing w:before="200" w:line="260" w:lineRule="atLeast"/>
        <w:jc w:val="both"/>
      </w:pPr>
      <w:bookmarkStart w:id="5529" w:name="Bookmark_para_16_27"/>
      <w:bookmarkEnd w:id="5529"/>
      <w:r>
        <w:rPr>
          <w:rFonts w:ascii="Arial" w:eastAsia="Arial" w:hAnsi="Arial" w:cs="Arial"/>
          <w:color w:val="000000"/>
          <w:sz w:val="20"/>
        </w:rPr>
        <w:t>When Dunn instructed Windham to "look up at me" and "put your head up," Windham promptly did so, but added: "It hurts to lift my head up this high." Dunn asked if he had any head injuries and Windham answered, "No, but the neck hurts." Windham never indicated that he could not complete the test or asked Dunn to stop. He also never asked Dunn to administer the test differently or to use another test instead. To the contrary, he completed the gaze nystagmus test without further complaint. He held his head in the requested position for about forty-five seconds. He then completed the walk-and-turn test and the one-leg-stand.</w:t>
      </w:r>
    </w:p>
    <w:p w:rsidR="00E456CD" w:rsidRDefault="00000000">
      <w:pPr>
        <w:pStyle w:val="Normal36"/>
        <w:widowControl w:val="0"/>
        <w:spacing w:before="200" w:line="260" w:lineRule="atLeast"/>
        <w:jc w:val="both"/>
      </w:pPr>
      <w:bookmarkStart w:id="5530" w:name="Bookmark_para_17_26"/>
      <w:bookmarkStart w:id="5531" w:name="Bookmark_I5R4G3YD2D6NF30010000400"/>
      <w:bookmarkEnd w:id="5530"/>
      <w:bookmarkEnd w:id="5531"/>
      <w:r>
        <w:rPr>
          <w:rFonts w:ascii="Arial" w:eastAsia="Arial" w:hAnsi="Arial" w:cs="Arial"/>
          <w:color w:val="000000"/>
          <w:sz w:val="20"/>
        </w:rPr>
        <w:t xml:space="preserve">Dunn concluded that Windham was insufficiently impaired to justify arrest and released him around 4:18 p.m. The entire encounter lasted approximately ninety minutes. The district court determined, and no one now disputes, that a reasonable jury could find that [**6]  Windham suffered injury as a result of Dunn's administration of the gaze nystagmus test. Windham sued Pasket, Dunn, and the County, all of whom secured summary judgment on the relevant claims. </w:t>
      </w:r>
      <w:r>
        <w:rPr>
          <w:rFonts w:ascii="Arial" w:eastAsia="Arial" w:hAnsi="Arial" w:cs="Arial"/>
          <w:i/>
          <w:color w:val="000000"/>
          <w:sz w:val="20"/>
        </w:rPr>
        <w:t xml:space="preserve">See </w:t>
      </w:r>
      <w:bookmarkStart w:id="5532" w:name="Bookmark_I5R4G3YD2D6NF20050000400"/>
      <w:bookmarkEnd w:id="5532"/>
      <w:r>
        <w:rPr>
          <w:rFonts w:ascii="Arial" w:eastAsia="Arial" w:hAnsi="Arial" w:cs="Arial"/>
          <w:i/>
          <w:color w:val="000000"/>
          <w:sz w:val="20"/>
        </w:rPr>
        <w:t>Windham v. Harris Cty.</w:t>
      </w:r>
      <w:r>
        <w:rPr>
          <w:rFonts w:ascii="Arial" w:eastAsia="Arial" w:hAnsi="Arial" w:cs="Arial"/>
          <w:color w:val="000000"/>
          <w:sz w:val="20"/>
        </w:rPr>
        <w:t>, No. 4:13-cv-1576, 2016 U.S. Dist. LEXIS 124435, 2016 WL 4939563 (S.D. Tex. Sept. 13, 2016). Windham timely appealed.</w:t>
      </w:r>
    </w:p>
    <w:p w:rsidR="00E456CD" w:rsidRDefault="00000000">
      <w:pPr>
        <w:pStyle w:val="Normal36"/>
        <w:widowControl w:val="0"/>
        <w:spacing w:before="240" w:line="260" w:lineRule="atLeast"/>
      </w:pPr>
      <w:r>
        <w:br/>
      </w:r>
      <w:r>
        <w:rPr>
          <w:rFonts w:ascii="Arial" w:eastAsia="Arial" w:hAnsi="Arial" w:cs="Arial"/>
          <w:b/>
          <w:color w:val="000000"/>
          <w:sz w:val="20"/>
        </w:rPr>
        <w:t>STANDARD OF REVIEW</w:t>
      </w:r>
    </w:p>
    <w:p w:rsidR="00E456CD" w:rsidRDefault="00000000">
      <w:pPr>
        <w:pStyle w:val="Normal36"/>
        <w:widowControl w:val="0"/>
        <w:spacing w:before="200" w:line="260" w:lineRule="atLeast"/>
        <w:jc w:val="both"/>
      </w:pPr>
      <w:bookmarkStart w:id="5533" w:name="Bookmark_para_18_25"/>
      <w:bookmarkStart w:id="5534" w:name="Bookmark_I5R4G3YD2D6NF30030000400"/>
      <w:bookmarkStart w:id="5535" w:name="Bookmark_LNHNREFclscc1_30"/>
      <w:bookmarkEnd w:id="5533"/>
      <w:bookmarkEnd w:id="5534"/>
      <w:bookmarkEnd w:id="5535"/>
      <w:r>
        <w:rPr>
          <w:rFonts w:ascii="Arial" w:eastAsia="Arial" w:hAnsi="Arial" w:cs="Arial"/>
          <w:color w:val="000000"/>
          <w:sz w:val="20"/>
        </w:rPr>
        <w:t xml:space="preserve">We review the district court's grant of summary judgment de novo, applying the same standards as the district court. </w:t>
      </w:r>
      <w:bookmarkStart w:id="5536" w:name="Bookmark_I5R4G3YD2D6NF30050000400"/>
      <w:bookmarkStart w:id="5537" w:name="Bookmark_I5R4G3YD2D6NF30020000400"/>
      <w:bookmarkEnd w:id="5536"/>
      <w:bookmarkEnd w:id="5537"/>
      <w:r>
        <w:rPr>
          <w:rFonts w:ascii="Arial" w:eastAsia="Arial" w:hAnsi="Arial" w:cs="Arial"/>
          <w:i/>
          <w:color w:val="000000"/>
          <w:sz w:val="20"/>
        </w:rPr>
        <w:t>Robinson v. Orient Marine Co.</w:t>
      </w:r>
      <w:r>
        <w:rPr>
          <w:rFonts w:ascii="Arial" w:eastAsia="Arial" w:hAnsi="Arial" w:cs="Arial"/>
          <w:color w:val="000000"/>
          <w:sz w:val="20"/>
        </w:rPr>
        <w:t xml:space="preserve">, 505 F.3d 364, 365 (5th Cir. 2007). </w:t>
      </w:r>
      <w:bookmarkStart w:id="5538" w:name="Bookmark_LNHNREFclscc2_30"/>
      <w:bookmarkEnd w:id="5538"/>
      <w:r>
        <w:rPr>
          <w:rFonts w:ascii="Arial" w:eastAsia="Arial" w:hAnsi="Arial" w:cs="Arial"/>
          <w:color w:val="000000"/>
          <w:sz w:val="20"/>
        </w:rPr>
        <w:t xml:space="preserve">Summary judgment is proper only if the movant shows both that "there is no genuine dispute as to any material fact" and that it "is entitled to judgment as a matter of law." Fed. R. Civ. P. 56(a). </w:t>
      </w:r>
      <w:bookmarkStart w:id="5539" w:name="Bookmark_I5R4G3YD2D6NF30050000400_2"/>
      <w:bookmarkStart w:id="5540" w:name="Bookmark_I5R4G3YD28T4YS0040000400"/>
      <w:bookmarkStart w:id="5541" w:name="Bookmark_LNHNREFclscc3_28"/>
      <w:bookmarkEnd w:id="5539"/>
      <w:bookmarkEnd w:id="5540"/>
      <w:bookmarkEnd w:id="5541"/>
      <w:r>
        <w:rPr>
          <w:rFonts w:ascii="Arial" w:eastAsia="Arial" w:hAnsi="Arial" w:cs="Arial"/>
          <w:color w:val="000000"/>
          <w:sz w:val="20"/>
        </w:rPr>
        <w:t xml:space="preserve">Although we view the evidence in the light most favorable to the nonmoving party and draw all reasonable inferences in that party's favor, </w:t>
      </w:r>
      <w:bookmarkStart w:id="5542" w:name="Bookmark_I5R4G3YD2D6NF30040000400"/>
      <w:bookmarkEnd w:id="5542"/>
      <w:r>
        <w:rPr>
          <w:rFonts w:ascii="Arial" w:eastAsia="Arial" w:hAnsi="Arial" w:cs="Arial"/>
          <w:i/>
          <w:color w:val="000000"/>
          <w:sz w:val="20"/>
        </w:rPr>
        <w:t>SEC v. Kahlon</w:t>
      </w:r>
      <w:r>
        <w:rPr>
          <w:rFonts w:ascii="Arial" w:eastAsia="Arial" w:hAnsi="Arial" w:cs="Arial"/>
          <w:color w:val="000000"/>
          <w:sz w:val="20"/>
        </w:rPr>
        <w:t xml:space="preserve">, 873 F.3d 500, 504 (5th Cir. 2017), summary judgment remains appropriate if the evidence is "merely colorable" or "not significantly probative," </w:t>
      </w:r>
      <w:bookmarkStart w:id="5543" w:name="Bookmark_I5R4G3YD28T4YS0010000400"/>
      <w:bookmarkEnd w:id="5543"/>
      <w:r>
        <w:rPr>
          <w:rFonts w:ascii="Arial" w:eastAsia="Arial" w:hAnsi="Arial" w:cs="Arial"/>
          <w:i/>
          <w:color w:val="000000"/>
          <w:sz w:val="20"/>
        </w:rPr>
        <w:t>Anderson v. Liberty Lobby, Inc.</w:t>
      </w:r>
      <w:r>
        <w:rPr>
          <w:rFonts w:ascii="Arial" w:eastAsia="Arial" w:hAnsi="Arial" w:cs="Arial"/>
          <w:color w:val="000000"/>
          <w:sz w:val="20"/>
        </w:rPr>
        <w:t xml:space="preserve">, 477 U.S. 242, 249, 106 S. Ct. 2505, 91 L. Ed. 2d 202 (1986). </w:t>
      </w:r>
      <w:bookmarkStart w:id="5544" w:name="Bookmark_I5R4G3YD28T4YS0040000400_2"/>
      <w:bookmarkStart w:id="5545" w:name="Bookmark_LNHNREFclscc4_27"/>
      <w:bookmarkEnd w:id="5544"/>
      <w:bookmarkEnd w:id="5545"/>
      <w:r>
        <w:rPr>
          <w:rFonts w:ascii="Arial" w:eastAsia="Arial" w:hAnsi="Arial" w:cs="Arial"/>
          <w:color w:val="000000"/>
          <w:sz w:val="20"/>
        </w:rPr>
        <w:t xml:space="preserve">We may affirm a grant of summary judgment on any ground the record supports. </w:t>
      </w:r>
      <w:bookmarkStart w:id="5546" w:name="Bookmark_I5R4G3YD28T4YS0030000400"/>
      <w:bookmarkEnd w:id="5546"/>
      <w:r>
        <w:rPr>
          <w:rFonts w:ascii="Arial" w:eastAsia="Arial" w:hAnsi="Arial" w:cs="Arial"/>
          <w:i/>
          <w:color w:val="000000"/>
          <w:sz w:val="20"/>
        </w:rPr>
        <w:t>United States ex rel. King v. Solvay Pharm., Inc.</w:t>
      </w:r>
      <w:r>
        <w:rPr>
          <w:rFonts w:ascii="Arial" w:eastAsia="Arial" w:hAnsi="Arial" w:cs="Arial"/>
          <w:color w:val="000000"/>
          <w:sz w:val="20"/>
        </w:rPr>
        <w:t>, 871 F.3d 318, 323 (5th Cir. 2017).</w:t>
      </w:r>
    </w:p>
    <w:p w:rsidR="00E456CD" w:rsidRDefault="00000000">
      <w:pPr>
        <w:pStyle w:val="Normal36"/>
        <w:widowControl w:val="0"/>
        <w:spacing w:before="240" w:line="260" w:lineRule="atLeast"/>
      </w:pPr>
      <w:r>
        <w:br/>
      </w:r>
      <w:r>
        <w:rPr>
          <w:rFonts w:ascii="Arial" w:eastAsia="Arial" w:hAnsi="Arial" w:cs="Arial"/>
          <w:b/>
          <w:color w:val="000000"/>
          <w:sz w:val="20"/>
        </w:rPr>
        <w:t>ANALYSIS</w:t>
      </w:r>
    </w:p>
    <w:p w:rsidR="00E456CD" w:rsidRDefault="00000000">
      <w:pPr>
        <w:pStyle w:val="Normal36"/>
        <w:widowControl w:val="0"/>
        <w:spacing w:before="240" w:line="260" w:lineRule="atLeast"/>
      </w:pPr>
      <w:r>
        <w:br/>
      </w:r>
      <w:r>
        <w:rPr>
          <w:rFonts w:ascii="Arial" w:eastAsia="Arial" w:hAnsi="Arial" w:cs="Arial"/>
          <w:b/>
          <w:color w:val="000000"/>
          <w:sz w:val="20"/>
        </w:rPr>
        <w:t>I. Title II of the ADA</w:t>
      </w:r>
    </w:p>
    <w:p w:rsidR="00E456CD" w:rsidRDefault="00000000">
      <w:pPr>
        <w:pStyle w:val="Normal36"/>
        <w:widowControl w:val="0"/>
        <w:spacing w:before="200" w:line="260" w:lineRule="atLeast"/>
        <w:jc w:val="both"/>
      </w:pPr>
      <w:bookmarkStart w:id="5547" w:name="Bookmark_para_19_24"/>
      <w:bookmarkStart w:id="5548" w:name="Bookmark_LNHNREFclscc5_26"/>
      <w:bookmarkEnd w:id="5547"/>
      <w:bookmarkEnd w:id="5548"/>
      <w:r>
        <w:rPr>
          <w:rFonts w:ascii="Arial" w:eastAsia="Arial" w:hAnsi="Arial" w:cs="Arial"/>
          <w:color w:val="000000"/>
          <w:sz w:val="20"/>
        </w:rPr>
        <w:t xml:space="preserve">Title II of the ADA provides: "[N]o qualified individual with a disability shall, by reason of such disability, be excluded from participation in or be denied the benefits of the services, programs, or activities of a public entity, or be subjected to discrimination [**7]  by any such entity." 42 U.S.C. § 12132.  [*235]  It further defines "public entities" to include local governments. § 12131(1)(A). And it creates a private right of action against them for monetary and equitable relief. </w:t>
      </w:r>
      <w:bookmarkStart w:id="5549" w:name="Bookmark_I5R4G3YD2N1RFT0010000400"/>
      <w:bookmarkEnd w:id="5549"/>
      <w:r>
        <w:rPr>
          <w:rFonts w:ascii="Arial" w:eastAsia="Arial" w:hAnsi="Arial" w:cs="Arial"/>
          <w:i/>
          <w:color w:val="000000"/>
          <w:sz w:val="20"/>
        </w:rPr>
        <w:t>See</w:t>
      </w:r>
      <w:r>
        <w:rPr>
          <w:rFonts w:ascii="Arial" w:eastAsia="Arial" w:hAnsi="Arial" w:cs="Arial"/>
          <w:color w:val="000000"/>
          <w:sz w:val="20"/>
        </w:rPr>
        <w:t xml:space="preserve"> § 12133. These provisions allow individuals to sue local governments for disability discrimination committed by police in non-exigent circumstances. </w:t>
      </w:r>
      <w:r>
        <w:rPr>
          <w:rFonts w:ascii="Arial" w:eastAsia="Arial" w:hAnsi="Arial" w:cs="Arial"/>
          <w:i/>
          <w:color w:val="000000"/>
          <w:sz w:val="20"/>
        </w:rPr>
        <w:t xml:space="preserve">See </w:t>
      </w:r>
      <w:bookmarkStart w:id="5550" w:name="Bookmark_I5R4G3YD28T4YS0050000400"/>
      <w:bookmarkEnd w:id="5550"/>
      <w:r>
        <w:rPr>
          <w:rFonts w:ascii="Arial" w:eastAsia="Arial" w:hAnsi="Arial" w:cs="Arial"/>
          <w:i/>
          <w:color w:val="000000"/>
          <w:sz w:val="20"/>
        </w:rPr>
        <w:t>Delano-Pyle v. Victoria Cty.</w:t>
      </w:r>
      <w:r>
        <w:rPr>
          <w:rFonts w:ascii="Arial" w:eastAsia="Arial" w:hAnsi="Arial" w:cs="Arial"/>
          <w:color w:val="000000"/>
          <w:sz w:val="20"/>
        </w:rPr>
        <w:t xml:space="preserve">, 302 F.3d 567, 570-71, 574-76 (5th Cir. 2002); </w:t>
      </w:r>
      <w:bookmarkStart w:id="5551" w:name="Bookmark_I5R4G3YD2N1RFT0020000400"/>
      <w:bookmarkEnd w:id="5551"/>
      <w:r>
        <w:rPr>
          <w:rFonts w:ascii="Arial" w:eastAsia="Arial" w:hAnsi="Arial" w:cs="Arial"/>
          <w:i/>
          <w:color w:val="000000"/>
          <w:sz w:val="20"/>
        </w:rPr>
        <w:t>Hainze v. Richards</w:t>
      </w:r>
      <w:r>
        <w:rPr>
          <w:rFonts w:ascii="Arial" w:eastAsia="Arial" w:hAnsi="Arial" w:cs="Arial"/>
          <w:color w:val="000000"/>
          <w:sz w:val="20"/>
        </w:rPr>
        <w:t>, 207 F.3d 795, 802 (5th Cir. 2000).</w:t>
      </w:r>
      <w:r>
        <w:rPr>
          <w:rFonts w:ascii="Arial" w:eastAsia="Arial" w:hAnsi="Arial" w:cs="Arial"/>
          <w:vertAlign w:val="superscript"/>
        </w:rPr>
        <w:footnoteReference w:customMarkFollows="1" w:id="240"/>
        <w:t>4</w:t>
      </w:r>
    </w:p>
    <w:p w:rsidR="00E456CD" w:rsidRDefault="00000000">
      <w:pPr>
        <w:pStyle w:val="Normal36"/>
        <w:widowControl w:val="0"/>
        <w:spacing w:before="200" w:line="260" w:lineRule="atLeast"/>
        <w:jc w:val="both"/>
      </w:pPr>
      <w:bookmarkStart w:id="5553" w:name="Bookmark_para_20_23"/>
      <w:bookmarkStart w:id="5554" w:name="Bookmark_I5R4G3YD2N1RFT0050000400"/>
      <w:bookmarkStart w:id="5555" w:name="Bookmark_LNHNREFclscc6_23"/>
      <w:bookmarkEnd w:id="5553"/>
      <w:bookmarkEnd w:id="5554"/>
      <w:bookmarkEnd w:id="5555"/>
      <w:r>
        <w:rPr>
          <w:rFonts w:ascii="Arial" w:eastAsia="Arial" w:hAnsi="Arial" w:cs="Arial"/>
          <w:color w:val="000000"/>
          <w:sz w:val="20"/>
        </w:rPr>
        <w:t xml:space="preserve">To make out a prima facie case under Title II, a plaintiff must show "(1) that he is a qualified individual within the meaning of the ADA; (2) that he is being excluded from participation in, or being denied benefits of, services, programs, or activities for which the public entity is responsible, or is otherwise being discriminated against by the public entity; and (3) that such exclusion, denial of benefits, or discrimination is by reason of his disability." </w:t>
      </w:r>
      <w:bookmarkStart w:id="5556" w:name="Bookmark_I5R4G3YD2N1RFT0040000400"/>
      <w:bookmarkEnd w:id="5556"/>
      <w:r>
        <w:rPr>
          <w:rFonts w:ascii="Arial" w:eastAsia="Arial" w:hAnsi="Arial" w:cs="Arial"/>
          <w:i/>
          <w:color w:val="000000"/>
          <w:sz w:val="20"/>
        </w:rPr>
        <w:t>Melton v. Dallas Area Rapid Transit</w:t>
      </w:r>
      <w:r>
        <w:rPr>
          <w:rFonts w:ascii="Arial" w:eastAsia="Arial" w:hAnsi="Arial" w:cs="Arial"/>
          <w:color w:val="000000"/>
          <w:sz w:val="20"/>
        </w:rPr>
        <w:t>, 391 F.3d 669, 671-72 (5th Cir. 2004). The County does not dispute that a reasonable jury could find for Windham on the first two prongs. Our analysis concerns only whether a reasonable jury could find that the County discriminated against Windham "by reason of his disability."</w:t>
      </w:r>
      <w:r>
        <w:rPr>
          <w:rFonts w:ascii="Arial" w:eastAsia="Arial" w:hAnsi="Arial" w:cs="Arial"/>
          <w:vertAlign w:val="superscript"/>
        </w:rPr>
        <w:footnoteReference w:customMarkFollows="1" w:id="241"/>
        <w:t>5</w:t>
      </w:r>
    </w:p>
    <w:p w:rsidR="00E456CD" w:rsidRDefault="00000000">
      <w:pPr>
        <w:pStyle w:val="Normal36"/>
        <w:widowControl w:val="0"/>
        <w:spacing w:before="200" w:line="260" w:lineRule="atLeast"/>
        <w:jc w:val="both"/>
      </w:pPr>
      <w:bookmarkStart w:id="5566" w:name="Bookmark_para_21_22"/>
      <w:bookmarkStart w:id="5567" w:name="Bookmark_I5R4G3YF28T4YT0050000400"/>
      <w:bookmarkStart w:id="5568" w:name="Bookmark_I5R4G3YF2D6NF50010000400"/>
      <w:bookmarkStart w:id="5569" w:name="Bookmark_I5R4G3YF2N1RFV0040000400"/>
      <w:bookmarkEnd w:id="5566"/>
      <w:bookmarkEnd w:id="5567"/>
      <w:bookmarkEnd w:id="5568"/>
      <w:bookmarkEnd w:id="5569"/>
      <w:r>
        <w:rPr>
          <w:rFonts w:ascii="Arial" w:eastAsia="Arial" w:hAnsi="Arial" w:cs="Arial"/>
          <w:color w:val="000000"/>
          <w:sz w:val="20"/>
        </w:rPr>
        <w:t xml:space="preserve">Windham attempts to satisfy the third prong on a theory of "failure to accommodate." That theory is expressly codified in </w:t>
      </w:r>
      <w:bookmarkStart w:id="5570" w:name="Bookmark_LNHNREFclscc7_23"/>
      <w:bookmarkEnd w:id="5570"/>
      <w:r>
        <w:rPr>
          <w:rFonts w:ascii="Arial" w:eastAsia="Arial" w:hAnsi="Arial" w:cs="Arial"/>
          <w:color w:val="000000"/>
          <w:sz w:val="20"/>
        </w:rPr>
        <w:t xml:space="preserve">Title I of the ADA (governing [**8]  employment), which defines "discriminat[ion] . . . on the basis of disability" to include "not making reasonable accommodations [for a disabled employee's] known physical or mental limitations." 42 U.S.C. § 12112(b)(5)(A). Although Title II contains no similarly explicit definition, </w:t>
      </w:r>
      <w:r>
        <w:rPr>
          <w:rFonts w:ascii="Arial" w:eastAsia="Arial" w:hAnsi="Arial" w:cs="Arial"/>
          <w:i/>
          <w:color w:val="000000"/>
          <w:sz w:val="20"/>
        </w:rPr>
        <w:t>see</w:t>
      </w:r>
      <w:r>
        <w:rPr>
          <w:rFonts w:ascii="Arial" w:eastAsia="Arial" w:hAnsi="Arial" w:cs="Arial"/>
          <w:color w:val="000000"/>
          <w:sz w:val="20"/>
        </w:rPr>
        <w:t xml:space="preserve"> 42 U.S.C. §§ 12131, 12132, our cases recognize that a public entity's failure reasonably to accommodate the known limitations of persons with disabilities can also constitute disability discrimination under Title II. </w:t>
      </w:r>
      <w:r>
        <w:rPr>
          <w:rFonts w:ascii="Arial" w:eastAsia="Arial" w:hAnsi="Arial" w:cs="Arial"/>
          <w:i/>
          <w:color w:val="000000"/>
          <w:sz w:val="20"/>
        </w:rPr>
        <w:t xml:space="preserve">See </w:t>
      </w:r>
      <w:bookmarkStart w:id="5571" w:name="Bookmark_I5R4G3YF28T4YT0040000400"/>
      <w:bookmarkEnd w:id="5571"/>
      <w:r>
        <w:rPr>
          <w:rFonts w:ascii="Arial" w:eastAsia="Arial" w:hAnsi="Arial" w:cs="Arial"/>
          <w:i/>
          <w:color w:val="000000"/>
          <w:sz w:val="20"/>
        </w:rPr>
        <w:t>Bennett-Nelson v. La. Bd. of Regents</w:t>
      </w:r>
      <w:r>
        <w:rPr>
          <w:rFonts w:ascii="Arial" w:eastAsia="Arial" w:hAnsi="Arial" w:cs="Arial"/>
          <w:color w:val="000000"/>
          <w:sz w:val="20"/>
        </w:rPr>
        <w:t xml:space="preserve">, 431 F.3d 448, 454 &amp; n.11 (5th Cir. 2005) ("[Title II] impose[s] upon public entities an affirmative obligation to make reasonable accommodations for disabled individuals." (citing 42 U.S.C. § 12131)); </w:t>
      </w:r>
      <w:r>
        <w:rPr>
          <w:rFonts w:ascii="Arial" w:eastAsia="Arial" w:hAnsi="Arial" w:cs="Arial"/>
          <w:i/>
          <w:color w:val="000000"/>
          <w:sz w:val="20"/>
        </w:rPr>
        <w:t xml:space="preserve">see also </w:t>
      </w:r>
      <w:bookmarkStart w:id="5572" w:name="Bookmark_I5R4G3YF2HM6DX0010000400"/>
      <w:bookmarkEnd w:id="5572"/>
      <w:r>
        <w:rPr>
          <w:rFonts w:ascii="Arial" w:eastAsia="Arial" w:hAnsi="Arial" w:cs="Arial"/>
          <w:i/>
          <w:color w:val="000000"/>
          <w:sz w:val="20"/>
        </w:rPr>
        <w:t>Jin Choi v. Univ. of Tex. Health Sci. Ctr. at San Antonio</w:t>
      </w:r>
      <w:r>
        <w:rPr>
          <w:rFonts w:ascii="Arial" w:eastAsia="Arial" w:hAnsi="Arial" w:cs="Arial"/>
          <w:color w:val="000000"/>
          <w:sz w:val="20"/>
        </w:rPr>
        <w:t xml:space="preserve">, 633 F. App'x 214, 215 (5th Cir. 2015) (adapting the failure-to-accommodate standard from Title I to Title II); </w:t>
      </w:r>
      <w:bookmarkStart w:id="5573" w:name="Bookmark_I5R4G3YF2HM6DX0030000400"/>
      <w:bookmarkEnd w:id="5573"/>
      <w:r>
        <w:rPr>
          <w:rFonts w:ascii="Arial" w:eastAsia="Arial" w:hAnsi="Arial" w:cs="Arial"/>
          <w:i/>
          <w:color w:val="000000"/>
          <w:sz w:val="20"/>
        </w:rPr>
        <w:t>Ball v. LeBlanc</w:t>
      </w:r>
      <w:r>
        <w:rPr>
          <w:rFonts w:ascii="Arial" w:eastAsia="Arial" w:hAnsi="Arial" w:cs="Arial"/>
          <w:color w:val="000000"/>
          <w:sz w:val="20"/>
        </w:rPr>
        <w:t>, 792 F.3d 584, 596 n.9 (5th Cir. 2015) (same).</w:t>
      </w:r>
      <w:r>
        <w:rPr>
          <w:rFonts w:ascii="Arial" w:eastAsia="Arial" w:hAnsi="Arial" w:cs="Arial"/>
          <w:vertAlign w:val="superscript"/>
        </w:rPr>
        <w:footnoteReference w:customMarkFollows="1" w:id="242"/>
        <w:t>6</w:t>
      </w:r>
      <w:r>
        <w:rPr>
          <w:rFonts w:ascii="Arial" w:eastAsia="Arial" w:hAnsi="Arial" w:cs="Arial"/>
          <w:color w:val="000000"/>
          <w:sz w:val="20"/>
        </w:rPr>
        <w:t xml:space="preserve"> We have  [*236]  also recognized Title II claims in the specific context of police officers who fail reasonably to accommodate the known limitations of disabled persons they detain.</w:t>
      </w:r>
      <w:r>
        <w:rPr>
          <w:rFonts w:ascii="Arial" w:eastAsia="Arial" w:hAnsi="Arial" w:cs="Arial"/>
          <w:vertAlign w:val="superscript"/>
        </w:rPr>
        <w:footnoteReference w:customMarkFollows="1" w:id="243"/>
        <w:t>7</w:t>
      </w:r>
    </w:p>
    <w:p w:rsidR="00E456CD" w:rsidRDefault="00000000">
      <w:pPr>
        <w:pStyle w:val="Normal36"/>
        <w:widowControl w:val="0"/>
        <w:spacing w:before="200" w:line="260" w:lineRule="atLeast"/>
        <w:jc w:val="both"/>
      </w:pPr>
      <w:bookmarkStart w:id="5583" w:name="Bookmark_para_22_21"/>
      <w:bookmarkStart w:id="5584" w:name="Bookmark_I5R4G3YF28T4YV0050000400"/>
      <w:bookmarkStart w:id="5585" w:name="Bookmark_I5R4G3YF2HM6DY0040000400"/>
      <w:bookmarkStart w:id="5586" w:name="Bookmark_I5R4G3YF2HM6F00050000400"/>
      <w:bookmarkStart w:id="5587" w:name="Bookmark_I5R4G3YF2D6NF60040000400"/>
      <w:bookmarkStart w:id="5588" w:name="Bookmark_I5R4G3YF28T4YW0010000400"/>
      <w:bookmarkStart w:id="5589" w:name="Bookmark_LNHNREFclscc8_21"/>
      <w:bookmarkEnd w:id="5583"/>
      <w:bookmarkEnd w:id="5584"/>
      <w:bookmarkEnd w:id="5585"/>
      <w:bookmarkEnd w:id="5586"/>
      <w:bookmarkEnd w:id="5587"/>
      <w:bookmarkEnd w:id="5588"/>
      <w:bookmarkEnd w:id="5589"/>
      <w:r>
        <w:rPr>
          <w:rFonts w:ascii="Arial" w:eastAsia="Arial" w:hAnsi="Arial" w:cs="Arial"/>
          <w:color w:val="000000"/>
          <w:sz w:val="20"/>
        </w:rPr>
        <w:t xml:space="preserve">A critical component of a Title II claim for failure to accommodate, however, is proof that "the disability and its consequential limitations were known by the [entity providing public services]." </w:t>
      </w:r>
      <w:bookmarkStart w:id="5590" w:name="Bookmark_I5R4G3YF28T4YV0040000400"/>
      <w:bookmarkEnd w:id="5590"/>
      <w:r>
        <w:rPr>
          <w:rFonts w:ascii="Arial" w:eastAsia="Arial" w:hAnsi="Arial" w:cs="Arial"/>
          <w:i/>
          <w:color w:val="000000"/>
          <w:sz w:val="20"/>
        </w:rPr>
        <w:t>Jin Choi</w:t>
      </w:r>
      <w:r>
        <w:rPr>
          <w:rFonts w:ascii="Arial" w:eastAsia="Arial" w:hAnsi="Arial" w:cs="Arial"/>
          <w:color w:val="000000"/>
          <w:sz w:val="20"/>
        </w:rPr>
        <w:t xml:space="preserve">, 633 F. App'x at 215 (quoting </w:t>
      </w:r>
      <w:bookmarkStart w:id="5591" w:name="Bookmark_I5R4G3YF2SF7XW0010000400"/>
      <w:bookmarkEnd w:id="5591"/>
      <w:r>
        <w:rPr>
          <w:rFonts w:ascii="Arial" w:eastAsia="Arial" w:hAnsi="Arial" w:cs="Arial"/>
          <w:i/>
          <w:color w:val="000000"/>
          <w:sz w:val="20"/>
        </w:rPr>
        <w:t>Neely v. PSEG Tex., Ltd. P'ship</w:t>
      </w:r>
      <w:r>
        <w:rPr>
          <w:rFonts w:ascii="Arial" w:eastAsia="Arial" w:hAnsi="Arial" w:cs="Arial"/>
          <w:color w:val="000000"/>
          <w:sz w:val="20"/>
        </w:rPr>
        <w:t xml:space="preserve">, 735 F.3d 242, 247 (5th Cir. 2013)); </w:t>
      </w:r>
      <w:r>
        <w:rPr>
          <w:rFonts w:ascii="Arial" w:eastAsia="Arial" w:hAnsi="Arial" w:cs="Arial"/>
          <w:i/>
          <w:color w:val="000000"/>
          <w:sz w:val="20"/>
        </w:rPr>
        <w:t xml:space="preserve">accord </w:t>
      </w:r>
      <w:bookmarkStart w:id="5592" w:name="Bookmark_I5R4G3YF2SF7XW0030000400"/>
      <w:bookmarkEnd w:id="5592"/>
      <w:r>
        <w:rPr>
          <w:rFonts w:ascii="Arial" w:eastAsia="Arial" w:hAnsi="Arial" w:cs="Arial"/>
          <w:i/>
          <w:color w:val="000000"/>
          <w:sz w:val="20"/>
        </w:rPr>
        <w:t>Ball</w:t>
      </w:r>
      <w:r>
        <w:rPr>
          <w:rFonts w:ascii="Arial" w:eastAsia="Arial" w:hAnsi="Arial" w:cs="Arial"/>
          <w:color w:val="000000"/>
          <w:sz w:val="20"/>
        </w:rPr>
        <w:t>, 792 F.3d at 596 n.9.</w:t>
      </w:r>
      <w:r>
        <w:rPr>
          <w:rFonts w:ascii="Arial" w:eastAsia="Arial" w:hAnsi="Arial" w:cs="Arial"/>
          <w:vertAlign w:val="superscript"/>
        </w:rPr>
        <w:footnoteReference w:customMarkFollows="1" w:id="244"/>
        <w:t>8</w:t>
      </w:r>
      <w:r>
        <w:rPr>
          <w:rFonts w:ascii="Arial" w:eastAsia="Arial" w:hAnsi="Arial" w:cs="Arial"/>
          <w:color w:val="000000"/>
          <w:sz w:val="20"/>
        </w:rPr>
        <w:t xml:space="preserve"> Mere knowledge of the disability is not enough; the service provider must also have understood "the limitations [the [**9]  plaintiff] experienced . . . </w:t>
      </w:r>
      <w:r>
        <w:rPr>
          <w:rFonts w:ascii="Arial" w:eastAsia="Arial" w:hAnsi="Arial" w:cs="Arial"/>
          <w:i/>
          <w:color w:val="000000"/>
          <w:sz w:val="20"/>
        </w:rPr>
        <w:t>as a result</w:t>
      </w:r>
      <w:r>
        <w:rPr>
          <w:rFonts w:ascii="Arial" w:eastAsia="Arial" w:hAnsi="Arial" w:cs="Arial"/>
          <w:color w:val="000000"/>
          <w:sz w:val="20"/>
        </w:rPr>
        <w:t xml:space="preserve"> of that disability." </w:t>
      </w:r>
      <w:bookmarkStart w:id="5598" w:name="Bookmark_I5R4G3YF2SF7XW0050000400"/>
      <w:bookmarkEnd w:id="5598"/>
      <w:r>
        <w:rPr>
          <w:rFonts w:ascii="Arial" w:eastAsia="Arial" w:hAnsi="Arial" w:cs="Arial"/>
          <w:i/>
          <w:color w:val="000000"/>
          <w:sz w:val="20"/>
        </w:rPr>
        <w:t>Taylor v. Principal Fin. Grp., Inc.</w:t>
      </w:r>
      <w:r>
        <w:rPr>
          <w:rFonts w:ascii="Arial" w:eastAsia="Arial" w:hAnsi="Arial" w:cs="Arial"/>
          <w:color w:val="000000"/>
          <w:sz w:val="20"/>
        </w:rPr>
        <w:t xml:space="preserve">, 93 F.3d 155, 164 (5th Cir. 1996) (emphasis added); </w:t>
      </w:r>
      <w:r>
        <w:rPr>
          <w:rFonts w:ascii="Arial" w:eastAsia="Arial" w:hAnsi="Arial" w:cs="Arial"/>
          <w:i/>
          <w:color w:val="000000"/>
          <w:sz w:val="20"/>
        </w:rPr>
        <w:t xml:space="preserve">accord </w:t>
      </w:r>
      <w:bookmarkStart w:id="5599" w:name="Bookmark_I5R6856N2SF7S40010000400"/>
      <w:bookmarkEnd w:id="5599"/>
      <w:r>
        <w:rPr>
          <w:rFonts w:ascii="Arial" w:eastAsia="Arial" w:hAnsi="Arial" w:cs="Arial"/>
          <w:i/>
          <w:color w:val="000000"/>
          <w:sz w:val="20"/>
        </w:rPr>
        <w:t>Patton v. Jacobs Eng'g Grp., Inc.</w:t>
      </w:r>
      <w:r>
        <w:rPr>
          <w:rFonts w:ascii="Arial" w:eastAsia="Arial" w:hAnsi="Arial" w:cs="Arial"/>
          <w:color w:val="000000"/>
          <w:sz w:val="20"/>
        </w:rPr>
        <w:t xml:space="preserve">, 874 F.3d 437, 444-45, 2017 U.S. App. LEXIS 21028, 2017 WL 4784586, at *5 (5th Cir. 2017); </w:t>
      </w:r>
      <w:bookmarkStart w:id="5600" w:name="Bookmark_I5R4G3YF2SF7XX0040000400"/>
      <w:bookmarkEnd w:id="5600"/>
      <w:r>
        <w:rPr>
          <w:rFonts w:ascii="Arial" w:eastAsia="Arial" w:hAnsi="Arial" w:cs="Arial"/>
          <w:i/>
          <w:color w:val="000000"/>
          <w:sz w:val="20"/>
        </w:rPr>
        <w:t>Jin Choi</w:t>
      </w:r>
      <w:r>
        <w:rPr>
          <w:rFonts w:ascii="Arial" w:eastAsia="Arial" w:hAnsi="Arial" w:cs="Arial"/>
          <w:color w:val="000000"/>
          <w:sz w:val="20"/>
        </w:rPr>
        <w:t>, 633 F. App'x at 216.</w:t>
      </w:r>
      <w:r>
        <w:rPr>
          <w:rFonts w:ascii="Arial" w:eastAsia="Arial" w:hAnsi="Arial" w:cs="Arial"/>
          <w:vertAlign w:val="superscript"/>
        </w:rPr>
        <w:footnoteReference w:customMarkFollows="1" w:id="245"/>
        <w:t>9</w:t>
      </w:r>
      <w:r>
        <w:rPr>
          <w:rFonts w:ascii="Arial" w:eastAsia="Arial" w:hAnsi="Arial" w:cs="Arial"/>
          <w:color w:val="000000"/>
          <w:sz w:val="20"/>
        </w:rPr>
        <w:t xml:space="preserve"> Otherwise, it would be impossible for the provider to ascertain whether an accommodation is needed at all, much less identify an accommodation that would be reasonable under the circumstances.</w:t>
      </w:r>
      <w:r>
        <w:rPr>
          <w:rFonts w:ascii="Arial" w:eastAsia="Arial" w:hAnsi="Arial" w:cs="Arial"/>
          <w:vertAlign w:val="superscript"/>
        </w:rPr>
        <w:footnoteReference w:customMarkFollows="1" w:id="246"/>
        <w:t>10</w:t>
      </w:r>
      <w:r>
        <w:rPr>
          <w:rFonts w:ascii="Arial" w:eastAsia="Arial" w:hAnsi="Arial" w:cs="Arial"/>
          <w:color w:val="000000"/>
          <w:sz w:val="20"/>
        </w:rPr>
        <w:t xml:space="preserve"> </w:t>
      </w:r>
      <w:bookmarkStart w:id="5616" w:name="Bookmark_I5R4G3YF2HM6DY0010000400"/>
      <w:bookmarkEnd w:id="5616"/>
      <w:r>
        <w:rPr>
          <w:rFonts w:ascii="Arial" w:eastAsia="Arial" w:hAnsi="Arial" w:cs="Arial"/>
          <w:i/>
          <w:color w:val="000000"/>
          <w:sz w:val="20"/>
        </w:rPr>
        <w:t>Taylor</w:t>
      </w:r>
      <w:r>
        <w:rPr>
          <w:rFonts w:ascii="Arial" w:eastAsia="Arial" w:hAnsi="Arial" w:cs="Arial"/>
          <w:color w:val="000000"/>
          <w:sz w:val="20"/>
        </w:rPr>
        <w:t xml:space="preserve">, 93 F.3d at 164. Thus, because "[t]he ADA does not require clairvoyance," </w:t>
      </w:r>
      <w:bookmarkStart w:id="5617" w:name="Bookmark_I5R4G3YF2HM6DY0030000400"/>
      <w:bookmarkEnd w:id="5617"/>
      <w:r>
        <w:rPr>
          <w:rFonts w:ascii="Arial" w:eastAsia="Arial" w:hAnsi="Arial" w:cs="Arial"/>
          <w:i/>
          <w:color w:val="000000"/>
          <w:sz w:val="20"/>
        </w:rPr>
        <w:t>Hedberg v.  [*237]  Ind. Bell Tel. Co.</w:t>
      </w:r>
      <w:r>
        <w:rPr>
          <w:rFonts w:ascii="Arial" w:eastAsia="Arial" w:hAnsi="Arial" w:cs="Arial"/>
          <w:color w:val="000000"/>
          <w:sz w:val="20"/>
        </w:rPr>
        <w:t xml:space="preserve">, 47 F.3d 928, 934 (7th Cir. 1995), the burden falls on the plaintiff "to specifically identify the disability and resulting limitations," </w:t>
      </w:r>
      <w:bookmarkStart w:id="5618" w:name="Bookmark_I5R4G3YF2HM6DY0050000400"/>
      <w:bookmarkEnd w:id="5618"/>
      <w:r>
        <w:rPr>
          <w:rFonts w:ascii="Arial" w:eastAsia="Arial" w:hAnsi="Arial" w:cs="Arial"/>
          <w:i/>
          <w:color w:val="000000"/>
          <w:sz w:val="20"/>
        </w:rPr>
        <w:t>Taylor</w:t>
      </w:r>
      <w:r>
        <w:rPr>
          <w:rFonts w:ascii="Arial" w:eastAsia="Arial" w:hAnsi="Arial" w:cs="Arial"/>
          <w:color w:val="000000"/>
          <w:sz w:val="20"/>
        </w:rPr>
        <w:t xml:space="preserve">, 93 F.3d at 165, and to request an accommodation in "direct and specific" terms, </w:t>
      </w:r>
      <w:bookmarkStart w:id="5619" w:name="Bookmark_I5R4G3YF2HM6F00020000400"/>
      <w:bookmarkEnd w:id="5619"/>
      <w:r>
        <w:rPr>
          <w:rFonts w:ascii="Arial" w:eastAsia="Arial" w:hAnsi="Arial" w:cs="Arial"/>
          <w:i/>
          <w:color w:val="000000"/>
          <w:sz w:val="20"/>
        </w:rPr>
        <w:t>Reed v. LePage Bakeries, Inc.</w:t>
      </w:r>
      <w:r>
        <w:rPr>
          <w:rFonts w:ascii="Arial" w:eastAsia="Arial" w:hAnsi="Arial" w:cs="Arial"/>
          <w:color w:val="000000"/>
          <w:sz w:val="20"/>
        </w:rPr>
        <w:t>, 244 F.3d 254, 261 (1st Cir. 2001).</w:t>
      </w:r>
      <w:r>
        <w:rPr>
          <w:rFonts w:ascii="Arial" w:eastAsia="Arial" w:hAnsi="Arial" w:cs="Arial"/>
          <w:vertAlign w:val="superscript"/>
        </w:rPr>
        <w:footnoteReference w:customMarkFollows="1" w:id="247"/>
        <w:t>11</w:t>
      </w:r>
    </w:p>
    <w:p w:rsidR="00E456CD" w:rsidRDefault="00000000">
      <w:pPr>
        <w:pStyle w:val="Normal36"/>
        <w:widowControl w:val="0"/>
        <w:spacing w:before="200" w:line="260" w:lineRule="atLeast"/>
        <w:jc w:val="both"/>
      </w:pPr>
      <w:bookmarkStart w:id="5624" w:name="Bookmark_para_23_21"/>
      <w:bookmarkStart w:id="5625" w:name="Bookmark_I5R4G3YF2HM6F10010000400"/>
      <w:bookmarkStart w:id="5626" w:name="Bookmark_LNHNREFclscc12_12"/>
      <w:bookmarkEnd w:id="5624"/>
      <w:bookmarkEnd w:id="5625"/>
      <w:bookmarkEnd w:id="5626"/>
      <w:r>
        <w:rPr>
          <w:rFonts w:ascii="Arial" w:eastAsia="Arial" w:hAnsi="Arial" w:cs="Arial"/>
          <w:color w:val="000000"/>
          <w:sz w:val="20"/>
        </w:rPr>
        <w:t xml:space="preserve">When a plaintiff fails to request an accommodation in this manner, he can prevail only by showing that "the disability, resulting limitation, and necessary reasonable accommodation" were "open, obvious, and apparent" to the entity's relevant agents. </w:t>
      </w:r>
      <w:bookmarkStart w:id="5627" w:name="Bookmark_I5R4G3YF2D6NF80040000400"/>
      <w:bookmarkStart w:id="5628" w:name="Bookmark_I5R4G3YF2SF7Y00050000400"/>
      <w:bookmarkEnd w:id="5627"/>
      <w:bookmarkEnd w:id="5628"/>
      <w:r>
        <w:rPr>
          <w:rFonts w:ascii="Arial" w:eastAsia="Arial" w:hAnsi="Arial" w:cs="Arial"/>
          <w:i/>
          <w:color w:val="000000"/>
          <w:sz w:val="20"/>
        </w:rPr>
        <w:t>Taylor</w:t>
      </w:r>
      <w:r>
        <w:rPr>
          <w:rFonts w:ascii="Arial" w:eastAsia="Arial" w:hAnsi="Arial" w:cs="Arial"/>
          <w:color w:val="000000"/>
          <w:sz w:val="20"/>
        </w:rPr>
        <w:t xml:space="preserve">, 93 F.3d at 164; </w:t>
      </w:r>
      <w:r>
        <w:rPr>
          <w:rFonts w:ascii="Arial" w:eastAsia="Arial" w:hAnsi="Arial" w:cs="Arial"/>
          <w:i/>
          <w:color w:val="000000"/>
          <w:sz w:val="20"/>
        </w:rPr>
        <w:t xml:space="preserve">accord </w:t>
      </w:r>
      <w:bookmarkStart w:id="5629" w:name="Bookmark_I5R4G3YF2HM6F10020000400"/>
      <w:bookmarkEnd w:id="5629"/>
      <w:r>
        <w:rPr>
          <w:rFonts w:ascii="Arial" w:eastAsia="Arial" w:hAnsi="Arial" w:cs="Arial"/>
          <w:i/>
          <w:color w:val="000000"/>
          <w:sz w:val="20"/>
        </w:rPr>
        <w:t>Jin Choi</w:t>
      </w:r>
      <w:r>
        <w:rPr>
          <w:rFonts w:ascii="Arial" w:eastAsia="Arial" w:hAnsi="Arial" w:cs="Arial"/>
          <w:color w:val="000000"/>
          <w:sz w:val="20"/>
        </w:rPr>
        <w:t xml:space="preserve">, 633 F. App'x at 216 (applying standard to Title II); </w:t>
      </w:r>
      <w:bookmarkStart w:id="5630" w:name="Bookmark_I5R4G3YF2HM6F10040000400"/>
      <w:bookmarkEnd w:id="5630"/>
      <w:r>
        <w:rPr>
          <w:rFonts w:ascii="Arial" w:eastAsia="Arial" w:hAnsi="Arial" w:cs="Arial"/>
          <w:i/>
          <w:color w:val="000000"/>
          <w:sz w:val="20"/>
        </w:rPr>
        <w:t>Robertson v. Las Animas Cty. Sheriff's Dep't</w:t>
      </w:r>
      <w:r>
        <w:rPr>
          <w:rFonts w:ascii="Arial" w:eastAsia="Arial" w:hAnsi="Arial" w:cs="Arial"/>
          <w:color w:val="000000"/>
          <w:sz w:val="20"/>
        </w:rPr>
        <w:t xml:space="preserve">, 500 F.3d 1185,1197 (10th Cir. 2007) (collecting cases across circuits); </w:t>
      </w:r>
      <w:r>
        <w:rPr>
          <w:rFonts w:ascii="Arial" w:eastAsia="Arial" w:hAnsi="Arial" w:cs="Arial"/>
          <w:i/>
          <w:color w:val="000000"/>
          <w:sz w:val="20"/>
        </w:rPr>
        <w:t xml:space="preserve">see, e.g., </w:t>
      </w:r>
      <w:bookmarkStart w:id="5631" w:name="Bookmark_I5R4G3YF2D6NF80010000400"/>
      <w:bookmarkEnd w:id="5631"/>
      <w:r>
        <w:rPr>
          <w:rFonts w:ascii="Arial" w:eastAsia="Arial" w:hAnsi="Arial" w:cs="Arial"/>
          <w:i/>
          <w:color w:val="000000"/>
          <w:sz w:val="20"/>
        </w:rPr>
        <w:t>id.</w:t>
      </w:r>
      <w:r>
        <w:rPr>
          <w:rFonts w:ascii="Arial" w:eastAsia="Arial" w:hAnsi="Arial" w:cs="Arial"/>
          <w:color w:val="000000"/>
          <w:sz w:val="20"/>
        </w:rPr>
        <w:t xml:space="preserve"> at 1198 (reasonable jury could infer that deaf arrestee's inability meaningfully to participate in his probable-cause hearing was sufficiently obvious to put officers on notice of the need for a hearing aid). The parties dispute what type of knowledge is required (although neither provides any citation or analysis): the County couches [**10]  its arguments in terms of what "would have alerted a reasonable officer," whereas Windham asserts that the inquiry is subjective. </w:t>
      </w:r>
      <w:bookmarkStart w:id="5632" w:name="Bookmark_I5R4G3YF2D6NF80040000400_2"/>
      <w:bookmarkEnd w:id="5632"/>
      <w:r>
        <w:rPr>
          <w:rFonts w:ascii="Arial" w:eastAsia="Arial" w:hAnsi="Arial" w:cs="Arial"/>
          <w:color w:val="000000"/>
          <w:sz w:val="20"/>
        </w:rPr>
        <w:t>Although our caselaw speaks generally in terms of the entity's subjective knowledge,</w:t>
      </w:r>
      <w:r>
        <w:rPr>
          <w:rFonts w:ascii="Arial" w:eastAsia="Arial" w:hAnsi="Arial" w:cs="Arial"/>
          <w:vertAlign w:val="superscript"/>
        </w:rPr>
        <w:footnoteReference w:customMarkFollows="1" w:id="248"/>
        <w:t>12</w:t>
      </w:r>
      <w:r>
        <w:rPr>
          <w:rFonts w:ascii="Arial" w:eastAsia="Arial" w:hAnsi="Arial" w:cs="Arial"/>
          <w:color w:val="000000"/>
          <w:sz w:val="20"/>
        </w:rPr>
        <w:t xml:space="preserve"> we do not appear to have confronted this question directly. Nor must we do so now. As explained below, we would reach the same conclusion on either party's view of the law.</w:t>
      </w:r>
    </w:p>
    <w:p w:rsidR="00E456CD" w:rsidRDefault="00000000">
      <w:pPr>
        <w:pStyle w:val="Normal36"/>
        <w:widowControl w:val="0"/>
        <w:spacing w:before="200" w:line="260" w:lineRule="atLeast"/>
        <w:jc w:val="both"/>
      </w:pPr>
      <w:bookmarkStart w:id="5637" w:name="Bookmark_para_24_19"/>
      <w:bookmarkEnd w:id="5637"/>
      <w:r>
        <w:rPr>
          <w:rFonts w:ascii="Arial" w:eastAsia="Arial" w:hAnsi="Arial" w:cs="Arial"/>
          <w:color w:val="000000"/>
          <w:sz w:val="20"/>
        </w:rPr>
        <w:t>In this case, Windham contends that the County failed reasonably to accommodate his neck disability in Dunn's administration of the gaze nystagmus test. That test required Windham to raise his head into a neutral, forward-looking position for about forty-five seconds. The County does not challenge the district court's conclusion that a reasonable jury could find that, because of Windham's disability, doing so caused him injury.</w:t>
      </w:r>
    </w:p>
    <w:p w:rsidR="00E456CD" w:rsidRDefault="00000000">
      <w:pPr>
        <w:pStyle w:val="Normal36"/>
        <w:widowControl w:val="0"/>
        <w:spacing w:before="200" w:line="260" w:lineRule="atLeast"/>
        <w:jc w:val="both"/>
      </w:pPr>
      <w:bookmarkStart w:id="5638" w:name="Bookmark_para_25_19"/>
      <w:bookmarkEnd w:id="5638"/>
      <w:r>
        <w:rPr>
          <w:rFonts w:ascii="Arial" w:eastAsia="Arial" w:hAnsi="Arial" w:cs="Arial"/>
          <w:color w:val="000000"/>
          <w:sz w:val="20"/>
        </w:rPr>
        <w:t xml:space="preserve">But Windham never asked the officers for any accommodation. </w:t>
      </w:r>
      <w:bookmarkStart w:id="5639" w:name="Bookmark_I5R4G3YF2HM6F20030000400"/>
      <w:bookmarkEnd w:id="5639"/>
      <w:r>
        <w:rPr>
          <w:rFonts w:ascii="Arial" w:eastAsia="Arial" w:hAnsi="Arial" w:cs="Arial"/>
          <w:color w:val="000000"/>
          <w:sz w:val="20"/>
        </w:rPr>
        <w:t xml:space="preserve">Far from requesting, for example, that the gaze nystagmus test not be performed or that it be administered from a lower angle, Windham made no requests of the officers whatsoever. He also expressly confirmed that he was not refusing to perform the test. Although Windham did express vague skepticism about whether he [**11]  would "be able to do" the tests, that statement can hardly be construed as a "request" for anything. It does not constitute the kind of clear and definite request for accommodations that would trigger the duty to accommodate under the ADA. </w:t>
      </w:r>
      <w:r>
        <w:rPr>
          <w:rFonts w:ascii="Arial" w:eastAsia="Arial" w:hAnsi="Arial" w:cs="Arial"/>
          <w:i/>
          <w:color w:val="000000"/>
          <w:sz w:val="20"/>
        </w:rPr>
        <w:t xml:space="preserve">See </w:t>
      </w:r>
      <w:bookmarkStart w:id="5640" w:name="Bookmark_I5R4G3YF2HM6F20020000400"/>
      <w:bookmarkEnd w:id="5640"/>
      <w:r>
        <w:rPr>
          <w:rFonts w:ascii="Arial" w:eastAsia="Arial" w:hAnsi="Arial" w:cs="Arial"/>
          <w:i/>
          <w:color w:val="000000"/>
          <w:sz w:val="20"/>
        </w:rPr>
        <w:t>Taylor</w:t>
      </w:r>
      <w:r>
        <w:rPr>
          <w:rFonts w:ascii="Arial" w:eastAsia="Arial" w:hAnsi="Arial" w:cs="Arial"/>
          <w:color w:val="000000"/>
          <w:sz w:val="20"/>
        </w:rPr>
        <w:t>, 93 F.3d at 165.</w:t>
      </w:r>
    </w:p>
    <w:p w:rsidR="00E456CD" w:rsidRDefault="00000000">
      <w:pPr>
        <w:pStyle w:val="Normal36"/>
        <w:widowControl w:val="0"/>
        <w:spacing w:before="200" w:line="260" w:lineRule="atLeast"/>
        <w:jc w:val="both"/>
      </w:pPr>
      <w:bookmarkStart w:id="5641" w:name="Bookmark_para_26_18"/>
      <w:bookmarkStart w:id="5642" w:name="Bookmark_I5R4G3YF2HM6F20050000400"/>
      <w:bookmarkEnd w:id="5641"/>
      <w:bookmarkEnd w:id="5642"/>
      <w:r>
        <w:rPr>
          <w:rFonts w:ascii="Arial" w:eastAsia="Arial" w:hAnsi="Arial" w:cs="Arial"/>
          <w:color w:val="000000"/>
          <w:sz w:val="20"/>
        </w:rPr>
        <w:t xml:space="preserve">Nor has Windham adduced evidence from which a reasonable jury could infer that the extent of Windham's limitation and the necessary accommodation were "obvious"—that is, infer that Pasket and Dunn knew or should have known that  [*238]  Windham's neck condition was such that looking straight ahead would injure him, and that Pasket and Dunn knew or should have known what accommodation Windham needed. </w:t>
      </w:r>
      <w:r>
        <w:rPr>
          <w:rFonts w:ascii="Arial" w:eastAsia="Arial" w:hAnsi="Arial" w:cs="Arial"/>
          <w:i/>
          <w:color w:val="000000"/>
          <w:sz w:val="20"/>
        </w:rPr>
        <w:t xml:space="preserve">See </w:t>
      </w:r>
      <w:bookmarkStart w:id="5643" w:name="Bookmark_I5R4G3YF2HM6F20040000400"/>
      <w:bookmarkEnd w:id="5643"/>
      <w:r>
        <w:rPr>
          <w:rFonts w:ascii="Arial" w:eastAsia="Arial" w:hAnsi="Arial" w:cs="Arial"/>
          <w:i/>
          <w:color w:val="000000"/>
          <w:sz w:val="20"/>
        </w:rPr>
        <w:t>Taylor</w:t>
      </w:r>
      <w:r>
        <w:rPr>
          <w:rFonts w:ascii="Arial" w:eastAsia="Arial" w:hAnsi="Arial" w:cs="Arial"/>
          <w:color w:val="000000"/>
          <w:sz w:val="20"/>
        </w:rPr>
        <w:t xml:space="preserve">, 93 F.3d at 164-65. To be sure, a jury could find that the officers knew or should have known Windham suffered from a neck-related disability. </w:t>
      </w:r>
      <w:bookmarkStart w:id="5644" w:name="Bookmark_I5R4G3YF2D6NF90020000400"/>
      <w:bookmarkEnd w:id="5644"/>
      <w:r>
        <w:rPr>
          <w:rFonts w:ascii="Arial" w:eastAsia="Arial" w:hAnsi="Arial" w:cs="Arial"/>
          <w:color w:val="000000"/>
          <w:sz w:val="20"/>
        </w:rPr>
        <w:t xml:space="preserve">But knowledge of a disability is different from knowledge of the resulting limitation. And it certainly is different from knowledge of the necessary accommodation. </w:t>
      </w:r>
      <w:bookmarkStart w:id="5645" w:name="Bookmark_I5R4G3YF28T4YY0030000400"/>
      <w:bookmarkEnd w:id="5645"/>
      <w:r>
        <w:rPr>
          <w:rFonts w:ascii="Arial" w:eastAsia="Arial" w:hAnsi="Arial" w:cs="Arial"/>
          <w:i/>
          <w:color w:val="000000"/>
          <w:sz w:val="20"/>
        </w:rPr>
        <w:t>See Patton</w:t>
      </w:r>
      <w:r>
        <w:rPr>
          <w:rFonts w:ascii="Arial" w:eastAsia="Arial" w:hAnsi="Arial" w:cs="Arial"/>
          <w:color w:val="000000"/>
          <w:sz w:val="20"/>
        </w:rPr>
        <w:t xml:space="preserve">, 874 F.3d 437, 2017 U.S. App. LEXIS 21028, 2017 WL 4784586, at *5; </w:t>
      </w:r>
      <w:r>
        <w:rPr>
          <w:rFonts w:ascii="Arial" w:eastAsia="Arial" w:hAnsi="Arial" w:cs="Arial"/>
          <w:i/>
          <w:color w:val="000000"/>
          <w:sz w:val="20"/>
        </w:rPr>
        <w:t>Jin Choi</w:t>
      </w:r>
      <w:r>
        <w:rPr>
          <w:rFonts w:ascii="Arial" w:eastAsia="Arial" w:hAnsi="Arial" w:cs="Arial"/>
          <w:color w:val="000000"/>
          <w:sz w:val="20"/>
        </w:rPr>
        <w:t xml:space="preserve">, 633 F. App'x at 216; </w:t>
      </w:r>
      <w:r>
        <w:rPr>
          <w:rFonts w:ascii="Arial" w:eastAsia="Arial" w:hAnsi="Arial" w:cs="Arial"/>
          <w:i/>
          <w:color w:val="000000"/>
          <w:sz w:val="20"/>
        </w:rPr>
        <w:t>Taylor</w:t>
      </w:r>
      <w:r>
        <w:rPr>
          <w:rFonts w:ascii="Arial" w:eastAsia="Arial" w:hAnsi="Arial" w:cs="Arial"/>
          <w:color w:val="000000"/>
          <w:sz w:val="20"/>
        </w:rPr>
        <w:t xml:space="preserve">, 93 F.3d at 164. </w:t>
      </w:r>
      <w:bookmarkStart w:id="5646" w:name="Bookmark_I5R4G3YF28T4YY0030000400_2"/>
      <w:bookmarkEnd w:id="5646"/>
      <w:r>
        <w:rPr>
          <w:rFonts w:ascii="Arial" w:eastAsia="Arial" w:hAnsi="Arial" w:cs="Arial"/>
          <w:color w:val="000000"/>
          <w:sz w:val="20"/>
        </w:rPr>
        <w:t xml:space="preserve">To prevail, Windham must adduce evidence that all three were or should have been obvious. </w:t>
      </w:r>
      <w:bookmarkStart w:id="5647" w:name="Bookmark_I5R4G3YF28T4YY0020000400"/>
      <w:bookmarkEnd w:id="5647"/>
      <w:r>
        <w:rPr>
          <w:rFonts w:ascii="Arial" w:eastAsia="Arial" w:hAnsi="Arial" w:cs="Arial"/>
          <w:i/>
          <w:color w:val="000000"/>
          <w:sz w:val="20"/>
        </w:rPr>
        <w:t>Taylor</w:t>
      </w:r>
      <w:r>
        <w:rPr>
          <w:rFonts w:ascii="Arial" w:eastAsia="Arial" w:hAnsi="Arial" w:cs="Arial"/>
          <w:color w:val="000000"/>
          <w:sz w:val="20"/>
        </w:rPr>
        <w:t>, 93 F.3d at 165. He fails to make that showing.</w:t>
      </w:r>
    </w:p>
    <w:p w:rsidR="00E456CD" w:rsidRDefault="00000000">
      <w:pPr>
        <w:pStyle w:val="Normal36"/>
        <w:widowControl w:val="0"/>
        <w:spacing w:before="200" w:line="260" w:lineRule="atLeast"/>
        <w:jc w:val="both"/>
      </w:pPr>
      <w:bookmarkStart w:id="5648" w:name="Bookmark_para_27_18"/>
      <w:bookmarkStart w:id="5649" w:name="Bookmark_I5R4G3YF28T4YY0050000400"/>
      <w:bookmarkEnd w:id="5648"/>
      <w:bookmarkEnd w:id="5649"/>
      <w:r>
        <w:rPr>
          <w:rFonts w:ascii="Arial" w:eastAsia="Arial" w:hAnsi="Arial" w:cs="Arial"/>
          <w:color w:val="000000"/>
          <w:sz w:val="20"/>
        </w:rPr>
        <w:t xml:space="preserve">As an initial matter, Windham has never argued that his disability, limitation, and necessary accommodation are of a kind that would still [**12]  have been "open, obvious, and apparent" even if Windham had never attempted to explain them. That may be true of well-understood and outwardly visible disabilities like, say, blindness, deafness, or being wheelchair-bound. </w:t>
      </w:r>
      <w:r>
        <w:rPr>
          <w:rFonts w:ascii="Arial" w:eastAsia="Arial" w:hAnsi="Arial" w:cs="Arial"/>
          <w:i/>
          <w:color w:val="000000"/>
          <w:sz w:val="20"/>
        </w:rPr>
        <w:t xml:space="preserve">Cf., e.g., </w:t>
      </w:r>
      <w:bookmarkStart w:id="5650" w:name="Bookmark_I5R4G3YF28T4YY0040000400"/>
      <w:bookmarkEnd w:id="5650"/>
      <w:r>
        <w:rPr>
          <w:rFonts w:ascii="Arial" w:eastAsia="Arial" w:hAnsi="Arial" w:cs="Arial"/>
          <w:i/>
          <w:color w:val="000000"/>
          <w:sz w:val="20"/>
        </w:rPr>
        <w:t>Robertson</w:t>
      </w:r>
      <w:r>
        <w:rPr>
          <w:rFonts w:ascii="Arial" w:eastAsia="Arial" w:hAnsi="Arial" w:cs="Arial"/>
          <w:color w:val="000000"/>
          <w:sz w:val="20"/>
        </w:rPr>
        <w:t>, 500 F.3d at 1198 (need for hearing aid could be found obvious). But no one suggests that cervical stenosis fits that category.</w:t>
      </w:r>
    </w:p>
    <w:p w:rsidR="00E456CD" w:rsidRDefault="00000000">
      <w:pPr>
        <w:pStyle w:val="Normal36"/>
        <w:widowControl w:val="0"/>
        <w:spacing w:before="200" w:line="260" w:lineRule="atLeast"/>
        <w:jc w:val="both"/>
      </w:pPr>
      <w:bookmarkStart w:id="5651" w:name="Bookmark_para_28_18"/>
      <w:bookmarkEnd w:id="5651"/>
      <w:r>
        <w:rPr>
          <w:rFonts w:ascii="Arial" w:eastAsia="Arial" w:hAnsi="Arial" w:cs="Arial"/>
          <w:color w:val="000000"/>
          <w:sz w:val="20"/>
        </w:rPr>
        <w:t xml:space="preserve">Windham instead attempts to prove the requisite "obviousness" by relying on his doctor's note. But that note could not reasonably be found to have apprised the officers of Windham's limitation or how that limitation should be accommodated. </w:t>
      </w:r>
      <w:bookmarkStart w:id="5652" w:name="Bookmark_I5R4G3YF2N1RG10020000400"/>
      <w:bookmarkEnd w:id="5652"/>
      <w:r>
        <w:rPr>
          <w:rFonts w:ascii="Arial" w:eastAsia="Arial" w:hAnsi="Arial" w:cs="Arial"/>
          <w:color w:val="000000"/>
          <w:sz w:val="20"/>
        </w:rPr>
        <w:t xml:space="preserve">The closest the note came was its statement, buried in a dependent clause in the second paragraph, that Windham "risk[ed] . . . neurologic injury from neck extension." Yet nothing in the note defined "neck extension" or intimated that Windham risked injury by moving his head into a neutral, forward-looking position (an act that does not obviously constitute "neck extension" on its own). The note therefore could not have rendered Windham's limitation "obvious"—and it certainly could not have made obvious the necessary accommodation. </w:t>
      </w:r>
      <w:r>
        <w:rPr>
          <w:rFonts w:ascii="Arial" w:eastAsia="Arial" w:hAnsi="Arial" w:cs="Arial"/>
          <w:i/>
          <w:color w:val="000000"/>
          <w:sz w:val="20"/>
        </w:rPr>
        <w:t xml:space="preserve">See </w:t>
      </w:r>
      <w:bookmarkStart w:id="5653" w:name="Bookmark_I5R4G3YF2N1RG10010000400"/>
      <w:bookmarkEnd w:id="5653"/>
      <w:r>
        <w:rPr>
          <w:rFonts w:ascii="Arial" w:eastAsia="Arial" w:hAnsi="Arial" w:cs="Arial"/>
          <w:i/>
          <w:color w:val="000000"/>
          <w:sz w:val="20"/>
        </w:rPr>
        <w:t>Taylor</w:t>
      </w:r>
      <w:r>
        <w:rPr>
          <w:rFonts w:ascii="Arial" w:eastAsia="Arial" w:hAnsi="Arial" w:cs="Arial"/>
          <w:color w:val="000000"/>
          <w:sz w:val="20"/>
        </w:rPr>
        <w:t>, 93 F.3d at 165 n.10 (doctors' affidavits insufficient because they failed to identify "(1) the specific [**13]  disability; (2) any limitations resulting therefrom, or (3) any reasonable accommodations required").</w:t>
      </w:r>
    </w:p>
    <w:p w:rsidR="00E456CD" w:rsidRDefault="00000000">
      <w:pPr>
        <w:pStyle w:val="Normal36"/>
        <w:widowControl w:val="0"/>
        <w:spacing w:before="200" w:line="260" w:lineRule="atLeast"/>
        <w:jc w:val="both"/>
      </w:pPr>
      <w:bookmarkStart w:id="5654" w:name="Bookmark_para_29_17"/>
      <w:bookmarkStart w:id="5655" w:name="Bookmark_I5R4G3YF2N1RG10040000400"/>
      <w:bookmarkEnd w:id="5654"/>
      <w:bookmarkEnd w:id="5655"/>
      <w:r>
        <w:rPr>
          <w:rFonts w:ascii="Arial" w:eastAsia="Arial" w:hAnsi="Arial" w:cs="Arial"/>
          <w:color w:val="000000"/>
          <w:sz w:val="20"/>
        </w:rPr>
        <w:t xml:space="preserve">In his reply brief, Windham additionally points to the statements he made to Dunn during the second gaze nystagmus test. Although Windham expressed generic doubts about his ability to perform the test, and although he said that raising his head caused him pain, none of these statements made clear that Windham needed accommodation for his neck and suggested possible accommodations. Vague statements like these cannot transform Windham's somewhat-obscure condition into one for which the limitations and necessary accommodation were "open, obvious, and apparent." </w:t>
      </w:r>
      <w:r>
        <w:rPr>
          <w:rFonts w:ascii="Arial" w:eastAsia="Arial" w:hAnsi="Arial" w:cs="Arial"/>
          <w:i/>
          <w:color w:val="000000"/>
          <w:sz w:val="20"/>
        </w:rPr>
        <w:t xml:space="preserve">See </w:t>
      </w:r>
      <w:bookmarkStart w:id="5656" w:name="Bookmark_I5R4G3YF2N1RG10030000400"/>
      <w:bookmarkEnd w:id="5656"/>
      <w:r>
        <w:rPr>
          <w:rFonts w:ascii="Arial" w:eastAsia="Arial" w:hAnsi="Arial" w:cs="Arial"/>
          <w:i/>
          <w:color w:val="000000"/>
          <w:sz w:val="20"/>
        </w:rPr>
        <w:t>Taylor</w:t>
      </w:r>
      <w:r>
        <w:rPr>
          <w:rFonts w:ascii="Arial" w:eastAsia="Arial" w:hAnsi="Arial" w:cs="Arial"/>
          <w:color w:val="000000"/>
          <w:sz w:val="20"/>
        </w:rPr>
        <w:t>, 93 F.3d at 164-65.</w:t>
      </w:r>
      <w:r>
        <w:rPr>
          <w:rFonts w:ascii="Arial" w:eastAsia="Arial" w:hAnsi="Arial" w:cs="Arial"/>
          <w:vertAlign w:val="superscript"/>
        </w:rPr>
        <w:footnoteReference w:customMarkFollows="1" w:id="249"/>
        <w:t>13</w:t>
      </w:r>
    </w:p>
    <w:p w:rsidR="00E456CD" w:rsidRDefault="00000000">
      <w:pPr>
        <w:pStyle w:val="Normal36"/>
        <w:widowControl w:val="0"/>
        <w:spacing w:before="200" w:line="260" w:lineRule="atLeast"/>
        <w:jc w:val="both"/>
      </w:pPr>
      <w:bookmarkStart w:id="5662" w:name="Bookmark_para_30_17"/>
      <w:bookmarkEnd w:id="5662"/>
      <w:r>
        <w:rPr>
          <w:rFonts w:ascii="Arial" w:eastAsia="Arial" w:hAnsi="Arial" w:cs="Arial"/>
          <w:color w:val="000000"/>
          <w:sz w:val="20"/>
        </w:rPr>
        <w:t xml:space="preserve"> [*239]  </w:t>
      </w:r>
      <w:bookmarkStart w:id="5663" w:name="Bookmark_I5R4G3YF2SF7Y10050000400"/>
      <w:bookmarkEnd w:id="5663"/>
      <w:r>
        <w:rPr>
          <w:rFonts w:ascii="Arial" w:eastAsia="Arial" w:hAnsi="Arial" w:cs="Arial"/>
          <w:color w:val="000000"/>
          <w:sz w:val="20"/>
        </w:rPr>
        <w:t xml:space="preserve">Our decision in </w:t>
      </w:r>
      <w:r>
        <w:rPr>
          <w:rFonts w:ascii="Arial" w:eastAsia="Arial" w:hAnsi="Arial" w:cs="Arial"/>
          <w:i/>
          <w:color w:val="000000"/>
          <w:sz w:val="20"/>
        </w:rPr>
        <w:t>Delano-Pyle</w:t>
      </w:r>
      <w:r>
        <w:rPr>
          <w:rFonts w:ascii="Arial" w:eastAsia="Arial" w:hAnsi="Arial" w:cs="Arial"/>
          <w:color w:val="000000"/>
          <w:sz w:val="20"/>
        </w:rPr>
        <w:t xml:space="preserve"> does not counsel otherwise. </w:t>
      </w:r>
      <w:bookmarkStart w:id="5664" w:name="Bookmark_I0MVJKYVBN7000VXMXW004NX"/>
      <w:bookmarkStart w:id="5665" w:name="Bookmark_I5R4G3YF28T5000020000400"/>
      <w:bookmarkEnd w:id="5664"/>
      <w:bookmarkEnd w:id="5665"/>
      <w:r>
        <w:rPr>
          <w:rFonts w:ascii="Arial" w:eastAsia="Arial" w:hAnsi="Arial" w:cs="Arial"/>
          <w:color w:val="000000"/>
          <w:sz w:val="20"/>
        </w:rPr>
        <w:t xml:space="preserve">Although we upheld a jury finding of disability discrimination where police officers failed to accommodate a deaf arrestee even without an explicit request for accommodation, </w:t>
      </w:r>
      <w:bookmarkStart w:id="5666" w:name="Bookmark_I5R4G3YF2SF7Y10040000400"/>
      <w:bookmarkEnd w:id="5666"/>
      <w:r>
        <w:rPr>
          <w:rFonts w:ascii="Arial" w:eastAsia="Arial" w:hAnsi="Arial" w:cs="Arial"/>
          <w:color w:val="000000"/>
          <w:sz w:val="20"/>
        </w:rPr>
        <w:t xml:space="preserve">302 F.3d at 575-76, that holding says little about whether Windham's need for accommodation was similarly obvious. For one, the officers in </w:t>
      </w:r>
      <w:r>
        <w:rPr>
          <w:rFonts w:ascii="Arial" w:eastAsia="Arial" w:hAnsi="Arial" w:cs="Arial"/>
          <w:i/>
          <w:color w:val="000000"/>
          <w:sz w:val="20"/>
        </w:rPr>
        <w:t>Delano-Pyle</w:t>
      </w:r>
      <w:r>
        <w:rPr>
          <w:rFonts w:ascii="Arial" w:eastAsia="Arial" w:hAnsi="Arial" w:cs="Arial"/>
          <w:color w:val="000000"/>
          <w:sz w:val="20"/>
        </w:rPr>
        <w:t xml:space="preserve"> testified that they understood that the plaintiff's disability prevented him from hearing, yet they continued to give him oral instructions regardless. [**14]  </w:t>
      </w:r>
      <w:bookmarkStart w:id="5667" w:name="Bookmark_I5R4G3YF28T5000020000400_2"/>
      <w:bookmarkEnd w:id="5667"/>
      <w:r>
        <w:rPr>
          <w:rFonts w:ascii="Arial" w:eastAsia="Arial" w:hAnsi="Arial" w:cs="Arial"/>
          <w:i/>
          <w:color w:val="000000"/>
          <w:sz w:val="20"/>
        </w:rPr>
        <w:t>Id.</w:t>
      </w:r>
      <w:r>
        <w:rPr>
          <w:rFonts w:ascii="Arial" w:eastAsia="Arial" w:hAnsi="Arial" w:cs="Arial"/>
          <w:color w:val="000000"/>
          <w:sz w:val="20"/>
        </w:rPr>
        <w:t xml:space="preserve"> Windham points to no similar evidence here. And, more importantly, the </w:t>
      </w:r>
      <w:bookmarkStart w:id="5668" w:name="Bookmark_I5R4G3YF28T5000020000400_3"/>
      <w:bookmarkStart w:id="5669" w:name="Bookmark_I5R4G3YF28T5000010000400"/>
      <w:bookmarkEnd w:id="5668"/>
      <w:bookmarkEnd w:id="5669"/>
      <w:r>
        <w:rPr>
          <w:rFonts w:ascii="Arial" w:eastAsia="Arial" w:hAnsi="Arial" w:cs="Arial"/>
          <w:i/>
          <w:color w:val="000000"/>
          <w:sz w:val="20"/>
        </w:rPr>
        <w:t>Delano-Pyle</w:t>
      </w:r>
      <w:r>
        <w:rPr>
          <w:rFonts w:ascii="Arial" w:eastAsia="Arial" w:hAnsi="Arial" w:cs="Arial"/>
          <w:color w:val="000000"/>
          <w:sz w:val="20"/>
        </w:rPr>
        <w:t xml:space="preserve"> plaintiff's disability was far more readily apparent. That deafness limits a person's ability to understand oral commands is plain; that cervical stenosis limits a person's ability to look straight ahead for a period of forty-five seconds is not.</w:t>
      </w:r>
      <w:r>
        <w:rPr>
          <w:rFonts w:ascii="Arial" w:eastAsia="Arial" w:hAnsi="Arial" w:cs="Arial"/>
          <w:vertAlign w:val="superscript"/>
        </w:rPr>
        <w:footnoteReference w:customMarkFollows="1" w:id="250"/>
        <w:t>14</w:t>
      </w:r>
    </w:p>
    <w:p w:rsidR="00E456CD" w:rsidRDefault="00000000">
      <w:pPr>
        <w:pStyle w:val="Normal36"/>
        <w:widowControl w:val="0"/>
        <w:spacing w:before="200" w:line="260" w:lineRule="atLeast"/>
        <w:jc w:val="both"/>
      </w:pPr>
      <w:bookmarkStart w:id="5676" w:name="Bookmark_para_31_17"/>
      <w:bookmarkStart w:id="5677" w:name="Bookmark_I5R4G3YF2HM6F30030000400"/>
      <w:bookmarkEnd w:id="5676"/>
      <w:bookmarkEnd w:id="5677"/>
      <w:r>
        <w:rPr>
          <w:rFonts w:ascii="Arial" w:eastAsia="Arial" w:hAnsi="Arial" w:cs="Arial"/>
          <w:color w:val="000000"/>
          <w:sz w:val="20"/>
        </w:rPr>
        <w:t xml:space="preserve">As a result, Windham cannot avail himself of the narrow exception applicable only to people whose disabilities, limitations, and necessary accommodations are "open, obvious, and apparent." </w:t>
      </w:r>
      <w:bookmarkStart w:id="5678" w:name="Bookmark_I5R4G3YF2HM6F30020000400"/>
      <w:bookmarkEnd w:id="5678"/>
      <w:r>
        <w:rPr>
          <w:rFonts w:ascii="Arial" w:eastAsia="Arial" w:hAnsi="Arial" w:cs="Arial"/>
          <w:i/>
          <w:color w:val="000000"/>
          <w:sz w:val="20"/>
        </w:rPr>
        <w:t>Taylor</w:t>
      </w:r>
      <w:r>
        <w:rPr>
          <w:rFonts w:ascii="Arial" w:eastAsia="Arial" w:hAnsi="Arial" w:cs="Arial"/>
          <w:color w:val="000000"/>
          <w:sz w:val="20"/>
        </w:rPr>
        <w:t xml:space="preserve">, 93 F.3d at 165. He instead falls within the generally applicable rule that "[i]f the [plaintiff] fails to request an accommodation, the [public entity] cannot be held liable for failing to provide one." </w:t>
      </w:r>
      <w:r>
        <w:rPr>
          <w:rFonts w:ascii="Arial" w:eastAsia="Arial" w:hAnsi="Arial" w:cs="Arial"/>
          <w:i/>
          <w:color w:val="000000"/>
          <w:sz w:val="20"/>
        </w:rPr>
        <w:t>Id.</w:t>
      </w:r>
      <w:r>
        <w:rPr>
          <w:rFonts w:ascii="Arial" w:eastAsia="Arial" w:hAnsi="Arial" w:cs="Arial"/>
          <w:color w:val="000000"/>
          <w:sz w:val="20"/>
        </w:rPr>
        <w:t xml:space="preserve"> Because the record contains no evidence that Windham requested an accommodation, we affirm the district court's grant of summary judgment for the County on the ADA claim.</w:t>
      </w:r>
    </w:p>
    <w:p w:rsidR="00E456CD" w:rsidRDefault="00000000">
      <w:pPr>
        <w:pStyle w:val="Normal36"/>
        <w:widowControl w:val="0"/>
        <w:spacing w:before="240" w:line="260" w:lineRule="atLeast"/>
      </w:pPr>
      <w:r>
        <w:br/>
      </w:r>
      <w:r>
        <w:rPr>
          <w:rFonts w:ascii="Arial" w:eastAsia="Arial" w:hAnsi="Arial" w:cs="Arial"/>
          <w:b/>
          <w:color w:val="000000"/>
          <w:sz w:val="20"/>
        </w:rPr>
        <w:t>II. Fourth Amendment and § 1983</w:t>
      </w:r>
    </w:p>
    <w:p w:rsidR="00E456CD" w:rsidRDefault="00000000">
      <w:pPr>
        <w:pStyle w:val="Normal36"/>
        <w:widowControl w:val="0"/>
        <w:spacing w:before="200" w:line="260" w:lineRule="atLeast"/>
        <w:jc w:val="both"/>
      </w:pPr>
      <w:bookmarkStart w:id="5679" w:name="Bookmark_para_32_17"/>
      <w:bookmarkStart w:id="5680" w:name="Bookmark_I5R4G3YF2HM6F30050000400"/>
      <w:bookmarkStart w:id="5681" w:name="Bookmark_LNHNREFclscc13_9"/>
      <w:bookmarkEnd w:id="5679"/>
      <w:bookmarkEnd w:id="5680"/>
      <w:bookmarkEnd w:id="5681"/>
      <w:r>
        <w:rPr>
          <w:rFonts w:ascii="Arial" w:eastAsia="Arial" w:hAnsi="Arial" w:cs="Arial"/>
          <w:color w:val="000000"/>
          <w:sz w:val="20"/>
        </w:rPr>
        <w:t xml:space="preserve">The Fourth Amendment prohibits "unreasonable . . . seizures." U.S. Const. amend. IV. A seizure is generally reasonable only if justified by an "individualized suspicion of wrongdoing," </w:t>
      </w:r>
      <w:bookmarkStart w:id="5682" w:name="Bookmark_I5R4G3YF2HM6F30040000400"/>
      <w:bookmarkEnd w:id="5682"/>
      <w:r>
        <w:rPr>
          <w:rFonts w:ascii="Arial" w:eastAsia="Arial" w:hAnsi="Arial" w:cs="Arial"/>
          <w:i/>
          <w:color w:val="000000"/>
          <w:sz w:val="20"/>
        </w:rPr>
        <w:t>City of Indianapolis v. Edmond</w:t>
      </w:r>
      <w:r>
        <w:rPr>
          <w:rFonts w:ascii="Arial" w:eastAsia="Arial" w:hAnsi="Arial" w:cs="Arial"/>
          <w:color w:val="000000"/>
          <w:sz w:val="20"/>
        </w:rPr>
        <w:t xml:space="preserve">, 531 U.S. 32, 37, 121 S. Ct. 447, 148 L. Ed. 2d 333 (2000), and only if carried out in a reasonable manner, </w:t>
      </w:r>
      <w:bookmarkStart w:id="5683" w:name="Bookmark_I5R4G3YF2N1RG20010000400"/>
      <w:bookmarkEnd w:id="5683"/>
      <w:r>
        <w:rPr>
          <w:rFonts w:ascii="Arial" w:eastAsia="Arial" w:hAnsi="Arial" w:cs="Arial"/>
          <w:i/>
          <w:color w:val="000000"/>
          <w:sz w:val="20"/>
        </w:rPr>
        <w:t>Graham v. Connor</w:t>
      </w:r>
      <w:r>
        <w:rPr>
          <w:rFonts w:ascii="Arial" w:eastAsia="Arial" w:hAnsi="Arial" w:cs="Arial"/>
          <w:color w:val="000000"/>
          <w:sz w:val="20"/>
        </w:rPr>
        <w:t xml:space="preserve">, 490 U.S. 386, 395, 109 S. Ct. 1865, 104 L. Ed. 2d 443 (1989). </w:t>
      </w:r>
      <w:bookmarkStart w:id="5684" w:name="Bookmark_I5R4G3YF2N1RG20040000400"/>
      <w:bookmarkEnd w:id="5684"/>
      <w:r>
        <w:rPr>
          <w:rFonts w:ascii="Arial" w:eastAsia="Arial" w:hAnsi="Arial" w:cs="Arial"/>
          <w:color w:val="000000"/>
          <w:sz w:val="20"/>
        </w:rPr>
        <w:t xml:space="preserve">Officers who conduct unreasonable seizures in violation of clearly established law may be liable under 42 U.S.C. § 1983. [**15]  And local governments may be liable if their policies or customs caused the violation. </w:t>
      </w:r>
      <w:bookmarkStart w:id="5685" w:name="Bookmark_I5R4G3YF2N1RG20040000400_2"/>
      <w:bookmarkStart w:id="5686" w:name="Bookmark_I5R4G3YF2N1RG20030000400"/>
      <w:bookmarkEnd w:id="5685"/>
      <w:bookmarkEnd w:id="5686"/>
      <w:r>
        <w:rPr>
          <w:rFonts w:ascii="Arial" w:eastAsia="Arial" w:hAnsi="Arial" w:cs="Arial"/>
          <w:i/>
          <w:color w:val="000000"/>
          <w:sz w:val="20"/>
        </w:rPr>
        <w:t>Monell v. Dep't of Soc. Servs.</w:t>
      </w:r>
      <w:r>
        <w:rPr>
          <w:rFonts w:ascii="Arial" w:eastAsia="Arial" w:hAnsi="Arial" w:cs="Arial"/>
          <w:color w:val="000000"/>
          <w:sz w:val="20"/>
        </w:rPr>
        <w:t>, 436 U.S. 658, 690-91, 98 S. Ct. 2018, 56 L. Ed. 2d 611 (1978).</w:t>
      </w:r>
    </w:p>
    <w:p w:rsidR="00E456CD" w:rsidRDefault="00000000">
      <w:pPr>
        <w:pStyle w:val="Normal36"/>
        <w:widowControl w:val="0"/>
        <w:spacing w:before="200" w:line="260" w:lineRule="atLeast"/>
        <w:jc w:val="both"/>
      </w:pPr>
      <w:bookmarkStart w:id="5687" w:name="Bookmark_para_33_16"/>
      <w:bookmarkEnd w:id="5687"/>
      <w:r>
        <w:rPr>
          <w:rFonts w:ascii="Arial" w:eastAsia="Arial" w:hAnsi="Arial" w:cs="Arial"/>
          <w:color w:val="000000"/>
          <w:sz w:val="20"/>
        </w:rPr>
        <w:t>Windham appeals the grant of summary judgment on his claims against the officers for unjustified detention and excessive use of force, and on his claim against the County for failure to train its officers to perform sobriety tests on individuals with neck injuries. We affirm as to each.</w:t>
      </w:r>
    </w:p>
    <w:p w:rsidR="00E456CD" w:rsidRDefault="00000000">
      <w:pPr>
        <w:pStyle w:val="Normal36"/>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Unjustified Detention</w:t>
      </w:r>
    </w:p>
    <w:p w:rsidR="00E456CD" w:rsidRDefault="00000000">
      <w:pPr>
        <w:pStyle w:val="Normal36"/>
        <w:widowControl w:val="0"/>
        <w:spacing w:before="200" w:line="260" w:lineRule="atLeast"/>
        <w:jc w:val="both"/>
      </w:pPr>
      <w:bookmarkStart w:id="5688" w:name="Bookmark_para_34_15"/>
      <w:bookmarkStart w:id="5689" w:name="Bookmark_I5R4G3YF2SF7Y20010000400"/>
      <w:bookmarkStart w:id="5690" w:name="Bookmark_LNHNREFclscc14_7"/>
      <w:bookmarkEnd w:id="5688"/>
      <w:bookmarkEnd w:id="5689"/>
      <w:bookmarkEnd w:id="5690"/>
      <w:r>
        <w:rPr>
          <w:rFonts w:ascii="Arial" w:eastAsia="Arial" w:hAnsi="Arial" w:cs="Arial"/>
          <w:color w:val="000000"/>
          <w:sz w:val="20"/>
        </w:rPr>
        <w:t xml:space="preserve">To be justified under the Fourth Amendment, an investigative stop needs only reasonable suspicion. </w:t>
      </w:r>
      <w:bookmarkStart w:id="5691" w:name="Bookmark_I5R4G3YF2N1RG20050000400"/>
      <w:bookmarkEnd w:id="5691"/>
      <w:r>
        <w:rPr>
          <w:rFonts w:ascii="Arial" w:eastAsia="Arial" w:hAnsi="Arial" w:cs="Arial"/>
          <w:i/>
          <w:color w:val="000000"/>
          <w:sz w:val="20"/>
        </w:rPr>
        <w:t>United States v. Massi</w:t>
      </w:r>
      <w:r>
        <w:rPr>
          <w:rFonts w:ascii="Arial" w:eastAsia="Arial" w:hAnsi="Arial" w:cs="Arial"/>
          <w:color w:val="000000"/>
          <w:sz w:val="20"/>
        </w:rPr>
        <w:t xml:space="preserve">, 761 F.3d 512, 520 (5th Cir. 2014). An arrest, on the other hand, demands the greater showing of probable cause. </w:t>
      </w:r>
      <w:r>
        <w:rPr>
          <w:rFonts w:ascii="Arial" w:eastAsia="Arial" w:hAnsi="Arial" w:cs="Arial"/>
          <w:i/>
          <w:color w:val="000000"/>
          <w:sz w:val="20"/>
        </w:rPr>
        <w:t>Id.</w:t>
      </w:r>
      <w:r>
        <w:rPr>
          <w:rFonts w:ascii="Arial" w:eastAsia="Arial" w:hAnsi="Arial" w:cs="Arial"/>
          <w:color w:val="000000"/>
          <w:sz w:val="20"/>
        </w:rPr>
        <w:t xml:space="preserve"> Here, Windham argues that the officers lacked reasonable suspicion, and that, in any event, the detention was functionally an arrest such that probable cause was required.</w:t>
      </w:r>
    </w:p>
    <w:p w:rsidR="00E456CD" w:rsidRDefault="00000000">
      <w:pPr>
        <w:pStyle w:val="Normal36"/>
        <w:widowControl w:val="0"/>
        <w:spacing w:before="120" w:line="260" w:lineRule="atLeast"/>
      </w:pPr>
      <w:r>
        <w:rPr>
          <w:rFonts w:ascii="Arial" w:eastAsia="Arial" w:hAnsi="Arial" w:cs="Arial"/>
          <w:color w:val="000000"/>
          <w:sz w:val="20"/>
        </w:rPr>
        <w:t xml:space="preserve">(i) </w:t>
      </w:r>
      <w:r>
        <w:rPr>
          <w:rFonts w:ascii="Arial" w:eastAsia="Arial" w:hAnsi="Arial" w:cs="Arial"/>
          <w:i/>
          <w:color w:val="000000"/>
          <w:sz w:val="20"/>
        </w:rPr>
        <w:t>Reasonable Suspicion</w:t>
      </w:r>
    </w:p>
    <w:p w:rsidR="00E456CD" w:rsidRDefault="00000000">
      <w:pPr>
        <w:pStyle w:val="Normal36"/>
        <w:widowControl w:val="0"/>
        <w:spacing w:before="200" w:line="260" w:lineRule="atLeast"/>
        <w:jc w:val="both"/>
      </w:pPr>
      <w:bookmarkStart w:id="5692" w:name="Bookmark_para_35_14"/>
      <w:bookmarkStart w:id="5693" w:name="Bookmark_I5R4G3YF2SF7Y20030000400"/>
      <w:bookmarkStart w:id="5694" w:name="Bookmark_I5R4G3YF2D6NFC0020000400"/>
      <w:bookmarkEnd w:id="5692"/>
      <w:bookmarkEnd w:id="5693"/>
      <w:bookmarkEnd w:id="5694"/>
      <w:r>
        <w:rPr>
          <w:rFonts w:ascii="Arial" w:eastAsia="Arial" w:hAnsi="Arial" w:cs="Arial"/>
          <w:color w:val="000000"/>
          <w:sz w:val="20"/>
        </w:rPr>
        <w:t xml:space="preserve">The first question is whether the officers "ha[d] a reasonable suspicion . . . that criminal activity 'may [have been]  [*240]  afoot.'" </w:t>
      </w:r>
      <w:bookmarkStart w:id="5695" w:name="Bookmark_I5R4G3YF2SF7Y20020000400"/>
      <w:bookmarkEnd w:id="5695"/>
      <w:r>
        <w:rPr>
          <w:rFonts w:ascii="Arial" w:eastAsia="Arial" w:hAnsi="Arial" w:cs="Arial"/>
          <w:i/>
          <w:color w:val="000000"/>
          <w:sz w:val="20"/>
        </w:rPr>
        <w:t>United States v. Sokolow</w:t>
      </w:r>
      <w:r>
        <w:rPr>
          <w:rFonts w:ascii="Arial" w:eastAsia="Arial" w:hAnsi="Arial" w:cs="Arial"/>
          <w:color w:val="000000"/>
          <w:sz w:val="20"/>
        </w:rPr>
        <w:t xml:space="preserve">, 490 U.S. 1, 7, 109 S. Ct. 1581, 104 L. Ed. 2d 1 (1989) (quoting </w:t>
      </w:r>
      <w:bookmarkStart w:id="5696" w:name="Bookmark_I5R4G3YF2SF7Y20040000400"/>
      <w:bookmarkEnd w:id="5696"/>
      <w:r>
        <w:rPr>
          <w:rFonts w:ascii="Arial" w:eastAsia="Arial" w:hAnsi="Arial" w:cs="Arial"/>
          <w:i/>
          <w:color w:val="000000"/>
          <w:sz w:val="20"/>
        </w:rPr>
        <w:t>Terry v. Ohio</w:t>
      </w:r>
      <w:r>
        <w:rPr>
          <w:rFonts w:ascii="Arial" w:eastAsia="Arial" w:hAnsi="Arial" w:cs="Arial"/>
          <w:color w:val="000000"/>
          <w:sz w:val="20"/>
        </w:rPr>
        <w:t xml:space="preserve">, 392 U.S. 1, 30, 88 S. Ct. 1868, 20 L. Ed. 2d 889 (1968)). </w:t>
      </w:r>
      <w:bookmarkStart w:id="5697" w:name="Bookmark_I5R4G3YF2N1RG30010000400"/>
      <w:bookmarkStart w:id="5698" w:name="Bookmark_LNHNREFclscc15_6"/>
      <w:bookmarkEnd w:id="5697"/>
      <w:bookmarkEnd w:id="5698"/>
      <w:r>
        <w:rPr>
          <w:rFonts w:ascii="Arial" w:eastAsia="Arial" w:hAnsi="Arial" w:cs="Arial"/>
          <w:color w:val="000000"/>
          <w:sz w:val="20"/>
        </w:rPr>
        <w:t xml:space="preserve">This inquiry "look[s] at the 'totality of the circumstances' of each case to see whether the detaining officer has a 'particularized and objective basis' for suspecting legal wrongdoing." </w:t>
      </w:r>
      <w:bookmarkStart w:id="5699" w:name="Bookmark_I5R4G3YF2D6NFC0010000400"/>
      <w:bookmarkEnd w:id="5699"/>
      <w:r>
        <w:rPr>
          <w:rFonts w:ascii="Arial" w:eastAsia="Arial" w:hAnsi="Arial" w:cs="Arial"/>
          <w:i/>
          <w:color w:val="000000"/>
          <w:sz w:val="20"/>
        </w:rPr>
        <w:t>United States v. Arvizu</w:t>
      </w:r>
      <w:r>
        <w:rPr>
          <w:rFonts w:ascii="Arial" w:eastAsia="Arial" w:hAnsi="Arial" w:cs="Arial"/>
          <w:color w:val="000000"/>
          <w:sz w:val="20"/>
        </w:rPr>
        <w:t xml:space="preserve">, 534 U.S. 266, 273, 122 S. Ct. 744, 151 L. Ed. 2d 740 (2002) (quoting </w:t>
      </w:r>
      <w:bookmarkStart w:id="5700" w:name="Bookmark_I5R4G3YF2D6NFC0030000400"/>
      <w:bookmarkEnd w:id="5700"/>
      <w:r>
        <w:rPr>
          <w:rFonts w:ascii="Arial" w:eastAsia="Arial" w:hAnsi="Arial" w:cs="Arial"/>
          <w:i/>
          <w:color w:val="000000"/>
          <w:sz w:val="20"/>
        </w:rPr>
        <w:t>United States v. Cortez</w:t>
      </w:r>
      <w:r>
        <w:rPr>
          <w:rFonts w:ascii="Arial" w:eastAsia="Arial" w:hAnsi="Arial" w:cs="Arial"/>
          <w:color w:val="000000"/>
          <w:sz w:val="20"/>
        </w:rPr>
        <w:t xml:space="preserve">, 449 U.S. 411, 417-18, 101 S. Ct. 690, 66 L. Ed. 2d 621 (1981)). "Although an officer's reliance on a mere 'hunch' is insufficient to justify a stop, the likelihood of criminal [**16]  activity need not rise to the level required for probable cause, and it falls considerably short of satisfying a preponderance of the evidence standard." </w:t>
      </w:r>
      <w:r>
        <w:rPr>
          <w:rFonts w:ascii="Arial" w:eastAsia="Arial" w:hAnsi="Arial" w:cs="Arial"/>
          <w:i/>
          <w:color w:val="000000"/>
          <w:sz w:val="20"/>
        </w:rPr>
        <w:t>Id.</w:t>
      </w:r>
      <w:r>
        <w:rPr>
          <w:rFonts w:ascii="Arial" w:eastAsia="Arial" w:hAnsi="Arial" w:cs="Arial"/>
          <w:color w:val="000000"/>
          <w:sz w:val="20"/>
        </w:rPr>
        <w:t xml:space="preserve"> (citations omitted). </w:t>
      </w:r>
      <w:bookmarkStart w:id="5701" w:name="Bookmark_I5R4G3YF2N1RG30010000400_2"/>
      <w:bookmarkEnd w:id="5701"/>
      <w:r>
        <w:rPr>
          <w:rFonts w:ascii="Arial" w:eastAsia="Arial" w:hAnsi="Arial" w:cs="Arial"/>
          <w:color w:val="000000"/>
          <w:sz w:val="20"/>
        </w:rPr>
        <w:t xml:space="preserve">The only relevant information is the information that was available to the officers at the time. </w:t>
      </w:r>
      <w:bookmarkStart w:id="5702" w:name="Bookmark_I5R4G3YF2D6NFC0050000400"/>
      <w:bookmarkEnd w:id="5702"/>
      <w:r>
        <w:rPr>
          <w:rFonts w:ascii="Arial" w:eastAsia="Arial" w:hAnsi="Arial" w:cs="Arial"/>
          <w:i/>
          <w:color w:val="000000"/>
          <w:sz w:val="20"/>
        </w:rPr>
        <w:t>Carroll v. Ellington</w:t>
      </w:r>
      <w:r>
        <w:rPr>
          <w:rFonts w:ascii="Arial" w:eastAsia="Arial" w:hAnsi="Arial" w:cs="Arial"/>
          <w:color w:val="000000"/>
          <w:sz w:val="20"/>
        </w:rPr>
        <w:t>, 800 F.3d 154, 171 (5th Cir. 2015).</w:t>
      </w:r>
    </w:p>
    <w:p w:rsidR="00E456CD" w:rsidRDefault="00000000">
      <w:pPr>
        <w:pStyle w:val="Normal36"/>
        <w:widowControl w:val="0"/>
        <w:spacing w:before="200" w:line="260" w:lineRule="atLeast"/>
        <w:jc w:val="both"/>
      </w:pPr>
      <w:bookmarkStart w:id="5703" w:name="Bookmark_para_36_13"/>
      <w:bookmarkEnd w:id="5703"/>
      <w:r>
        <w:rPr>
          <w:rFonts w:ascii="Arial" w:eastAsia="Arial" w:hAnsi="Arial" w:cs="Arial"/>
          <w:color w:val="000000"/>
          <w:sz w:val="20"/>
        </w:rPr>
        <w:t xml:space="preserve">Pasket had reasonable suspicion to detain and investigate Windham for the crime of driving while impaired. </w:t>
      </w:r>
      <w:bookmarkStart w:id="5704" w:name="Bookmark_I5R4G3YF2N1RG30030000400"/>
      <w:bookmarkEnd w:id="5704"/>
      <w:r>
        <w:rPr>
          <w:rFonts w:ascii="Arial" w:eastAsia="Arial" w:hAnsi="Arial" w:cs="Arial"/>
          <w:i/>
          <w:color w:val="000000"/>
          <w:sz w:val="20"/>
        </w:rPr>
        <w:t>See</w:t>
      </w:r>
      <w:r>
        <w:rPr>
          <w:rFonts w:ascii="Arial" w:eastAsia="Arial" w:hAnsi="Arial" w:cs="Arial"/>
          <w:color w:val="000000"/>
          <w:sz w:val="20"/>
        </w:rPr>
        <w:t xml:space="preserve"> Tex. Penal Code § 49.04. From the seizure's outset, Pasket was aware that (1) Windham had rear-ended the car in front of him; (2) the other driver's passenger had informed both the 911 operator and Pasket that he believed Windham to be intoxicated; (3) the passenger had further reported that Windham fell asleep behind the wheel while waiting for the police; (4) Windham was taking prescription-strength painkillers; (5) Windham had not slept for twenty hours; (6) Windham's eyes appeared bloodshot; and (7) Windham appeared confused and did not know that he had struck a car. These undisputed facts, taken together, surpass the low threshold for reasonable suspicion. </w:t>
      </w:r>
      <w:r>
        <w:rPr>
          <w:rFonts w:ascii="Arial" w:eastAsia="Arial" w:hAnsi="Arial" w:cs="Arial"/>
          <w:i/>
          <w:color w:val="000000"/>
          <w:sz w:val="20"/>
        </w:rPr>
        <w:t xml:space="preserve">See, e.g., </w:t>
      </w:r>
      <w:bookmarkStart w:id="5705" w:name="Bookmark_I5R4G3YF2N1RG30020000400"/>
      <w:bookmarkEnd w:id="5705"/>
      <w:r>
        <w:rPr>
          <w:rFonts w:ascii="Arial" w:eastAsia="Arial" w:hAnsi="Arial" w:cs="Arial"/>
          <w:i/>
          <w:color w:val="000000"/>
          <w:sz w:val="20"/>
        </w:rPr>
        <w:t>Schmerber v. California</w:t>
      </w:r>
      <w:r>
        <w:rPr>
          <w:rFonts w:ascii="Arial" w:eastAsia="Arial" w:hAnsi="Arial" w:cs="Arial"/>
          <w:color w:val="000000"/>
          <w:sz w:val="20"/>
        </w:rPr>
        <w:t>, 384 U.S. 757, 769, 86 S. Ct. 1826, 16 L. Ed. 2d 908 (1966) (driver's involvement in an accident and bloodshot eyes contributed to proper finding of probable cause to arrest for driving under the influence).</w:t>
      </w:r>
    </w:p>
    <w:p w:rsidR="00E456CD" w:rsidRDefault="00000000">
      <w:pPr>
        <w:pStyle w:val="Normal36"/>
        <w:widowControl w:val="0"/>
        <w:spacing w:before="200" w:line="260" w:lineRule="atLeast"/>
        <w:jc w:val="both"/>
      </w:pPr>
      <w:bookmarkStart w:id="5706" w:name="Bookmark_para_37_12"/>
      <w:bookmarkEnd w:id="5706"/>
      <w:r>
        <w:rPr>
          <w:rFonts w:ascii="Arial" w:eastAsia="Arial" w:hAnsi="Arial" w:cs="Arial"/>
          <w:color w:val="000000"/>
          <w:sz w:val="20"/>
        </w:rPr>
        <w:t xml:space="preserve">Windham's [**17]  arguments do not persuade us otherwise. Although he contends that the witness was mistaken and that Windham in fact was neither sleeping nor impaired, this argument says nothing about whether Pasket </w:t>
      </w:r>
      <w:r>
        <w:rPr>
          <w:rFonts w:ascii="Arial" w:eastAsia="Arial" w:hAnsi="Arial" w:cs="Arial"/>
          <w:i/>
          <w:color w:val="000000"/>
          <w:sz w:val="20"/>
        </w:rPr>
        <w:t>reasonably believed</w:t>
      </w:r>
      <w:r>
        <w:rPr>
          <w:rFonts w:ascii="Arial" w:eastAsia="Arial" w:hAnsi="Arial" w:cs="Arial"/>
          <w:color w:val="000000"/>
          <w:sz w:val="20"/>
        </w:rPr>
        <w:t xml:space="preserve"> the witness. Similarly, although Windham's brief asserts that "Windham's eyes were not bloodshot," it cites no record evidence to support that claim. </w:t>
      </w:r>
      <w:r>
        <w:rPr>
          <w:rFonts w:ascii="Arial" w:eastAsia="Arial" w:hAnsi="Arial" w:cs="Arial"/>
          <w:i/>
          <w:color w:val="000000"/>
          <w:sz w:val="20"/>
        </w:rPr>
        <w:t>See</w:t>
      </w:r>
      <w:r>
        <w:rPr>
          <w:rFonts w:ascii="Arial" w:eastAsia="Arial" w:hAnsi="Arial" w:cs="Arial"/>
          <w:color w:val="000000"/>
          <w:sz w:val="20"/>
        </w:rPr>
        <w:t xml:space="preserve"> Fed. R. Civ. P. 56(c)(1) (requiring parties to support factual assertions with record citations). Finally, Windham has not argued that reasonable suspicion dissipated as the detention progressed. The district court correctly determined that the undisputed facts established reasonable suspicion.</w:t>
      </w:r>
    </w:p>
    <w:p w:rsidR="00E456CD" w:rsidRDefault="00000000">
      <w:pPr>
        <w:pStyle w:val="Normal36"/>
        <w:widowControl w:val="0"/>
        <w:spacing w:before="120" w:line="260" w:lineRule="atLeast"/>
      </w:pPr>
      <w:r>
        <w:rPr>
          <w:rFonts w:ascii="Arial" w:eastAsia="Arial" w:hAnsi="Arial" w:cs="Arial"/>
          <w:color w:val="000000"/>
          <w:sz w:val="20"/>
        </w:rPr>
        <w:t xml:space="preserve">(ii) </w:t>
      </w:r>
      <w:r>
        <w:rPr>
          <w:rFonts w:ascii="Arial" w:eastAsia="Arial" w:hAnsi="Arial" w:cs="Arial"/>
          <w:i/>
          <w:color w:val="000000"/>
          <w:sz w:val="20"/>
        </w:rPr>
        <w:t>De Facto Arrest</w:t>
      </w:r>
    </w:p>
    <w:p w:rsidR="00E456CD" w:rsidRDefault="00000000">
      <w:pPr>
        <w:pStyle w:val="Normal36"/>
        <w:widowControl w:val="0"/>
        <w:spacing w:before="200" w:line="260" w:lineRule="atLeast"/>
        <w:jc w:val="both"/>
      </w:pPr>
      <w:bookmarkStart w:id="5707" w:name="Bookmark_para_38_12"/>
      <w:bookmarkStart w:id="5708" w:name="Bookmark_I5R4G3YF2N1RG30050000400"/>
      <w:bookmarkStart w:id="5709" w:name="Bookmark_I5R4G3YF2D6NFD0020000400"/>
      <w:bookmarkEnd w:id="5707"/>
      <w:bookmarkEnd w:id="5708"/>
      <w:bookmarkEnd w:id="5709"/>
      <w:r>
        <w:rPr>
          <w:rFonts w:ascii="Arial" w:eastAsia="Arial" w:hAnsi="Arial" w:cs="Arial"/>
          <w:color w:val="000000"/>
          <w:sz w:val="20"/>
        </w:rPr>
        <w:t xml:space="preserve">The second question is whether the seizure exceeded the bounds of a traffic stop and became a de facto arrest. </w:t>
      </w:r>
      <w:r>
        <w:rPr>
          <w:rFonts w:ascii="Arial" w:eastAsia="Arial" w:hAnsi="Arial" w:cs="Arial"/>
          <w:i/>
          <w:color w:val="000000"/>
          <w:sz w:val="20"/>
        </w:rPr>
        <w:t xml:space="preserve">See </w:t>
      </w:r>
      <w:bookmarkStart w:id="5710" w:name="Bookmark_I5R4G3YF2N1RG30040000400"/>
      <w:bookmarkEnd w:id="5710"/>
      <w:r>
        <w:rPr>
          <w:rFonts w:ascii="Arial" w:eastAsia="Arial" w:hAnsi="Arial" w:cs="Arial"/>
          <w:i/>
          <w:color w:val="000000"/>
          <w:sz w:val="20"/>
        </w:rPr>
        <w:t>United States v. Shabazz</w:t>
      </w:r>
      <w:r>
        <w:rPr>
          <w:rFonts w:ascii="Arial" w:eastAsia="Arial" w:hAnsi="Arial" w:cs="Arial"/>
          <w:color w:val="000000"/>
          <w:sz w:val="20"/>
        </w:rPr>
        <w:t>, 993 F.2d 431, 437 (5th Cir. 1993) (</w:t>
      </w:r>
      <w:bookmarkStart w:id="5711" w:name="Bookmark_LNHNREFclscc16_6"/>
      <w:bookmarkEnd w:id="5711"/>
      <w:r>
        <w:rPr>
          <w:rFonts w:ascii="Arial" w:eastAsia="Arial" w:hAnsi="Arial" w:cs="Arial"/>
          <w:color w:val="000000"/>
          <w:sz w:val="20"/>
        </w:rPr>
        <w:t xml:space="preserve">"A prolonged investigative detention may be tantamount to a </w:t>
      </w:r>
      <w:r>
        <w:rPr>
          <w:rFonts w:ascii="Arial" w:eastAsia="Arial" w:hAnsi="Arial" w:cs="Arial"/>
          <w:i/>
          <w:color w:val="000000"/>
          <w:sz w:val="20"/>
        </w:rPr>
        <w:t>de facto</w:t>
      </w:r>
      <w:r>
        <w:rPr>
          <w:rFonts w:ascii="Arial" w:eastAsia="Arial" w:hAnsi="Arial" w:cs="Arial"/>
          <w:color w:val="000000"/>
          <w:sz w:val="20"/>
        </w:rPr>
        <w:t xml:space="preserve"> arrest, a more intrusive custodial state which must be based upon probable cause rather than mere reasonable suspicion."). "A seizure rises to the level of an arrest only if 'a reasonable person in the suspect's position would have understood the situation to constitute a restraint on freedom of movement of the degree which the law associates with [**18]  formal arrest.'" </w:t>
      </w:r>
      <w:bookmarkStart w:id="5712" w:name="Bookmark_I5R4G3YF2D6NFD0010000400"/>
      <w:bookmarkEnd w:id="5712"/>
      <w:r>
        <w:rPr>
          <w:rFonts w:ascii="Arial" w:eastAsia="Arial" w:hAnsi="Arial" w:cs="Arial"/>
          <w:i/>
          <w:color w:val="000000"/>
          <w:sz w:val="20"/>
        </w:rPr>
        <w:t>Carroll</w:t>
      </w:r>
      <w:r>
        <w:rPr>
          <w:rFonts w:ascii="Arial" w:eastAsia="Arial" w:hAnsi="Arial" w:cs="Arial"/>
          <w:color w:val="000000"/>
          <w:sz w:val="20"/>
        </w:rPr>
        <w:t xml:space="preserve">, 800 F.3d at 170 (quoting </w:t>
      </w:r>
      <w:bookmarkStart w:id="5713" w:name="Bookmark_I5R4G3YF2D6NFD0030000400"/>
      <w:bookmarkEnd w:id="5713"/>
      <w:r>
        <w:rPr>
          <w:rFonts w:ascii="Arial" w:eastAsia="Arial" w:hAnsi="Arial" w:cs="Arial"/>
          <w:i/>
          <w:color w:val="000000"/>
          <w:sz w:val="20"/>
        </w:rPr>
        <w:t>United States v. Corral-Franco</w:t>
      </w:r>
      <w:r>
        <w:rPr>
          <w:rFonts w:ascii="Arial" w:eastAsia="Arial" w:hAnsi="Arial" w:cs="Arial"/>
          <w:color w:val="000000"/>
          <w:sz w:val="20"/>
        </w:rPr>
        <w:t>, 848 F.2d 536, 540 (5th Cir. 1988)). Windham makes two arguments on this front, both of which we reject.</w:t>
      </w:r>
    </w:p>
    <w:p w:rsidR="00E456CD" w:rsidRDefault="00000000">
      <w:pPr>
        <w:pStyle w:val="Normal36"/>
        <w:widowControl w:val="0"/>
        <w:spacing w:before="200" w:line="260" w:lineRule="atLeast"/>
        <w:jc w:val="both"/>
      </w:pPr>
      <w:bookmarkStart w:id="5714" w:name="Bookmark_para_39_12"/>
      <w:bookmarkStart w:id="5715" w:name="Bookmark_I5R4G3YF2SF7Y30010000400"/>
      <w:bookmarkEnd w:id="5714"/>
      <w:bookmarkEnd w:id="5715"/>
      <w:r>
        <w:rPr>
          <w:rFonts w:ascii="Arial" w:eastAsia="Arial" w:hAnsi="Arial" w:cs="Arial"/>
          <w:color w:val="000000"/>
          <w:sz w:val="20"/>
        </w:rPr>
        <w:t xml:space="preserve">First, Windham asserts without citation that the traffic stop became an arrest because Pasket "confiscated . . . </w:t>
      </w:r>
      <w:bookmarkStart w:id="5716" w:name="Bookmark_I5R4G3YF2SF7Y30050000400"/>
      <w:bookmarkEnd w:id="5716"/>
      <w:r>
        <w:rPr>
          <w:rFonts w:ascii="Arial" w:eastAsia="Arial" w:hAnsi="Arial" w:cs="Arial"/>
          <w:color w:val="000000"/>
          <w:sz w:val="20"/>
        </w:rPr>
        <w:t xml:space="preserve">Windham's driver's license, making it impossible for [him] to drive away." </w:t>
      </w:r>
      <w:bookmarkStart w:id="5717" w:name="Bookmark_LNHNREFclscc17_5"/>
      <w:bookmarkEnd w:id="5717"/>
      <w:r>
        <w:rPr>
          <w:rFonts w:ascii="Arial" w:eastAsia="Arial" w:hAnsi="Arial" w:cs="Arial"/>
          <w:color w:val="000000"/>
          <w:sz w:val="20"/>
        </w:rPr>
        <w:t>To be  [*241]  sure, taking a detainee's driver's license suggests that some type of seizure has taken place.</w:t>
      </w:r>
      <w:r>
        <w:rPr>
          <w:rFonts w:ascii="Arial" w:eastAsia="Arial" w:hAnsi="Arial" w:cs="Arial"/>
          <w:vertAlign w:val="superscript"/>
        </w:rPr>
        <w:footnoteReference w:customMarkFollows="1" w:id="251"/>
        <w:t>15</w:t>
      </w:r>
      <w:r>
        <w:rPr>
          <w:rFonts w:ascii="Arial" w:eastAsia="Arial" w:hAnsi="Arial" w:cs="Arial"/>
          <w:color w:val="000000"/>
          <w:sz w:val="20"/>
        </w:rPr>
        <w:t xml:space="preserve"> But examining a detainee's driver's license is an "ordinary . . . incident to [a] traffic stop." </w:t>
      </w:r>
      <w:bookmarkStart w:id="5722" w:name="Bookmark_I5R4G3YF2D6NFD0050000400"/>
      <w:bookmarkEnd w:id="5722"/>
      <w:r>
        <w:rPr>
          <w:rFonts w:ascii="Arial" w:eastAsia="Arial" w:hAnsi="Arial" w:cs="Arial"/>
          <w:i/>
          <w:color w:val="000000"/>
          <w:sz w:val="20"/>
        </w:rPr>
        <w:t>Rodriguez v. United States</w:t>
      </w:r>
      <w:r>
        <w:rPr>
          <w:rFonts w:ascii="Arial" w:eastAsia="Arial" w:hAnsi="Arial" w:cs="Arial"/>
          <w:color w:val="000000"/>
          <w:sz w:val="20"/>
        </w:rPr>
        <w:t xml:space="preserve">, 135 S. Ct. 1609, 1615, 191 L. Ed. 2d 492 (2015) (alteration omitted) (quoting </w:t>
      </w:r>
      <w:bookmarkStart w:id="5723" w:name="Bookmark_I5R4G3YF2SF7Y30020000400"/>
      <w:bookmarkEnd w:id="5723"/>
      <w:r>
        <w:rPr>
          <w:rFonts w:ascii="Arial" w:eastAsia="Arial" w:hAnsi="Arial" w:cs="Arial"/>
          <w:i/>
          <w:color w:val="000000"/>
          <w:sz w:val="20"/>
        </w:rPr>
        <w:t>Illinois v. Caballes</w:t>
      </w:r>
      <w:r>
        <w:rPr>
          <w:rFonts w:ascii="Arial" w:eastAsia="Arial" w:hAnsi="Arial" w:cs="Arial"/>
          <w:color w:val="000000"/>
          <w:sz w:val="20"/>
        </w:rPr>
        <w:t xml:space="preserve">, 543 U.S. 405, 408, 125 S. Ct. 834, 160 L. Ed. 2d 842 (2005)). It does not indicate arrest. </w:t>
      </w:r>
      <w:bookmarkStart w:id="5724" w:name="Bookmark_I5R4G3YF2SF7Y30050000400_2"/>
      <w:bookmarkEnd w:id="5724"/>
      <w:r>
        <w:rPr>
          <w:rFonts w:ascii="Arial" w:eastAsia="Arial" w:hAnsi="Arial" w:cs="Arial"/>
          <w:i/>
          <w:color w:val="000000"/>
          <w:sz w:val="20"/>
        </w:rPr>
        <w:t xml:space="preserve">See, e.g., </w:t>
      </w:r>
      <w:bookmarkStart w:id="5725" w:name="Bookmark_I5R4G3YF2SF7Y30040000400"/>
      <w:bookmarkEnd w:id="5725"/>
      <w:r>
        <w:rPr>
          <w:rFonts w:ascii="Arial" w:eastAsia="Arial" w:hAnsi="Arial" w:cs="Arial"/>
          <w:i/>
          <w:color w:val="000000"/>
          <w:sz w:val="20"/>
        </w:rPr>
        <w:t>Shabazz</w:t>
      </w:r>
      <w:r>
        <w:rPr>
          <w:rFonts w:ascii="Arial" w:eastAsia="Arial" w:hAnsi="Arial" w:cs="Arial"/>
          <w:color w:val="000000"/>
          <w:sz w:val="20"/>
        </w:rPr>
        <w:t>, 993 F.2d at 437 ("[W]e have no doubt[] that in a valid traffic stop, an officer can request a driver's license . . . .").</w:t>
      </w:r>
    </w:p>
    <w:p w:rsidR="00E456CD" w:rsidRDefault="00000000">
      <w:pPr>
        <w:pStyle w:val="Normal36"/>
        <w:widowControl w:val="0"/>
        <w:spacing w:before="200" w:line="260" w:lineRule="atLeast"/>
        <w:jc w:val="both"/>
      </w:pPr>
      <w:bookmarkStart w:id="5726" w:name="Bookmark_para_40_11"/>
      <w:bookmarkStart w:id="5727" w:name="Bookmark_I5R4G3YF28T5020010000400"/>
      <w:bookmarkStart w:id="5728" w:name="Bookmark_I5R4G3YF28T5020030000400"/>
      <w:bookmarkEnd w:id="5726"/>
      <w:bookmarkEnd w:id="5727"/>
      <w:bookmarkEnd w:id="5728"/>
      <w:r>
        <w:rPr>
          <w:rFonts w:ascii="Arial" w:eastAsia="Arial" w:hAnsi="Arial" w:cs="Arial"/>
          <w:color w:val="000000"/>
          <w:sz w:val="20"/>
        </w:rPr>
        <w:t xml:space="preserve">Second, Windham argues that the length of the traffic stop—close to ninety minutes—transformed it into an arrest. </w:t>
      </w:r>
      <w:bookmarkStart w:id="5729" w:name="Bookmark_I5R4G3YF28T5020050000400"/>
      <w:bookmarkEnd w:id="5729"/>
      <w:r>
        <w:rPr>
          <w:rFonts w:ascii="Arial" w:eastAsia="Arial" w:hAnsi="Arial" w:cs="Arial"/>
          <w:color w:val="000000"/>
          <w:sz w:val="20"/>
        </w:rPr>
        <w:t xml:space="preserve">But </w:t>
      </w:r>
      <w:bookmarkStart w:id="5730" w:name="Bookmark_LNHNREFclscc18_5"/>
      <w:bookmarkEnd w:id="5730"/>
      <w:r>
        <w:rPr>
          <w:rFonts w:ascii="Arial" w:eastAsia="Arial" w:hAnsi="Arial" w:cs="Arial"/>
          <w:color w:val="000000"/>
          <w:sz w:val="20"/>
        </w:rPr>
        <w:t xml:space="preserve">"[t]here is . . . no constitutional stopwatch on traffic stops." </w:t>
      </w:r>
      <w:bookmarkStart w:id="5731" w:name="Bookmark_I5R4G3YF2HM6F50050000400"/>
      <w:bookmarkEnd w:id="5731"/>
      <w:r>
        <w:rPr>
          <w:rFonts w:ascii="Arial" w:eastAsia="Arial" w:hAnsi="Arial" w:cs="Arial"/>
          <w:i/>
          <w:color w:val="000000"/>
          <w:sz w:val="20"/>
        </w:rPr>
        <w:t>United States v. Brigham</w:t>
      </w:r>
      <w:r>
        <w:rPr>
          <w:rFonts w:ascii="Arial" w:eastAsia="Arial" w:hAnsi="Arial" w:cs="Arial"/>
          <w:color w:val="000000"/>
          <w:sz w:val="20"/>
        </w:rPr>
        <w:t xml:space="preserve">, 382 F.3d 500, 511 (5th Cir. 2004) (en banc). Instead, "[i]n assessing whether a detention is too long in duration to be justified as an investigative stop, we . . . examine whether the police diligently pursued a means of investigation that was likely to confirm or dispel their suspicions quickly, during which time it was necessary to detain the defendant." </w:t>
      </w:r>
      <w:bookmarkStart w:id="5732" w:name="Bookmark_I5R4G3YF28T5020020000400"/>
      <w:bookmarkEnd w:id="5732"/>
      <w:r>
        <w:rPr>
          <w:rFonts w:ascii="Arial" w:eastAsia="Arial" w:hAnsi="Arial" w:cs="Arial"/>
          <w:i/>
          <w:color w:val="000000"/>
          <w:sz w:val="20"/>
        </w:rPr>
        <w:t>United States v. Sharpe</w:t>
      </w:r>
      <w:r>
        <w:rPr>
          <w:rFonts w:ascii="Arial" w:eastAsia="Arial" w:hAnsi="Arial" w:cs="Arial"/>
          <w:color w:val="000000"/>
          <w:sz w:val="20"/>
        </w:rPr>
        <w:t xml:space="preserve">, 470 U.S. 675, 685-86, 105 S. Ct. 1568, 84 L. Ed. 2d 605 (1985). </w:t>
      </w:r>
      <w:bookmarkStart w:id="5733" w:name="Bookmark_I5R4G3YF28T5020050000400_2"/>
      <w:bookmarkEnd w:id="5733"/>
      <w:r>
        <w:rPr>
          <w:rFonts w:ascii="Arial" w:eastAsia="Arial" w:hAnsi="Arial" w:cs="Arial"/>
          <w:color w:val="000000"/>
          <w:sz w:val="20"/>
        </w:rPr>
        <w:t xml:space="preserve">The [**19]  key requirement is that the stop "last no longer than is necessary to effectuate [its] purpose." </w:t>
      </w:r>
      <w:bookmarkStart w:id="5734" w:name="Bookmark_I5R4G3YF28T5020040000400"/>
      <w:bookmarkEnd w:id="5734"/>
      <w:r>
        <w:rPr>
          <w:rFonts w:ascii="Arial" w:eastAsia="Arial" w:hAnsi="Arial" w:cs="Arial"/>
          <w:i/>
          <w:color w:val="000000"/>
          <w:sz w:val="20"/>
        </w:rPr>
        <w:t>Florida v. Royer</w:t>
      </w:r>
      <w:r>
        <w:rPr>
          <w:rFonts w:ascii="Arial" w:eastAsia="Arial" w:hAnsi="Arial" w:cs="Arial"/>
          <w:color w:val="000000"/>
          <w:sz w:val="20"/>
        </w:rPr>
        <w:t>, 460 U.S. 491, 500, 103 S. Ct. 1319, 75 L. Ed. 2d 229 (1983) (plurality opinion).</w:t>
      </w:r>
    </w:p>
    <w:p w:rsidR="00E456CD" w:rsidRDefault="00000000">
      <w:pPr>
        <w:pStyle w:val="Normal36"/>
        <w:widowControl w:val="0"/>
        <w:spacing w:before="200" w:line="260" w:lineRule="atLeast"/>
        <w:jc w:val="both"/>
      </w:pPr>
      <w:bookmarkStart w:id="5735" w:name="Bookmark_para_41_10"/>
      <w:bookmarkEnd w:id="5735"/>
      <w:r>
        <w:rPr>
          <w:rFonts w:ascii="Arial" w:eastAsia="Arial" w:hAnsi="Arial" w:cs="Arial"/>
          <w:color w:val="000000"/>
          <w:sz w:val="20"/>
        </w:rPr>
        <w:t>It is undisputed that Pasket determined that he needed the opinion of Dunn, a certified drug recognition expert, to assess the extent of Windham's impairment. It is likewise undisputed that Dunn arrived as quickly as he could, that he administered the tests expeditiously once he arrived, and that those tests were germane to the reasonable suspicion that justified the stop. The parties dispute only whether Pasket's belief was reasonable. According to Windham, because Pasket knew how to perform sobriety tests himself, "[i]t was not necessary to call another officer to obtain a second opinion."</w:t>
      </w:r>
    </w:p>
    <w:p w:rsidR="00E456CD" w:rsidRDefault="00000000">
      <w:pPr>
        <w:pStyle w:val="Normal36"/>
        <w:widowControl w:val="0"/>
        <w:spacing w:before="200" w:line="260" w:lineRule="atLeast"/>
        <w:jc w:val="both"/>
      </w:pPr>
      <w:bookmarkStart w:id="5736" w:name="Bookmark_para_42_9"/>
      <w:bookmarkEnd w:id="5736"/>
      <w:r>
        <w:rPr>
          <w:rFonts w:ascii="Arial" w:eastAsia="Arial" w:hAnsi="Arial" w:cs="Arial"/>
          <w:color w:val="000000"/>
          <w:sz w:val="20"/>
        </w:rPr>
        <w:t>But Windham offers no evidentiary basis for finding Pasket's determination unreasonable. His brief justifies his assertion with just a single piece of evidence: Windham's own declaration that "[a]ny well trained officer should be able to administer the sobriety test."</w:t>
      </w:r>
      <w:r>
        <w:rPr>
          <w:rFonts w:ascii="Arial" w:eastAsia="Arial" w:hAnsi="Arial" w:cs="Arial"/>
          <w:vertAlign w:val="superscript"/>
        </w:rPr>
        <w:footnoteReference w:customMarkFollows="1" w:id="252"/>
        <w:t>16</w:t>
      </w:r>
      <w:r>
        <w:rPr>
          <w:rFonts w:ascii="Arial" w:eastAsia="Arial" w:hAnsi="Arial" w:cs="Arial"/>
          <w:color w:val="000000"/>
          <w:sz w:val="20"/>
        </w:rPr>
        <w:t xml:space="preserve"> Suffice it to say, Windham's bare, lay opinion as to the scope of a reasonable police officer's abilities does not create a genuine factual dispute. </w:t>
      </w:r>
      <w:r>
        <w:rPr>
          <w:rFonts w:ascii="Arial" w:eastAsia="Arial" w:hAnsi="Arial" w:cs="Arial"/>
          <w:i/>
          <w:color w:val="000000"/>
          <w:sz w:val="20"/>
        </w:rPr>
        <w:t>See</w:t>
      </w:r>
      <w:r>
        <w:rPr>
          <w:rFonts w:ascii="Arial" w:eastAsia="Arial" w:hAnsi="Arial" w:cs="Arial"/>
          <w:color w:val="000000"/>
          <w:sz w:val="20"/>
        </w:rPr>
        <w:t xml:space="preserve"> Fed. R. Civ. P. 56(c)(4) (declarations used to oppose summary judgment motions "must be made on [**20]  personal knowledge, set out facts that would be admissible in evidence, and show that the affiant or declarant is competent to testify on the  [*242]  matters stated"); </w:t>
      </w:r>
      <w:r>
        <w:rPr>
          <w:rFonts w:ascii="Arial" w:eastAsia="Arial" w:hAnsi="Arial" w:cs="Arial"/>
          <w:i/>
          <w:color w:val="000000"/>
          <w:sz w:val="20"/>
        </w:rPr>
        <w:t>see also</w:t>
      </w:r>
      <w:r>
        <w:rPr>
          <w:rFonts w:ascii="Arial" w:eastAsia="Arial" w:hAnsi="Arial" w:cs="Arial"/>
          <w:color w:val="000000"/>
          <w:sz w:val="20"/>
        </w:rPr>
        <w:t xml:space="preserve"> Fed. R. Evid. 701 (lay opinion testimony must be "rationally based on the witness's perception" and "not based on . . . specialized knowledge"). Windham has not laid adequate foundation for this opinion, nor do we see how he conceivably could do so. His argument is therefore unavailing. We affirm the grant of summary on Windham's unjustified detention claim.</w:t>
      </w:r>
    </w:p>
    <w:p w:rsidR="00E456CD" w:rsidRDefault="00000000">
      <w:pPr>
        <w:pStyle w:val="Normal36"/>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Excessive Force</w:t>
      </w:r>
    </w:p>
    <w:p w:rsidR="00E456CD" w:rsidRDefault="00000000">
      <w:pPr>
        <w:pStyle w:val="Normal36"/>
        <w:widowControl w:val="0"/>
        <w:spacing w:before="200" w:line="260" w:lineRule="atLeast"/>
        <w:jc w:val="both"/>
      </w:pPr>
      <w:bookmarkStart w:id="5738" w:name="Bookmark_para_43_7"/>
      <w:bookmarkStart w:id="5739" w:name="Bookmark_I5R4G3YF2D6NFF0020000400"/>
      <w:bookmarkEnd w:id="5738"/>
      <w:bookmarkEnd w:id="5739"/>
      <w:r>
        <w:rPr>
          <w:rFonts w:ascii="Arial" w:eastAsia="Arial" w:hAnsi="Arial" w:cs="Arial"/>
          <w:color w:val="000000"/>
          <w:sz w:val="20"/>
        </w:rPr>
        <w:t xml:space="preserve">That the seizure was justified by reasonable suspicion, however, does not end our inquiry. </w:t>
      </w:r>
      <w:bookmarkStart w:id="5740" w:name="Bookmark_I5R4G3YF2D6NFF0040000400"/>
      <w:bookmarkStart w:id="5741" w:name="Bookmark_LNHNREFclscc19_3"/>
      <w:bookmarkEnd w:id="5740"/>
      <w:bookmarkEnd w:id="5741"/>
      <w:r>
        <w:rPr>
          <w:rFonts w:ascii="Arial" w:eastAsia="Arial" w:hAnsi="Arial" w:cs="Arial"/>
          <w:color w:val="000000"/>
          <w:sz w:val="20"/>
        </w:rPr>
        <w:t xml:space="preserve">The seizure must also have been conducted in a reasonable manner, without the use of excessive force. </w:t>
      </w:r>
      <w:bookmarkStart w:id="5742" w:name="Bookmark_I5R4G3YF2D6NFF0010000400"/>
      <w:bookmarkEnd w:id="5742"/>
      <w:r>
        <w:rPr>
          <w:rFonts w:ascii="Arial" w:eastAsia="Arial" w:hAnsi="Arial" w:cs="Arial"/>
          <w:i/>
          <w:color w:val="000000"/>
          <w:sz w:val="20"/>
        </w:rPr>
        <w:t>Graham</w:t>
      </w:r>
      <w:r>
        <w:rPr>
          <w:rFonts w:ascii="Arial" w:eastAsia="Arial" w:hAnsi="Arial" w:cs="Arial"/>
          <w:color w:val="000000"/>
          <w:sz w:val="20"/>
        </w:rPr>
        <w:t xml:space="preserve">, 490 U.S. at 395. </w:t>
      </w:r>
      <w:bookmarkStart w:id="5743" w:name="Bookmark_I5R4G3YF2D6NFF0040000400_2"/>
      <w:bookmarkEnd w:id="5743"/>
      <w:r>
        <w:rPr>
          <w:rFonts w:ascii="Arial" w:eastAsia="Arial" w:hAnsi="Arial" w:cs="Arial"/>
          <w:color w:val="000000"/>
          <w:sz w:val="20"/>
        </w:rPr>
        <w:t xml:space="preserve">To prevail on an excessive force claim, a plaintiff must show "(1) an injury that (2) resulted directly and only from the use of force that was excessive to the need and that (3) the force used was objectively unreasonable." </w:t>
      </w:r>
      <w:bookmarkStart w:id="5744" w:name="Bookmark_I5R4G3YF2D6NFF0030000400"/>
      <w:bookmarkEnd w:id="5744"/>
      <w:r>
        <w:rPr>
          <w:rFonts w:ascii="Arial" w:eastAsia="Arial" w:hAnsi="Arial" w:cs="Arial"/>
          <w:i/>
          <w:color w:val="000000"/>
          <w:sz w:val="20"/>
        </w:rPr>
        <w:t>Hamilton v. Kindred</w:t>
      </w:r>
      <w:r>
        <w:rPr>
          <w:rFonts w:ascii="Arial" w:eastAsia="Arial" w:hAnsi="Arial" w:cs="Arial"/>
          <w:color w:val="000000"/>
          <w:sz w:val="20"/>
        </w:rPr>
        <w:t>, 845 F.3d 659, 662 (5th Cir. 2017) (internal quotation mark omitted).</w:t>
      </w:r>
    </w:p>
    <w:p w:rsidR="00E456CD" w:rsidRDefault="00000000">
      <w:pPr>
        <w:pStyle w:val="Normal36"/>
        <w:widowControl w:val="0"/>
        <w:spacing w:before="200" w:line="260" w:lineRule="atLeast"/>
        <w:jc w:val="both"/>
      </w:pPr>
      <w:bookmarkStart w:id="5745" w:name="Bookmark_para_44_7"/>
      <w:bookmarkStart w:id="5746" w:name="Bookmark_I5R4G3YF28T5030010000400"/>
      <w:bookmarkStart w:id="5747" w:name="Bookmark_I5R4G3YF28T5030050000400"/>
      <w:bookmarkEnd w:id="5745"/>
      <w:bookmarkEnd w:id="5746"/>
      <w:bookmarkEnd w:id="5747"/>
      <w:r>
        <w:rPr>
          <w:rFonts w:ascii="Arial" w:eastAsia="Arial" w:hAnsi="Arial" w:cs="Arial"/>
          <w:color w:val="000000"/>
          <w:sz w:val="20"/>
        </w:rPr>
        <w:t xml:space="preserve">The district court erred in holding that Windham's preexisting neck condition prevented him from satisfying the second prong's causation requirement. </w:t>
      </w:r>
      <w:r>
        <w:rPr>
          <w:rFonts w:ascii="Arial" w:eastAsia="Arial" w:hAnsi="Arial" w:cs="Arial"/>
          <w:i/>
          <w:color w:val="000000"/>
          <w:sz w:val="20"/>
        </w:rPr>
        <w:t xml:space="preserve">See </w:t>
      </w:r>
      <w:bookmarkStart w:id="5748" w:name="Bookmark_I5R4G3YF2D6NFF0050000400"/>
      <w:bookmarkEnd w:id="5748"/>
      <w:r>
        <w:rPr>
          <w:rFonts w:ascii="Arial" w:eastAsia="Arial" w:hAnsi="Arial" w:cs="Arial"/>
          <w:i/>
          <w:color w:val="000000"/>
          <w:sz w:val="20"/>
        </w:rPr>
        <w:t>Windham</w:t>
      </w:r>
      <w:r>
        <w:rPr>
          <w:rFonts w:ascii="Arial" w:eastAsia="Arial" w:hAnsi="Arial" w:cs="Arial"/>
          <w:color w:val="000000"/>
          <w:sz w:val="20"/>
        </w:rPr>
        <w:t xml:space="preserve">, 2016 U.S. Dist. LEXIS 124435, 2016 WL 4939563, at *5 (citing </w:t>
      </w:r>
      <w:bookmarkStart w:id="5749" w:name="Bookmark_I5R4G3YF28T5030020000400"/>
      <w:bookmarkEnd w:id="5749"/>
      <w:r>
        <w:rPr>
          <w:rFonts w:ascii="Arial" w:eastAsia="Arial" w:hAnsi="Arial" w:cs="Arial"/>
          <w:i/>
          <w:color w:val="000000"/>
          <w:sz w:val="20"/>
        </w:rPr>
        <w:t>Wells v. Bonner</w:t>
      </w:r>
      <w:r>
        <w:rPr>
          <w:rFonts w:ascii="Arial" w:eastAsia="Arial" w:hAnsi="Arial" w:cs="Arial"/>
          <w:color w:val="000000"/>
          <w:sz w:val="20"/>
        </w:rPr>
        <w:t xml:space="preserve">, 45 F.3d 90, 96 (5th Cir. 1995)). </w:t>
      </w:r>
      <w:bookmarkStart w:id="5750" w:name="Bookmark_I5R4G3YF2N1RG40040000400"/>
      <w:bookmarkEnd w:id="5750"/>
      <w:r>
        <w:rPr>
          <w:rFonts w:ascii="Arial" w:eastAsia="Arial" w:hAnsi="Arial" w:cs="Arial"/>
          <w:color w:val="000000"/>
          <w:sz w:val="20"/>
        </w:rPr>
        <w:t xml:space="preserve">Our law is clear that the second prong does not "preclude[] [**21]  recovery for aggravation of preexisting injury caused by the use of excessive force." </w:t>
      </w:r>
      <w:bookmarkStart w:id="5751" w:name="Bookmark_I5R4G3YF28T5030040000400"/>
      <w:bookmarkEnd w:id="5751"/>
      <w:r>
        <w:rPr>
          <w:rFonts w:ascii="Arial" w:eastAsia="Arial" w:hAnsi="Arial" w:cs="Arial"/>
          <w:i/>
          <w:color w:val="000000"/>
          <w:sz w:val="20"/>
        </w:rPr>
        <w:t>Dunn v. Denk</w:t>
      </w:r>
      <w:r>
        <w:rPr>
          <w:rFonts w:ascii="Arial" w:eastAsia="Arial" w:hAnsi="Arial" w:cs="Arial"/>
          <w:color w:val="000000"/>
          <w:sz w:val="20"/>
        </w:rPr>
        <w:t xml:space="preserve">, 79 F.3d 401, 403 (5th Cir. 1996) (en banc); </w:t>
      </w:r>
      <w:r>
        <w:rPr>
          <w:rFonts w:ascii="Arial" w:eastAsia="Arial" w:hAnsi="Arial" w:cs="Arial"/>
          <w:i/>
          <w:color w:val="000000"/>
          <w:sz w:val="20"/>
        </w:rPr>
        <w:t xml:space="preserve">see also </w:t>
      </w:r>
      <w:bookmarkStart w:id="5752" w:name="Bookmark_I5R4G3YF2N1RG40010000400"/>
      <w:bookmarkEnd w:id="5752"/>
      <w:r>
        <w:rPr>
          <w:rFonts w:ascii="Arial" w:eastAsia="Arial" w:hAnsi="Arial" w:cs="Arial"/>
          <w:i/>
          <w:color w:val="000000"/>
          <w:sz w:val="20"/>
        </w:rPr>
        <w:t>Darden v. City of Fort Worth</w:t>
      </w:r>
      <w:r>
        <w:rPr>
          <w:rFonts w:ascii="Arial" w:eastAsia="Arial" w:hAnsi="Arial" w:cs="Arial"/>
          <w:color w:val="000000"/>
          <w:sz w:val="20"/>
        </w:rPr>
        <w:t xml:space="preserve">, 866 F.3d 698, 703 (5th Cir. 2017) (explaining that the second prong does not preclude recovery where a preexisting condition contributed to, but would not have independently caused, the injury). </w:t>
      </w:r>
      <w:bookmarkStart w:id="5753" w:name="Bookmark_I5R4G3YF2N1RG40040000400_2"/>
      <w:bookmarkEnd w:id="5753"/>
      <w:r>
        <w:rPr>
          <w:rFonts w:ascii="Arial" w:eastAsia="Arial" w:hAnsi="Arial" w:cs="Arial"/>
          <w:color w:val="000000"/>
          <w:sz w:val="20"/>
        </w:rPr>
        <w:t xml:space="preserve">To the extent </w:t>
      </w:r>
      <w:r>
        <w:rPr>
          <w:rFonts w:ascii="Arial" w:eastAsia="Arial" w:hAnsi="Arial" w:cs="Arial"/>
          <w:i/>
          <w:color w:val="000000"/>
          <w:sz w:val="20"/>
        </w:rPr>
        <w:t>Wells v. Bonner</w:t>
      </w:r>
      <w:r>
        <w:rPr>
          <w:rFonts w:ascii="Arial" w:eastAsia="Arial" w:hAnsi="Arial" w:cs="Arial"/>
          <w:color w:val="000000"/>
          <w:sz w:val="20"/>
        </w:rPr>
        <w:t xml:space="preserve"> might be read to say otherwise, our en banc court has rejected that understanding. </w:t>
      </w:r>
      <w:r>
        <w:rPr>
          <w:rFonts w:ascii="Arial" w:eastAsia="Arial" w:hAnsi="Arial" w:cs="Arial"/>
          <w:i/>
          <w:color w:val="000000"/>
          <w:sz w:val="20"/>
        </w:rPr>
        <w:t xml:space="preserve">See </w:t>
      </w:r>
      <w:bookmarkStart w:id="5754" w:name="Bookmark_I5R4G3YF2N1RG40030000400"/>
      <w:bookmarkEnd w:id="5754"/>
      <w:r>
        <w:rPr>
          <w:rFonts w:ascii="Arial" w:eastAsia="Arial" w:hAnsi="Arial" w:cs="Arial"/>
          <w:i/>
          <w:color w:val="000000"/>
          <w:sz w:val="20"/>
        </w:rPr>
        <w:t>Dunn</w:t>
      </w:r>
      <w:r>
        <w:rPr>
          <w:rFonts w:ascii="Arial" w:eastAsia="Arial" w:hAnsi="Arial" w:cs="Arial"/>
          <w:color w:val="000000"/>
          <w:sz w:val="20"/>
        </w:rPr>
        <w:t>, 79 F.3d at 403.</w:t>
      </w:r>
      <w:r>
        <w:rPr>
          <w:rFonts w:ascii="Arial" w:eastAsia="Arial" w:hAnsi="Arial" w:cs="Arial"/>
          <w:vertAlign w:val="superscript"/>
        </w:rPr>
        <w:footnoteReference w:customMarkFollows="1" w:id="253"/>
        <w:t>17</w:t>
      </w:r>
    </w:p>
    <w:p w:rsidR="00E456CD" w:rsidRDefault="00000000">
      <w:pPr>
        <w:pStyle w:val="Normal36"/>
        <w:widowControl w:val="0"/>
        <w:spacing w:before="200" w:line="260" w:lineRule="atLeast"/>
        <w:jc w:val="both"/>
      </w:pPr>
      <w:bookmarkStart w:id="5764" w:name="Bookmark_para_45_7"/>
      <w:bookmarkStart w:id="5765" w:name="Bookmark_I5R4G3YF2HM6F60030000400"/>
      <w:bookmarkStart w:id="5766" w:name="Bookmark_I5R4G3YF2HM6F60050000400"/>
      <w:bookmarkStart w:id="5767" w:name="Bookmark_I5R4G3YF2SF7Y50040000400"/>
      <w:bookmarkStart w:id="5768" w:name="Bookmark_I5R4G3YF2D6NFG0010000400"/>
      <w:bookmarkEnd w:id="5764"/>
      <w:bookmarkEnd w:id="5765"/>
      <w:bookmarkEnd w:id="5766"/>
      <w:bookmarkEnd w:id="5767"/>
      <w:bookmarkEnd w:id="5768"/>
      <w:r>
        <w:rPr>
          <w:rFonts w:ascii="Arial" w:eastAsia="Arial" w:hAnsi="Arial" w:cs="Arial"/>
          <w:color w:val="000000"/>
          <w:sz w:val="20"/>
        </w:rPr>
        <w:t xml:space="preserve">We nonetheless affirm on the basis of prong three. </w:t>
      </w:r>
      <w:bookmarkStart w:id="5769" w:name="Bookmark_I5R4G3YF2D6NFG0030000400"/>
      <w:bookmarkStart w:id="5770" w:name="Bookmark_LNHNREFclscc20_2"/>
      <w:bookmarkEnd w:id="5769"/>
      <w:bookmarkEnd w:id="5770"/>
      <w:r>
        <w:rPr>
          <w:rFonts w:ascii="Arial" w:eastAsia="Arial" w:hAnsi="Arial" w:cs="Arial"/>
          <w:color w:val="000000"/>
          <w:sz w:val="20"/>
        </w:rPr>
        <w:t xml:space="preserve">Whether a use of force is reasonable "must be judged from the perspective of a reasonable officer on the scene." </w:t>
      </w:r>
      <w:bookmarkStart w:id="5771" w:name="Bookmark_I5R4G3YF2HM6F60020000400"/>
      <w:bookmarkEnd w:id="5771"/>
      <w:r>
        <w:rPr>
          <w:rFonts w:ascii="Arial" w:eastAsia="Arial" w:hAnsi="Arial" w:cs="Arial"/>
          <w:i/>
          <w:color w:val="000000"/>
          <w:sz w:val="20"/>
        </w:rPr>
        <w:t>Graham</w:t>
      </w:r>
      <w:r>
        <w:rPr>
          <w:rFonts w:ascii="Arial" w:eastAsia="Arial" w:hAnsi="Arial" w:cs="Arial"/>
          <w:color w:val="000000"/>
          <w:sz w:val="20"/>
        </w:rPr>
        <w:t xml:space="preserve">, 490 U.S. at 396. It follows that "[w]hat would ordinarily be considered reasonable force does not become excessive force when the force aggravates (however severely) a pre-existing condition the extent of which w[ould have been] unknown to [a reasonable] officer at the time." </w:t>
      </w:r>
      <w:bookmarkStart w:id="5772" w:name="Bookmark_I5R4G3YF2HM6F60040000400"/>
      <w:bookmarkEnd w:id="5772"/>
      <w:r>
        <w:rPr>
          <w:rFonts w:ascii="Arial" w:eastAsia="Arial" w:hAnsi="Arial" w:cs="Arial"/>
          <w:i/>
          <w:color w:val="000000"/>
          <w:sz w:val="20"/>
        </w:rPr>
        <w:t>Rodriguez v. Farrell</w:t>
      </w:r>
      <w:r>
        <w:rPr>
          <w:rFonts w:ascii="Arial" w:eastAsia="Arial" w:hAnsi="Arial" w:cs="Arial"/>
          <w:color w:val="000000"/>
          <w:sz w:val="20"/>
        </w:rPr>
        <w:t xml:space="preserve">, 280 F.3d 1341, 1353 (11th Cir. 2002); </w:t>
      </w:r>
      <w:r>
        <w:rPr>
          <w:rFonts w:ascii="Arial" w:eastAsia="Arial" w:hAnsi="Arial" w:cs="Arial"/>
          <w:i/>
          <w:color w:val="000000"/>
          <w:sz w:val="20"/>
        </w:rPr>
        <w:t xml:space="preserve">accord </w:t>
      </w:r>
      <w:bookmarkStart w:id="5773" w:name="Bookmark_I5R4G3YF2SF7Y50010000400"/>
      <w:bookmarkEnd w:id="5773"/>
      <w:r>
        <w:rPr>
          <w:rFonts w:ascii="Arial" w:eastAsia="Arial" w:hAnsi="Arial" w:cs="Arial"/>
          <w:i/>
          <w:color w:val="000000"/>
          <w:sz w:val="20"/>
        </w:rPr>
        <w:t>Huntley v. City of Owasso</w:t>
      </w:r>
      <w:r>
        <w:rPr>
          <w:rFonts w:ascii="Arial" w:eastAsia="Arial" w:hAnsi="Arial" w:cs="Arial"/>
          <w:color w:val="000000"/>
          <w:sz w:val="20"/>
        </w:rPr>
        <w:t>, 497 F. App'x 826, 831 (10th Cir. 2012).</w:t>
      </w:r>
      <w:r>
        <w:rPr>
          <w:rFonts w:ascii="Arial" w:eastAsia="Arial" w:hAnsi="Arial" w:cs="Arial"/>
          <w:vertAlign w:val="superscript"/>
        </w:rPr>
        <w:footnoteReference w:customMarkFollows="1" w:id="254"/>
        <w:t>18</w:t>
      </w:r>
      <w:r>
        <w:rPr>
          <w:rFonts w:ascii="Arial" w:eastAsia="Arial" w:hAnsi="Arial" w:cs="Arial"/>
          <w:color w:val="000000"/>
          <w:sz w:val="20"/>
        </w:rPr>
        <w:t xml:space="preserve"> Here, there is no doubt that, but for Windham's neck condition, Dunn's administration of the gaze nystagmus test would have been a perfectly reasonable exercise of  [*243]  police authority. </w:t>
      </w:r>
      <w:bookmarkStart w:id="5777" w:name="Bookmark_I5R4G3YF2D6NFG0030000400_2"/>
      <w:bookmarkEnd w:id="5777"/>
      <w:r>
        <w:rPr>
          <w:rFonts w:ascii="Arial" w:eastAsia="Arial" w:hAnsi="Arial" w:cs="Arial"/>
          <w:color w:val="000000"/>
          <w:sz w:val="20"/>
        </w:rPr>
        <w:t>And we have already concluded that, based on the evidence Windham cites, no reasonable jury could find that the officers should have been on notice that his neck condition was such that [**22]  he would suffer injury if Dunn administered the test. This conclusion is fatal to Windham's excessive force claim, warranting the grant of summary judgment.</w:t>
      </w:r>
      <w:r>
        <w:rPr>
          <w:rFonts w:ascii="Arial" w:eastAsia="Arial" w:hAnsi="Arial" w:cs="Arial"/>
          <w:vertAlign w:val="superscript"/>
        </w:rPr>
        <w:footnoteReference w:customMarkFollows="1" w:id="255"/>
        <w:t>19</w:t>
      </w:r>
    </w:p>
    <w:p w:rsidR="00E456CD" w:rsidRDefault="00000000">
      <w:pPr>
        <w:pStyle w:val="Normal36"/>
        <w:widowControl w:val="0"/>
        <w:spacing w:before="120" w:line="260" w:lineRule="atLeast"/>
      </w:pPr>
      <w:r>
        <w:rPr>
          <w:rFonts w:ascii="Arial" w:eastAsia="Arial" w:hAnsi="Arial" w:cs="Arial"/>
          <w:color w:val="000000"/>
          <w:sz w:val="20"/>
        </w:rPr>
        <w:t xml:space="preserve">C. </w:t>
      </w:r>
      <w:r>
        <w:rPr>
          <w:rFonts w:ascii="Arial" w:eastAsia="Arial" w:hAnsi="Arial" w:cs="Arial"/>
          <w:i/>
          <w:color w:val="000000"/>
          <w:sz w:val="20"/>
          <w:u w:val="single"/>
        </w:rPr>
        <w:t>Monell</w:t>
      </w:r>
      <w:r>
        <w:rPr>
          <w:rFonts w:ascii="Arial" w:eastAsia="Arial" w:hAnsi="Arial" w:cs="Arial"/>
          <w:color w:val="000000"/>
          <w:sz w:val="20"/>
          <w:u w:val="single"/>
        </w:rPr>
        <w:t xml:space="preserve"> Liability</w:t>
      </w:r>
    </w:p>
    <w:p w:rsidR="00E456CD" w:rsidRDefault="00000000">
      <w:pPr>
        <w:pStyle w:val="Normal36"/>
        <w:widowControl w:val="0"/>
        <w:spacing w:before="200" w:line="260" w:lineRule="atLeast"/>
        <w:jc w:val="both"/>
      </w:pPr>
      <w:bookmarkStart w:id="5782" w:name="Bookmark_para_46_6"/>
      <w:bookmarkStart w:id="5783" w:name="Bookmark_I5R4G3YF28T5040040000400"/>
      <w:bookmarkEnd w:id="5782"/>
      <w:bookmarkEnd w:id="5783"/>
      <w:r>
        <w:rPr>
          <w:rFonts w:ascii="Arial" w:eastAsia="Arial" w:hAnsi="Arial" w:cs="Arial"/>
          <w:color w:val="000000"/>
          <w:sz w:val="20"/>
        </w:rPr>
        <w:t xml:space="preserve">Finally, in light of the above, there can be no liability for the County under </w:t>
      </w:r>
      <w:r>
        <w:rPr>
          <w:rFonts w:ascii="Arial" w:eastAsia="Arial" w:hAnsi="Arial" w:cs="Arial"/>
          <w:i/>
          <w:color w:val="000000"/>
          <w:sz w:val="20"/>
        </w:rPr>
        <w:t>Monell</w:t>
      </w:r>
      <w:r>
        <w:rPr>
          <w:rFonts w:ascii="Arial" w:eastAsia="Arial" w:hAnsi="Arial" w:cs="Arial"/>
          <w:color w:val="000000"/>
          <w:sz w:val="20"/>
        </w:rPr>
        <w:t xml:space="preserve">. "We have stated time and again that </w:t>
      </w:r>
      <w:bookmarkStart w:id="5784" w:name="Bookmark_LNHNREFclscc21_2"/>
      <w:bookmarkEnd w:id="5784"/>
      <w:r>
        <w:rPr>
          <w:rFonts w:ascii="Arial" w:eastAsia="Arial" w:hAnsi="Arial" w:cs="Arial"/>
          <w:color w:val="000000"/>
          <w:sz w:val="20"/>
        </w:rPr>
        <w:t xml:space="preserve">'[w]ithout an underlying constitutional violation, an essential element of municipal liability is missing.'" </w:t>
      </w:r>
      <w:bookmarkStart w:id="5785" w:name="Bookmark_I5R4G3YF28T5040030000400"/>
      <w:bookmarkEnd w:id="5785"/>
      <w:r>
        <w:rPr>
          <w:rFonts w:ascii="Arial" w:eastAsia="Arial" w:hAnsi="Arial" w:cs="Arial"/>
          <w:i/>
          <w:color w:val="000000"/>
          <w:sz w:val="20"/>
        </w:rPr>
        <w:t>Doe ex rel. Magee v. Covington Cty. Sch. Dist. ex rel. Keys</w:t>
      </w:r>
      <w:r>
        <w:rPr>
          <w:rFonts w:ascii="Arial" w:eastAsia="Arial" w:hAnsi="Arial" w:cs="Arial"/>
          <w:color w:val="000000"/>
          <w:sz w:val="20"/>
        </w:rPr>
        <w:t xml:space="preserve">, 675 F.3d 849, 866-67 (5th Cir. 2012) (en banc) (alteration in original) (quoting </w:t>
      </w:r>
      <w:bookmarkStart w:id="5786" w:name="Bookmark_I5R4G3YF28T5040050000400"/>
      <w:bookmarkEnd w:id="5786"/>
      <w:r>
        <w:rPr>
          <w:rFonts w:ascii="Arial" w:eastAsia="Arial" w:hAnsi="Arial" w:cs="Arial"/>
          <w:i/>
          <w:color w:val="000000"/>
          <w:sz w:val="20"/>
        </w:rPr>
        <w:t>Becerra v. Asher</w:t>
      </w:r>
      <w:r>
        <w:rPr>
          <w:rFonts w:ascii="Arial" w:eastAsia="Arial" w:hAnsi="Arial" w:cs="Arial"/>
          <w:color w:val="000000"/>
          <w:sz w:val="20"/>
        </w:rPr>
        <w:t xml:space="preserve">, 105 F.3d 1042, 1048 (5th Cir.1997)). Because Windham fails to demonstrate the existence of a constitutional violation, the County is entitled to judgment on his </w:t>
      </w:r>
      <w:r>
        <w:rPr>
          <w:rFonts w:ascii="Arial" w:eastAsia="Arial" w:hAnsi="Arial" w:cs="Arial"/>
          <w:i/>
          <w:color w:val="000000"/>
          <w:sz w:val="20"/>
        </w:rPr>
        <w:t>Monell</w:t>
      </w:r>
      <w:r>
        <w:rPr>
          <w:rFonts w:ascii="Arial" w:eastAsia="Arial" w:hAnsi="Arial" w:cs="Arial"/>
          <w:color w:val="000000"/>
          <w:sz w:val="20"/>
        </w:rPr>
        <w:t xml:space="preserve"> claim as a matter of law.</w:t>
      </w:r>
    </w:p>
    <w:p w:rsidR="00E456CD" w:rsidRDefault="00000000">
      <w:pPr>
        <w:pStyle w:val="Normal36"/>
        <w:widowControl w:val="0"/>
        <w:spacing w:before="200" w:line="260" w:lineRule="atLeast"/>
        <w:jc w:val="both"/>
      </w:pPr>
      <w:bookmarkStart w:id="5787" w:name="Bookmark_para_47_6"/>
      <w:bookmarkEnd w:id="5787"/>
      <w:r>
        <w:rPr>
          <w:rFonts w:ascii="Arial" w:eastAsia="Arial" w:hAnsi="Arial" w:cs="Arial"/>
          <w:color w:val="000000"/>
          <w:sz w:val="20"/>
        </w:rPr>
        <w:t>* * *</w:t>
      </w:r>
    </w:p>
    <w:p w:rsidR="00E456CD" w:rsidRDefault="00000000">
      <w:pPr>
        <w:pStyle w:val="Normal36"/>
        <w:widowControl w:val="0"/>
        <w:spacing w:before="200" w:line="260" w:lineRule="atLeast"/>
        <w:jc w:val="both"/>
      </w:pPr>
      <w:bookmarkStart w:id="5788" w:name="Bookmark_para_48_6"/>
      <w:bookmarkEnd w:id="5788"/>
      <w:r>
        <w:rPr>
          <w:rFonts w:ascii="Arial" w:eastAsia="Arial" w:hAnsi="Arial" w:cs="Arial"/>
          <w:color w:val="000000"/>
          <w:sz w:val="20"/>
        </w:rPr>
        <w:t>The district court's judgment is AFFIRMED.</w:t>
      </w:r>
    </w:p>
    <w:p w:rsidR="00E456CD" w:rsidRDefault="00E456CD">
      <w:pPr>
        <w:pStyle w:val="Normal36"/>
      </w:pPr>
    </w:p>
    <w:p w:rsidR="00E456CD" w:rsidRDefault="00000000">
      <w:pPr>
        <w:pStyle w:val="Normal36"/>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3708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816095179"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5E23E" id="Line 80"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7"/>
        <w:sectPr w:rsidR="00E456CD">
          <w:headerReference w:type="even" r:id="rId229"/>
          <w:headerReference w:type="default" r:id="rId230"/>
          <w:footerReference w:type="even" r:id="rId231"/>
          <w:footerReference w:type="default" r:id="rId232"/>
          <w:headerReference w:type="first" r:id="rId233"/>
          <w:footerReference w:type="first" r:id="rId234"/>
          <w:pgSz w:w="12240" w:h="15840"/>
          <w:pgMar w:top="840" w:right="1000" w:bottom="840" w:left="1000" w:header="400" w:footer="400" w:gutter="0"/>
          <w:cols w:space="720"/>
          <w:titlePg/>
        </w:sectPr>
      </w:pPr>
    </w:p>
    <w:p w:rsidR="00E456CD" w:rsidRDefault="00E456CD">
      <w:pPr>
        <w:pStyle w:val="Normal37"/>
      </w:pPr>
    </w:p>
    <w:p w:rsidR="00E456CD" w:rsidRDefault="00000000">
      <w:pPr>
        <w:pStyle w:val="Heading136"/>
        <w:keepNext w:val="0"/>
        <w:widowControl w:val="0"/>
        <w:spacing w:after="200" w:line="340" w:lineRule="atLeast"/>
        <w:jc w:val="center"/>
      </w:pPr>
      <w:r>
        <w:rPr>
          <w:rFonts w:eastAsia="Arial"/>
          <w:color w:val="000000"/>
          <w:sz w:val="28"/>
        </w:rPr>
        <w:t>Hindel v. Husted</w:t>
      </w:r>
    </w:p>
    <w:p w:rsidR="00E456CD" w:rsidRDefault="00000000">
      <w:pPr>
        <w:pStyle w:val="Normal37"/>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37"/>
        <w:widowControl w:val="0"/>
        <w:spacing w:before="120" w:line="260" w:lineRule="atLeast"/>
        <w:jc w:val="center"/>
      </w:pPr>
      <w:r>
        <w:rPr>
          <w:rFonts w:ascii="Arial" w:eastAsia="Arial" w:hAnsi="Arial" w:cs="Arial"/>
          <w:color w:val="000000"/>
          <w:sz w:val="20"/>
        </w:rPr>
        <w:t>October 12, 2017, Argued; November 13, 2017, Decided; November 13, 2017, Filed</w:t>
      </w:r>
    </w:p>
    <w:p w:rsidR="00E456CD" w:rsidRDefault="00000000">
      <w:pPr>
        <w:pStyle w:val="Normal37"/>
        <w:widowControl w:val="0"/>
        <w:spacing w:before="120" w:line="260" w:lineRule="atLeast"/>
        <w:jc w:val="center"/>
      </w:pPr>
      <w:r>
        <w:rPr>
          <w:rFonts w:ascii="Arial" w:eastAsia="Arial" w:hAnsi="Arial" w:cs="Arial"/>
          <w:color w:val="000000"/>
          <w:sz w:val="20"/>
        </w:rPr>
        <w:t>File Name: 17a0257p.06</w:t>
      </w:r>
    </w:p>
    <w:p w:rsidR="00E456CD" w:rsidRDefault="00000000">
      <w:pPr>
        <w:pStyle w:val="Normal37"/>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17-3207</w:t>
      </w:r>
    </w:p>
    <w:p w:rsidR="00E456CD" w:rsidRDefault="00E456CD">
      <w:pPr>
        <w:pStyle w:val="Normal37"/>
        <w:widowControl w:val="0"/>
        <w:spacing w:line="240" w:lineRule="atLeast"/>
        <w:jc w:val="both"/>
      </w:pPr>
      <w:bookmarkStart w:id="5789" w:name="Bookmark_38"/>
      <w:bookmarkEnd w:id="5789"/>
    </w:p>
    <w:p w:rsidR="00E456CD" w:rsidRDefault="00000000">
      <w:pPr>
        <w:pStyle w:val="Normal37"/>
        <w:widowControl w:val="0"/>
        <w:spacing w:before="200" w:line="240" w:lineRule="atLeast"/>
      </w:pPr>
      <w:bookmarkStart w:id="5790" w:name="Reporter_36"/>
      <w:bookmarkEnd w:id="5790"/>
      <w:r>
        <w:rPr>
          <w:rFonts w:ascii="Arial" w:eastAsia="Arial" w:hAnsi="Arial" w:cs="Arial"/>
          <w:b/>
          <w:color w:val="000000"/>
          <w:sz w:val="18"/>
        </w:rPr>
        <w:t>Reporter</w:t>
      </w:r>
    </w:p>
    <w:p w:rsidR="00E456CD" w:rsidRDefault="00000000">
      <w:pPr>
        <w:pStyle w:val="Normal37"/>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875 F.3d 344 *; 2017 U.S. App. LEXIS 22651 **; 2017 FED App. 0257P (6th Cir.) ***; 2017 WL 5244256</w:t>
      </w:r>
    </w:p>
    <w:p w:rsidR="00E456CD" w:rsidRDefault="00000000">
      <w:pPr>
        <w:pStyle w:val="Normal37"/>
        <w:widowControl w:val="0"/>
        <w:spacing w:before="120" w:line="260" w:lineRule="atLeast"/>
      </w:pPr>
      <w:r>
        <w:rPr>
          <w:rFonts w:ascii="Arial" w:eastAsia="Arial" w:hAnsi="Arial" w:cs="Arial"/>
          <w:color w:val="000000"/>
          <w:sz w:val="20"/>
        </w:rPr>
        <w:t>SHELBI HINDEL; BARBARA PIERCE; MARIANNE DENNING; THE NATIONAL FEDERATION OF THE BLIND, INC., Plaintiffs-Appellants, v. JON HUSTED, Ohio Secretary of State, Defendant-Appellee.</w:t>
      </w:r>
    </w:p>
    <w:p w:rsidR="00E456CD" w:rsidRDefault="00000000">
      <w:pPr>
        <w:pStyle w:val="Normal37"/>
        <w:widowControl w:val="0"/>
        <w:spacing w:before="240" w:line="260" w:lineRule="atLeast"/>
        <w:jc w:val="both"/>
      </w:pPr>
      <w:bookmarkStart w:id="5791" w:name="Prior_History_36"/>
      <w:bookmarkEnd w:id="5791"/>
      <w:r>
        <w:rPr>
          <w:rFonts w:ascii="Arial" w:eastAsia="Arial" w:hAnsi="Arial" w:cs="Arial"/>
          <w:b/>
          <w:color w:val="000000"/>
          <w:sz w:val="20"/>
        </w:rPr>
        <w:t>Prior History:</w:t>
      </w:r>
      <w:r>
        <w:rPr>
          <w:rFonts w:ascii="Arial" w:eastAsia="Arial" w:hAnsi="Arial" w:cs="Arial"/>
          <w:color w:val="000000"/>
          <w:sz w:val="20"/>
        </w:rPr>
        <w:t> </w:t>
      </w:r>
      <w:bookmarkStart w:id="5792" w:name="Bookmark_para_1_36"/>
      <w:bookmarkEnd w:id="5792"/>
      <w:r>
        <w:rPr>
          <w:rFonts w:ascii="Arial" w:eastAsia="Arial" w:hAnsi="Arial" w:cs="Arial"/>
          <w:color w:val="000000"/>
          <w:sz w:val="20"/>
        </w:rPr>
        <w:t> [**1] Appeal from the United States District Court for the Southern District of Ohio at Columbus. No. 2:15-cv-03061—George C. Smith, District Judge.</w:t>
      </w:r>
    </w:p>
    <w:p w:rsidR="00E456CD" w:rsidRDefault="00000000">
      <w:pPr>
        <w:pStyle w:val="Normal37"/>
        <w:widowControl w:val="0"/>
        <w:spacing w:before="120" w:line="260" w:lineRule="atLeast"/>
      </w:pPr>
      <w:r>
        <w:rPr>
          <w:rFonts w:ascii="Arial" w:eastAsia="Arial" w:hAnsi="Arial" w:cs="Arial"/>
          <w:color w:val="000000"/>
          <w:sz w:val="20"/>
        </w:rPr>
        <w:t>Hindel v. Husted, 2016 U.S. Dist. LEXIS 62442 (S.D. Ohio, May 11, 2016)</w:t>
      </w:r>
    </w:p>
    <w:p w:rsidR="00E456CD" w:rsidRDefault="00000000">
      <w:pPr>
        <w:pStyle w:val="Normal37"/>
        <w:widowControl w:val="0"/>
        <w:spacing w:before="240" w:line="260" w:lineRule="atLeast"/>
      </w:pPr>
      <w:bookmarkStart w:id="5793" w:name="Counsel_36"/>
      <w:bookmarkEnd w:id="5793"/>
      <w:r>
        <w:rPr>
          <w:rFonts w:ascii="Arial" w:eastAsia="Arial" w:hAnsi="Arial" w:cs="Arial"/>
          <w:b/>
          <w:color w:val="000000"/>
          <w:sz w:val="20"/>
        </w:rPr>
        <w:t>Counsel:</w:t>
      </w:r>
      <w:r>
        <w:rPr>
          <w:rFonts w:ascii="Arial" w:eastAsia="Arial" w:hAnsi="Arial" w:cs="Arial"/>
          <w:color w:val="000000"/>
          <w:sz w:val="20"/>
        </w:rPr>
        <w:t> ARGUED: Jessica P. Weber, BROWN, GOLDSTEIN &amp; LEVY, LLP, Baltimore, Maryland, for Appellants.</w:t>
      </w:r>
    </w:p>
    <w:p w:rsidR="00E456CD" w:rsidRDefault="00000000">
      <w:pPr>
        <w:pStyle w:val="Normal37"/>
        <w:widowControl w:val="0"/>
        <w:spacing w:before="120" w:line="260" w:lineRule="atLeast"/>
      </w:pPr>
      <w:r>
        <w:rPr>
          <w:rFonts w:ascii="Arial" w:eastAsia="Arial" w:hAnsi="Arial" w:cs="Arial"/>
          <w:color w:val="000000"/>
          <w:sz w:val="20"/>
        </w:rPr>
        <w:t>Nicole M. Koppitch, OFFICE OF THE OHIO ATTORNEY GENERAL, Columbus, Ohio, for Appellee.</w:t>
      </w:r>
    </w:p>
    <w:p w:rsidR="00E456CD" w:rsidRDefault="00000000">
      <w:pPr>
        <w:pStyle w:val="Normal37"/>
        <w:widowControl w:val="0"/>
        <w:spacing w:before="120" w:line="260" w:lineRule="atLeast"/>
      </w:pPr>
      <w:r>
        <w:rPr>
          <w:rFonts w:ascii="Arial" w:eastAsia="Arial" w:hAnsi="Arial" w:cs="Arial"/>
          <w:color w:val="000000"/>
          <w:sz w:val="20"/>
        </w:rPr>
        <w:t>ON BRIEF: Jessica P. Weber, Daniel F. Goldstein, BROWN, GOLDSTEIN &amp; LEVY, LLP, Baltimore, Maryland, Jason C. Boylan, Kristen Henry, DISABILITY RIGHTS OF OHIO, Columbus, Ohio, for Appellants.</w:t>
      </w:r>
    </w:p>
    <w:p w:rsidR="00E456CD" w:rsidRDefault="00000000">
      <w:pPr>
        <w:pStyle w:val="Normal37"/>
        <w:widowControl w:val="0"/>
        <w:spacing w:before="120" w:line="260" w:lineRule="atLeast"/>
      </w:pPr>
      <w:r>
        <w:rPr>
          <w:rFonts w:ascii="Arial" w:eastAsia="Arial" w:hAnsi="Arial" w:cs="Arial"/>
          <w:color w:val="000000"/>
          <w:sz w:val="20"/>
        </w:rPr>
        <w:t>Nicole M. Koppitch, OFFICE OF THE OHIO ATTORNEY GENERAL, Columbus, Ohio, for Appellee.</w:t>
      </w:r>
    </w:p>
    <w:p w:rsidR="00E456CD" w:rsidRDefault="00000000">
      <w:pPr>
        <w:pStyle w:val="Normal37"/>
        <w:widowControl w:val="0"/>
        <w:spacing w:before="120" w:line="260" w:lineRule="atLeast"/>
      </w:pPr>
      <w:r>
        <w:rPr>
          <w:rFonts w:ascii="Arial" w:eastAsia="Arial" w:hAnsi="Arial" w:cs="Arial"/>
          <w:color w:val="000000"/>
          <w:sz w:val="20"/>
        </w:rPr>
        <w:t>Claudia Center, AMERICAN CIVIL LIBERTIES UNION FOUNDATION, INC., San Francisco, California, Sophia Lin Lakin, AMERICAN CIVIL LIBERTIES UNION FOUNDATION, INC., New York, New York, Daniel R. Walfish, Andrea G. Hood, Benjamin J. Reed, Michael E. Mirdamadi, MILBANK, TWEED, HADLEY &amp; MCCLOY LLP, New York, New York, for Amici Curiae.</w:t>
      </w:r>
    </w:p>
    <w:p w:rsidR="00E456CD" w:rsidRDefault="00000000">
      <w:pPr>
        <w:pStyle w:val="Normal37"/>
        <w:widowControl w:val="0"/>
        <w:spacing w:before="240" w:line="260" w:lineRule="atLeast"/>
      </w:pPr>
      <w:bookmarkStart w:id="5794" w:name="Judges_36"/>
      <w:bookmarkEnd w:id="5794"/>
      <w:r>
        <w:rPr>
          <w:rFonts w:ascii="Arial" w:eastAsia="Arial" w:hAnsi="Arial" w:cs="Arial"/>
          <w:b/>
          <w:color w:val="000000"/>
          <w:sz w:val="20"/>
        </w:rPr>
        <w:t>Judges:</w:t>
      </w:r>
      <w:r>
        <w:rPr>
          <w:rFonts w:ascii="Arial" w:eastAsia="Arial" w:hAnsi="Arial" w:cs="Arial"/>
          <w:color w:val="000000"/>
          <w:sz w:val="20"/>
        </w:rPr>
        <w:t> Before: SUHRHEINRICH, GRIFFIN, and KETHLEDGE, Circuit Judges.</w:t>
      </w:r>
    </w:p>
    <w:p w:rsidR="00E456CD" w:rsidRDefault="00000000">
      <w:pPr>
        <w:pStyle w:val="Normal37"/>
        <w:widowControl w:val="0"/>
        <w:spacing w:before="240" w:line="260" w:lineRule="atLeast"/>
      </w:pPr>
      <w:bookmarkStart w:id="5795" w:name="Opinion_by_23"/>
      <w:bookmarkEnd w:id="5795"/>
      <w:r>
        <w:rPr>
          <w:rFonts w:ascii="Arial" w:eastAsia="Arial" w:hAnsi="Arial" w:cs="Arial"/>
          <w:b/>
          <w:color w:val="000000"/>
          <w:sz w:val="20"/>
        </w:rPr>
        <w:t>Opinion by:</w:t>
      </w:r>
      <w:r>
        <w:rPr>
          <w:rFonts w:ascii="Arial" w:eastAsia="Arial" w:hAnsi="Arial" w:cs="Arial"/>
          <w:color w:val="000000"/>
          <w:sz w:val="20"/>
        </w:rPr>
        <w:t> GRIFFIN</w:t>
      </w:r>
    </w:p>
    <w:p w:rsidR="00E456CD" w:rsidRDefault="00000000">
      <w:pPr>
        <w:pStyle w:val="Normal37"/>
        <w:keepNext/>
        <w:widowControl w:val="0"/>
        <w:spacing w:before="240" w:line="340" w:lineRule="atLeast"/>
      </w:pPr>
      <w:bookmarkStart w:id="5796" w:name="Opinion_36"/>
      <w:bookmarkEnd w:id="5796"/>
      <w:r>
        <w:rPr>
          <w:rFonts w:ascii="Arial" w:eastAsia="Arial" w:hAnsi="Arial" w:cs="Arial"/>
          <w:b/>
          <w:color w:val="000000"/>
          <w:sz w:val="28"/>
        </w:rPr>
        <w:t>Opinion</w:t>
      </w:r>
    </w:p>
    <w:p w:rsidR="00E456CD" w:rsidRDefault="00E22289">
      <w:pPr>
        <w:pStyle w:val="Normal37"/>
        <w:spacing w:line="60" w:lineRule="exact"/>
      </w:pPr>
      <w:r>
        <w:rPr>
          <w:noProof/>
        </w:rPr>
        <mc:AlternateContent>
          <mc:Choice Requires="wps">
            <w:drawing>
              <wp:anchor distT="0" distB="0" distL="114300" distR="114300" simplePos="0" relativeHeight="25173811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593129075"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00240" id="Line 81"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7"/>
      </w:pPr>
    </w:p>
    <w:p w:rsidR="00E456CD" w:rsidRDefault="00000000">
      <w:pPr>
        <w:pStyle w:val="Normal37"/>
        <w:widowControl w:val="0"/>
        <w:spacing w:before="200" w:line="260" w:lineRule="atLeast"/>
        <w:jc w:val="both"/>
      </w:pPr>
      <w:bookmarkStart w:id="5797" w:name="Bookmark_para_2_36"/>
      <w:bookmarkEnd w:id="5797"/>
      <w:r>
        <w:rPr>
          <w:rFonts w:ascii="Arial" w:eastAsia="Arial" w:hAnsi="Arial" w:cs="Arial"/>
          <w:color w:val="000000"/>
          <w:sz w:val="20"/>
        </w:rPr>
        <w:t> [*345]  [***2]   GRIFFIN, Circuit Judge.</w:t>
      </w:r>
    </w:p>
    <w:p w:rsidR="00E456CD" w:rsidRDefault="00000000">
      <w:pPr>
        <w:pStyle w:val="Normal37"/>
        <w:widowControl w:val="0"/>
        <w:spacing w:before="200" w:line="260" w:lineRule="atLeast"/>
        <w:jc w:val="both"/>
      </w:pPr>
      <w:bookmarkStart w:id="5798" w:name="Bookmark_para_3_36"/>
      <w:bookmarkEnd w:id="5798"/>
      <w:r>
        <w:rPr>
          <w:rFonts w:ascii="Arial" w:eastAsia="Arial" w:hAnsi="Arial" w:cs="Arial"/>
          <w:color w:val="000000"/>
          <w:sz w:val="20"/>
        </w:rPr>
        <w:t xml:space="preserve">The Americans with Disabilities Act (ADA), 42 U.S.C. § 12101, </w:t>
      </w:r>
      <w:r>
        <w:rPr>
          <w:rFonts w:ascii="Arial" w:eastAsia="Arial" w:hAnsi="Arial" w:cs="Arial"/>
          <w:i/>
          <w:color w:val="000000"/>
          <w:sz w:val="20"/>
        </w:rPr>
        <w:t>et seq.</w:t>
      </w:r>
      <w:r>
        <w:rPr>
          <w:rFonts w:ascii="Arial" w:eastAsia="Arial" w:hAnsi="Arial" w:cs="Arial"/>
          <w:color w:val="000000"/>
          <w:sz w:val="20"/>
        </w:rPr>
        <w:t>, provides important safeguards protecting the rights of the disabled. In this appeal, plaintiffs claim Ohio's paper-ballot absentee [**2]  voter system discriminates against the blind, in violation of Title II of the ADA. Under the Ohio scheme, blind voters must seek the aid of a sighted person in order to vote absentee, thus depriving them of the ability to vote anonymously. Plaintiffs propose that the State of Ohio provide blind voters with an online absentee ballot in lieu of a paper one, and adopt online ballot marking tools used in other states for blind voters. The district court granted judgment on the pleadings in favor of defendant Ohio Secretary of State, ruling that plaintiffs' proposed accommodation would fundamentally alter Ohio's voting program. Because the district court based its ruling on defendant's mere allegation of an affirmative defense without any evidentiary support, we reverse and remand for further proceedings consistent with this opinion.</w:t>
      </w:r>
    </w:p>
    <w:p w:rsidR="00E456CD" w:rsidRDefault="00000000">
      <w:pPr>
        <w:pStyle w:val="Normal37"/>
        <w:widowControl w:val="0"/>
        <w:spacing w:before="120" w:line="260" w:lineRule="atLeast"/>
      </w:pPr>
      <w:r>
        <w:rPr>
          <w:rFonts w:ascii="Arial" w:eastAsia="Arial" w:hAnsi="Arial" w:cs="Arial"/>
          <w:color w:val="000000"/>
          <w:sz w:val="20"/>
        </w:rPr>
        <w:t>I.</w:t>
      </w:r>
    </w:p>
    <w:p w:rsidR="00E456CD" w:rsidRDefault="00000000">
      <w:pPr>
        <w:pStyle w:val="Normal37"/>
        <w:widowControl w:val="0"/>
        <w:spacing w:before="200" w:line="260" w:lineRule="atLeast"/>
        <w:jc w:val="both"/>
      </w:pPr>
      <w:bookmarkStart w:id="5799" w:name="Bookmark_para_4_36"/>
      <w:bookmarkEnd w:id="5799"/>
      <w:r>
        <w:rPr>
          <w:rFonts w:ascii="Arial" w:eastAsia="Arial" w:hAnsi="Arial" w:cs="Arial"/>
          <w:color w:val="000000"/>
          <w:sz w:val="20"/>
        </w:rPr>
        <w:t>Plaintiffs allege Ohio's absentee voter system violates the ADA by failing to provide reasonable accommodations for the blind. A paper ballot is generally the only available means for an absentee voter to vote.</w:t>
      </w:r>
      <w:r>
        <w:rPr>
          <w:rFonts w:ascii="Arial" w:eastAsia="Arial" w:hAnsi="Arial" w:cs="Arial"/>
          <w:vertAlign w:val="superscript"/>
        </w:rPr>
        <w:footnoteReference w:customMarkFollows="1" w:id="256"/>
        <w:t>1</w:t>
      </w:r>
      <w:r>
        <w:rPr>
          <w:rFonts w:ascii="Arial" w:eastAsia="Arial" w:hAnsi="Arial" w:cs="Arial"/>
          <w:color w:val="000000"/>
          <w:sz w:val="20"/>
        </w:rPr>
        <w:t xml:space="preserve"> Because blind voters must seek assistance from sighted individuals to fill out their paper ballots, plaintiffs allege Ohio deprives them of their equal [**3]  opportunity to vote privately and independently.</w:t>
      </w:r>
    </w:p>
    <w:p w:rsidR="00E456CD" w:rsidRDefault="00000000">
      <w:pPr>
        <w:pStyle w:val="Normal37"/>
        <w:widowControl w:val="0"/>
        <w:spacing w:before="200" w:line="260" w:lineRule="atLeast"/>
        <w:jc w:val="both"/>
      </w:pPr>
      <w:bookmarkStart w:id="5801" w:name="Bookmark_para_5_36"/>
      <w:bookmarkEnd w:id="5801"/>
      <w:r>
        <w:rPr>
          <w:rFonts w:ascii="Arial" w:eastAsia="Arial" w:hAnsi="Arial" w:cs="Arial"/>
          <w:color w:val="000000"/>
          <w:sz w:val="20"/>
        </w:rPr>
        <w:t>Plaintiffs contend that the deprivation is not intractable. On the contrary, they claim that multiple auxiliary aids and services exist that could afford plaintiffs the ability to vote privately. For example, Maryland developed its own online ballot marking tool specifically designed to be  [***3]  compatible with screen readers that allows blind voters to vote without assistance from others. Maryland has offered to share its online ballot marking tool with other states free of charge. Oregon, Wisconsin, New Hampshire, and Alaska use substantially similar systems. On the basis of these allegations, plaintiffs' complaint raises one count alleging a violation of the ADA, requesting a permanent injunction prohibiting defendant from violating the  [*346]  ADA, and requiring a private and independent method of absentee voting for the blind.</w:t>
      </w:r>
      <w:r>
        <w:rPr>
          <w:rFonts w:ascii="Arial" w:eastAsia="Arial" w:hAnsi="Arial" w:cs="Arial"/>
          <w:vertAlign w:val="superscript"/>
        </w:rPr>
        <w:footnoteReference w:customMarkFollows="1" w:id="257"/>
        <w:t>2</w:t>
      </w:r>
    </w:p>
    <w:p w:rsidR="00E456CD" w:rsidRDefault="00000000">
      <w:pPr>
        <w:pStyle w:val="Normal37"/>
        <w:widowControl w:val="0"/>
        <w:spacing w:before="200" w:line="260" w:lineRule="atLeast"/>
        <w:jc w:val="both"/>
      </w:pPr>
      <w:bookmarkStart w:id="5803" w:name="Bookmark_para_6_36"/>
      <w:bookmarkEnd w:id="5803"/>
      <w:r>
        <w:rPr>
          <w:rFonts w:ascii="Arial" w:eastAsia="Arial" w:hAnsi="Arial" w:cs="Arial"/>
          <w:color w:val="000000"/>
          <w:sz w:val="20"/>
        </w:rPr>
        <w:t xml:space="preserve">Defendant raised the affirmative defense of "fundamental alteration" under the ADA in his answer and, concurrently, filed a Rule 12(c) motion for judgment on the pleadings based upon this defense. </w:t>
      </w:r>
      <w:r>
        <w:rPr>
          <w:rFonts w:ascii="Arial" w:eastAsia="Arial" w:hAnsi="Arial" w:cs="Arial"/>
          <w:i/>
          <w:color w:val="000000"/>
          <w:sz w:val="20"/>
        </w:rPr>
        <w:t>See</w:t>
      </w:r>
      <w:r>
        <w:rPr>
          <w:rFonts w:ascii="Arial" w:eastAsia="Arial" w:hAnsi="Arial" w:cs="Arial"/>
          <w:color w:val="000000"/>
          <w:sz w:val="20"/>
        </w:rPr>
        <w:t xml:space="preserve"> Fed. R. Civ. P. 12(c). He argued, contrary to plaintiffs' allegations, that he has not </w:t>
      </w:r>
      <w:r>
        <w:rPr>
          <w:rFonts w:ascii="Arial" w:eastAsia="Arial" w:hAnsi="Arial" w:cs="Arial"/>
          <w:i/>
          <w:color w:val="000000"/>
          <w:sz w:val="20"/>
        </w:rPr>
        <w:t>refused</w:t>
      </w:r>
      <w:r>
        <w:rPr>
          <w:rFonts w:ascii="Arial" w:eastAsia="Arial" w:hAnsi="Arial" w:cs="Arial"/>
          <w:color w:val="000000"/>
          <w:sz w:val="20"/>
        </w:rPr>
        <w:t xml:space="preserve"> to implement the absentee voting technology plaintiffs have [**4]  requested; instead, it would violate state law for defendant to do so in light of Ohio's certification requirements for voting equipment. According to defendant, plaintiffs' attempt to circumvent Ohio's election laws and force through untested and uncertified voting tools—which are neither appropriate nor necessary auxiliary aids under the ADA—would fundamentally alter Ohio election law.</w:t>
      </w:r>
    </w:p>
    <w:p w:rsidR="00E456CD" w:rsidRDefault="00000000">
      <w:pPr>
        <w:pStyle w:val="Normal37"/>
        <w:widowControl w:val="0"/>
        <w:spacing w:before="200" w:line="260" w:lineRule="atLeast"/>
        <w:jc w:val="both"/>
      </w:pPr>
      <w:bookmarkStart w:id="5804" w:name="Bookmark_para_7_35"/>
      <w:bookmarkStart w:id="5805" w:name="Bookmark_I5R4G3V52HM6500020000400"/>
      <w:bookmarkEnd w:id="5804"/>
      <w:bookmarkEnd w:id="5805"/>
      <w:r>
        <w:rPr>
          <w:rFonts w:ascii="Arial" w:eastAsia="Arial" w:hAnsi="Arial" w:cs="Arial"/>
          <w:color w:val="000000"/>
          <w:sz w:val="20"/>
        </w:rPr>
        <w:t xml:space="preserve">The district court granted defendant's motion for judgment on the pleadings. Relying in part on </w:t>
      </w:r>
      <w:bookmarkStart w:id="5806" w:name="Bookmark_I5R4G3V52HM6500010000400"/>
      <w:bookmarkEnd w:id="5806"/>
      <w:r>
        <w:rPr>
          <w:rFonts w:ascii="Arial" w:eastAsia="Arial" w:hAnsi="Arial" w:cs="Arial"/>
          <w:i/>
          <w:color w:val="000000"/>
          <w:sz w:val="20"/>
        </w:rPr>
        <w:t>National Federation of the Blind v. Lamone</w:t>
      </w:r>
      <w:r>
        <w:rPr>
          <w:rFonts w:ascii="Arial" w:eastAsia="Arial" w:hAnsi="Arial" w:cs="Arial"/>
          <w:color w:val="000000"/>
          <w:sz w:val="20"/>
        </w:rPr>
        <w:t xml:space="preserve">, 813 F.3d 494 (4th Cir. 2016), the district court held that plaintiffs had alleged a prima facie case of discrimination under the ADA. However, the court diverged from </w:t>
      </w:r>
      <w:r>
        <w:rPr>
          <w:rFonts w:ascii="Arial" w:eastAsia="Arial" w:hAnsi="Arial" w:cs="Arial"/>
          <w:i/>
          <w:color w:val="000000"/>
          <w:sz w:val="20"/>
        </w:rPr>
        <w:t>Lamone</w:t>
      </w:r>
      <w:r>
        <w:rPr>
          <w:rFonts w:ascii="Arial" w:eastAsia="Arial" w:hAnsi="Arial" w:cs="Arial"/>
          <w:color w:val="000000"/>
          <w:sz w:val="20"/>
        </w:rPr>
        <w:t>'s reasoning in ruling that the modifications, accommodations, or auxiliary aids proposed by plaintiffs did not meet the ADA's requirements that the proposals be reasonable and not fundamentally alter Ohio's voting laws.</w:t>
      </w:r>
    </w:p>
    <w:p w:rsidR="00E456CD" w:rsidRDefault="00000000">
      <w:pPr>
        <w:pStyle w:val="Normal37"/>
        <w:widowControl w:val="0"/>
        <w:spacing w:before="200" w:line="260" w:lineRule="atLeast"/>
        <w:jc w:val="both"/>
      </w:pPr>
      <w:bookmarkStart w:id="5807" w:name="Bookmark_para_8_35"/>
      <w:bookmarkEnd w:id="5807"/>
      <w:r>
        <w:rPr>
          <w:rFonts w:ascii="Arial" w:eastAsia="Arial" w:hAnsi="Arial" w:cs="Arial"/>
          <w:color w:val="000000"/>
          <w:sz w:val="20"/>
        </w:rPr>
        <w:t>The district judge noted that while the proposed ballot marking software met the regulatory definitions of "auxiliary aids and services," it would not afford plaintiffs and other blind voters with the complete voting independence they desired because third parties would still need to assist blind voters in completing and returning the ballot by mail. [**5]  Moreover, plaintiffs were asking the court to order the implementation of new software throughout the state before its  [***4]  compatibility with all of the different voting systems currently used in Ohio's 88 counties was established. Because plaintiffs' proposed accommodation would essentially waive Ohio's existing laws regarding pre-implementation review of election tools, the purpose of which are to protect the validity of elections in Ohio, the district court refused to impose the requested accommodation on the state. Therefore, the court granted judgment on the pleadings in favor of defendant.</w:t>
      </w:r>
    </w:p>
    <w:p w:rsidR="00E456CD" w:rsidRDefault="00000000">
      <w:pPr>
        <w:pStyle w:val="Normal37"/>
        <w:widowControl w:val="0"/>
        <w:spacing w:before="200" w:line="260" w:lineRule="atLeast"/>
        <w:jc w:val="both"/>
      </w:pPr>
      <w:bookmarkStart w:id="5808" w:name="Bookmark_para_9_35"/>
      <w:bookmarkEnd w:id="5808"/>
      <w:r>
        <w:rPr>
          <w:rFonts w:ascii="Arial" w:eastAsia="Arial" w:hAnsi="Arial" w:cs="Arial"/>
          <w:color w:val="000000"/>
          <w:sz w:val="20"/>
        </w:rPr>
        <w:t>Plaintiffs now appeal.</w:t>
      </w:r>
    </w:p>
    <w:p w:rsidR="00E456CD" w:rsidRDefault="00000000">
      <w:pPr>
        <w:pStyle w:val="Normal37"/>
        <w:widowControl w:val="0"/>
        <w:spacing w:before="120" w:line="260" w:lineRule="atLeast"/>
      </w:pPr>
      <w:r>
        <w:rPr>
          <w:rFonts w:ascii="Arial" w:eastAsia="Arial" w:hAnsi="Arial" w:cs="Arial"/>
          <w:color w:val="000000"/>
          <w:sz w:val="20"/>
        </w:rPr>
        <w:t>II.</w:t>
      </w:r>
    </w:p>
    <w:p w:rsidR="00E456CD" w:rsidRDefault="00000000">
      <w:pPr>
        <w:pStyle w:val="Normal37"/>
        <w:widowControl w:val="0"/>
        <w:spacing w:before="200" w:line="260" w:lineRule="atLeast"/>
        <w:jc w:val="both"/>
      </w:pPr>
      <w:bookmarkStart w:id="5809" w:name="Bookmark_para_10_34"/>
      <w:bookmarkStart w:id="5810" w:name="Bookmark_I5R4G3V52HM6500040000400"/>
      <w:bookmarkStart w:id="5811" w:name="Bookmark_I5R4G3V52D6N570010000400"/>
      <w:bookmarkEnd w:id="5809"/>
      <w:bookmarkEnd w:id="5810"/>
      <w:bookmarkEnd w:id="5811"/>
      <w:r>
        <w:rPr>
          <w:rFonts w:ascii="Arial" w:eastAsia="Arial" w:hAnsi="Arial" w:cs="Arial"/>
          <w:color w:val="000000"/>
          <w:sz w:val="20"/>
        </w:rPr>
        <w:t xml:space="preserve">"After the pleadings are closed—but early enough not to delay trial—a party may move for judgment on the pleadings." Fed. R. Civ. P. 12(c). </w:t>
      </w:r>
      <w:bookmarkStart w:id="5812" w:name="Bookmark_I5R4G3V52D6N570030000400"/>
      <w:bookmarkStart w:id="5813" w:name="Bookmark_LNHNREFclscc1_31"/>
      <w:bookmarkEnd w:id="5812"/>
      <w:bookmarkEnd w:id="5813"/>
      <w:r>
        <w:rPr>
          <w:rFonts w:ascii="Arial" w:eastAsia="Arial" w:hAnsi="Arial" w:cs="Arial"/>
          <w:color w:val="000000"/>
          <w:sz w:val="20"/>
        </w:rPr>
        <w:t xml:space="preserve">We review de novo an order dismissing an action under Rule 12(c) of the Federal Rules of Civil Procedure, </w:t>
      </w:r>
      <w:bookmarkStart w:id="5814" w:name="Bookmark_I5R4G3V52HM6500030000400"/>
      <w:bookmarkEnd w:id="5814"/>
      <w:r>
        <w:rPr>
          <w:rFonts w:ascii="Arial" w:eastAsia="Arial" w:hAnsi="Arial" w:cs="Arial"/>
          <w:i/>
          <w:color w:val="000000"/>
          <w:sz w:val="20"/>
        </w:rPr>
        <w:t>W.J. O'Neil Co. v. Shepley, Bulfinch, Richardson &amp; Abbott, Inc.</w:t>
      </w:r>
      <w:r>
        <w:rPr>
          <w:rFonts w:ascii="Arial" w:eastAsia="Arial" w:hAnsi="Arial" w:cs="Arial"/>
          <w:color w:val="000000"/>
          <w:sz w:val="20"/>
        </w:rPr>
        <w:t xml:space="preserve">, 765 F.3d 625, 629 (6th Cir. 2014), and apply the same review standard as for review of a Rule 12(b)(6) motion to dismiss. </w:t>
      </w:r>
      <w:bookmarkStart w:id="5815" w:name="Bookmark_I5R4G3V52SF7MX0020000400"/>
      <w:bookmarkStart w:id="5816" w:name="Bookmark_I5R4G3V52HM6500050000400"/>
      <w:bookmarkEnd w:id="5815"/>
      <w:bookmarkEnd w:id="5816"/>
      <w:r>
        <w:rPr>
          <w:rFonts w:ascii="Arial" w:eastAsia="Arial" w:hAnsi="Arial" w:cs="Arial"/>
          <w:i/>
          <w:color w:val="000000"/>
          <w:sz w:val="20"/>
        </w:rPr>
        <w:t>Barany-Snyder v. Weiner</w:t>
      </w:r>
      <w:r>
        <w:rPr>
          <w:rFonts w:ascii="Arial" w:eastAsia="Arial" w:hAnsi="Arial" w:cs="Arial"/>
          <w:color w:val="000000"/>
          <w:sz w:val="20"/>
        </w:rPr>
        <w:t xml:space="preserve">, 539 F.3d 327, 332 (6th Cir. 2008). </w:t>
      </w:r>
      <w:bookmarkStart w:id="5817" w:name="Bookmark_I5R4G3V52SF7MX0020000400_2"/>
      <w:bookmarkStart w:id="5818" w:name="Bookmark_I5R4G3V52D6N570030000400_2"/>
      <w:bookmarkEnd w:id="5817"/>
      <w:bookmarkEnd w:id="5818"/>
      <w:r>
        <w:rPr>
          <w:rFonts w:ascii="Arial" w:eastAsia="Arial" w:hAnsi="Arial" w:cs="Arial"/>
          <w:color w:val="000000"/>
          <w:sz w:val="20"/>
        </w:rPr>
        <w:t xml:space="preserve">"[A]ll well-pleaded material allegations of the pleadings of the opposing party must be taken as true, and the motion may be granted only if the moving party is nevertheless clearly entitled to judgment" as a matter of law. </w:t>
      </w:r>
      <w:bookmarkStart w:id="5819" w:name="Bookmark_I5R4G3V52D6N570020000400"/>
      <w:bookmarkEnd w:id="5819"/>
      <w:r>
        <w:rPr>
          <w:rFonts w:ascii="Arial" w:eastAsia="Arial" w:hAnsi="Arial" w:cs="Arial"/>
          <w:i/>
          <w:color w:val="000000"/>
          <w:sz w:val="20"/>
        </w:rPr>
        <w:t>JPMorgan Chase Bank, N.A. v. Winget</w:t>
      </w:r>
      <w:r>
        <w:rPr>
          <w:rFonts w:ascii="Arial" w:eastAsia="Arial" w:hAnsi="Arial" w:cs="Arial"/>
          <w:color w:val="000000"/>
          <w:sz w:val="20"/>
        </w:rPr>
        <w:t xml:space="preserve">, 510 F.3d 577, 581-82 (6th Cir. 2007) (quoting </w:t>
      </w:r>
      <w:bookmarkStart w:id="5820" w:name="Bookmark_I5R4G3V52D6N570040000400"/>
      <w:bookmarkEnd w:id="5820"/>
      <w:r>
        <w:rPr>
          <w:rFonts w:ascii="Arial" w:eastAsia="Arial" w:hAnsi="Arial" w:cs="Arial"/>
          <w:i/>
          <w:color w:val="000000"/>
          <w:sz w:val="20"/>
        </w:rPr>
        <w:t>S. Ohio Bank v. Merrill Lynch, Pierce, Fenner &amp; Smith, Inc.</w:t>
      </w:r>
      <w:r>
        <w:rPr>
          <w:rFonts w:ascii="Arial" w:eastAsia="Arial" w:hAnsi="Arial" w:cs="Arial"/>
          <w:color w:val="000000"/>
          <w:sz w:val="20"/>
        </w:rPr>
        <w:t xml:space="preserve">, 479 F.2d 478 (6th Cir. 1973)). To survive a Rule 12(c) motion, "a complaint must contain direct or inferential  [*347]  allegations respecting [**6]  all the material elements under some viable legal theory." </w:t>
      </w:r>
      <w:bookmarkStart w:id="5821" w:name="Bookmark_I5R4G3V52SF7MX0010000400"/>
      <w:bookmarkEnd w:id="5821"/>
      <w:r>
        <w:rPr>
          <w:rFonts w:ascii="Arial" w:eastAsia="Arial" w:hAnsi="Arial" w:cs="Arial"/>
          <w:i/>
          <w:color w:val="000000"/>
          <w:sz w:val="20"/>
        </w:rPr>
        <w:t>Commercial Money Ctr., Inc. v. Ill. Union Ins. Co.</w:t>
      </w:r>
      <w:r>
        <w:rPr>
          <w:rFonts w:ascii="Arial" w:eastAsia="Arial" w:hAnsi="Arial" w:cs="Arial"/>
          <w:color w:val="000000"/>
          <w:sz w:val="20"/>
        </w:rPr>
        <w:t xml:space="preserve">, 508 F.3d 327, 336 (6th Cir. 2007); </w:t>
      </w:r>
      <w:r>
        <w:rPr>
          <w:rFonts w:ascii="Arial" w:eastAsia="Arial" w:hAnsi="Arial" w:cs="Arial"/>
          <w:i/>
          <w:color w:val="000000"/>
          <w:sz w:val="20"/>
        </w:rPr>
        <w:t xml:space="preserve">see also </w:t>
      </w:r>
      <w:bookmarkStart w:id="5822" w:name="Bookmark_I5R4G3V52SF7MX0030000400"/>
      <w:bookmarkEnd w:id="5822"/>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("[A] complaint must contain sufficient factual matter, accepted as true, to 'state a claim to relief that is plausible on its face.' A claim has facial plausibility when the plaintiff pleads factual content that allows the court to draw the reasonable inference that the defendant is liable for the misconduct alleged." (citations omitted) (quoting </w:t>
      </w:r>
      <w:bookmarkStart w:id="5823" w:name="Bookmark_I5R4G3V52SF7MX0050000400"/>
      <w:bookmarkEnd w:id="5823"/>
      <w:r>
        <w:rPr>
          <w:rFonts w:ascii="Arial" w:eastAsia="Arial" w:hAnsi="Arial" w:cs="Arial"/>
          <w:i/>
          <w:color w:val="000000"/>
          <w:sz w:val="20"/>
        </w:rPr>
        <w:t>Bell Atl. Corp. v. Twombly</w:t>
      </w:r>
      <w:r>
        <w:rPr>
          <w:rFonts w:ascii="Arial" w:eastAsia="Arial" w:hAnsi="Arial" w:cs="Arial"/>
          <w:color w:val="000000"/>
          <w:sz w:val="20"/>
        </w:rPr>
        <w:t>, 550 U.S. 544, 556, 570, 127 S. Ct. 1955, 167 L. Ed. 2d 929 (2007))).</w:t>
      </w:r>
    </w:p>
    <w:p w:rsidR="00E456CD" w:rsidRDefault="00000000">
      <w:pPr>
        <w:pStyle w:val="Normal37"/>
        <w:widowControl w:val="0"/>
        <w:spacing w:before="240" w:line="260" w:lineRule="atLeast"/>
      </w:pPr>
      <w:r>
        <w:br/>
      </w:r>
      <w:r>
        <w:rPr>
          <w:rFonts w:ascii="Arial" w:eastAsia="Arial" w:hAnsi="Arial" w:cs="Arial"/>
          <w:color w:val="000000"/>
          <w:sz w:val="20"/>
        </w:rPr>
        <w:t> [***5]  III.</w:t>
      </w:r>
    </w:p>
    <w:p w:rsidR="00E456CD" w:rsidRDefault="00000000">
      <w:pPr>
        <w:pStyle w:val="Normal37"/>
        <w:widowControl w:val="0"/>
        <w:spacing w:before="120" w:line="260" w:lineRule="atLeast"/>
      </w:pPr>
      <w:r>
        <w:rPr>
          <w:rFonts w:ascii="Arial" w:eastAsia="Arial" w:hAnsi="Arial" w:cs="Arial"/>
          <w:color w:val="000000"/>
          <w:sz w:val="20"/>
        </w:rPr>
        <w:t>A.</w:t>
      </w:r>
    </w:p>
    <w:p w:rsidR="00E456CD" w:rsidRDefault="00000000">
      <w:pPr>
        <w:pStyle w:val="Normal37"/>
        <w:widowControl w:val="0"/>
        <w:spacing w:before="200" w:line="260" w:lineRule="atLeast"/>
        <w:jc w:val="both"/>
      </w:pPr>
      <w:bookmarkStart w:id="5824" w:name="Bookmark_para_11_33"/>
      <w:bookmarkEnd w:id="5824"/>
      <w:r>
        <w:rPr>
          <w:rFonts w:ascii="Arial" w:eastAsia="Arial" w:hAnsi="Arial" w:cs="Arial"/>
          <w:color w:val="000000"/>
          <w:sz w:val="20"/>
        </w:rPr>
        <w:t>Plaintiffs challenge the district court's decision both procedurally and on the merits. We focus on their procedural argument—the court erred in making a fact-specific determination on the basis of the pleadings alone that plaintiffs' proposed accommodation would fundamentally alter Ohio's voting system. Instead, they argue this determination should have been made only after discovery, expert testimony, an evidentiary hearing, or trial. We agree.</w:t>
      </w:r>
    </w:p>
    <w:p w:rsidR="00E456CD" w:rsidRDefault="00000000">
      <w:pPr>
        <w:pStyle w:val="Normal37"/>
        <w:widowControl w:val="0"/>
        <w:spacing w:before="200" w:line="260" w:lineRule="atLeast"/>
        <w:jc w:val="both"/>
      </w:pPr>
      <w:bookmarkStart w:id="5825" w:name="Bookmark_para_12_32"/>
      <w:bookmarkStart w:id="5826" w:name="Bookmark_I5R4G3V528T4NX0030000400"/>
      <w:bookmarkStart w:id="5827" w:name="Bookmark_I5R4G3V52HM6510040000400"/>
      <w:bookmarkStart w:id="5828" w:name="Bookmark_LNHNREFclscc2_31"/>
      <w:bookmarkEnd w:id="5825"/>
      <w:bookmarkEnd w:id="5826"/>
      <w:bookmarkEnd w:id="5827"/>
      <w:bookmarkEnd w:id="5828"/>
      <w:r>
        <w:rPr>
          <w:rFonts w:ascii="Arial" w:eastAsia="Arial" w:hAnsi="Arial" w:cs="Arial"/>
          <w:color w:val="000000"/>
          <w:sz w:val="20"/>
        </w:rPr>
        <w:t>"Fundamental alteration" is an affirmative defense under the ADA providing that governmental entities need not accommodate disabled individuals if doing so "would result in a fundamental alteration in the nature of a service, program, or activity or in undue financial and administrative burdens." 28 C.F.R. § 35.164.</w:t>
      </w:r>
      <w:r>
        <w:rPr>
          <w:rFonts w:ascii="Arial" w:eastAsia="Arial" w:hAnsi="Arial" w:cs="Arial"/>
          <w:vertAlign w:val="superscript"/>
        </w:rPr>
        <w:footnoteReference w:customMarkFollows="1" w:id="258"/>
        <w:t>3</w:t>
      </w:r>
      <w:r>
        <w:rPr>
          <w:rFonts w:ascii="Arial" w:eastAsia="Arial" w:hAnsi="Arial" w:cs="Arial"/>
          <w:color w:val="000000"/>
          <w:sz w:val="20"/>
        </w:rPr>
        <w:t xml:space="preserve"> Affirmative defenses [**7]  to ADA claims such as this are typically fact-based and not capable of resolution on the basis of the pleadings alone. </w:t>
      </w:r>
      <w:r>
        <w:rPr>
          <w:rFonts w:ascii="Arial" w:eastAsia="Arial" w:hAnsi="Arial" w:cs="Arial"/>
          <w:i/>
          <w:color w:val="000000"/>
          <w:sz w:val="20"/>
        </w:rPr>
        <w:t xml:space="preserve">See </w:t>
      </w:r>
      <w:bookmarkStart w:id="5833" w:name="Bookmark_I5R4G3V528T4NX0020000400"/>
      <w:bookmarkEnd w:id="5833"/>
      <w:r>
        <w:rPr>
          <w:rFonts w:ascii="Arial" w:eastAsia="Arial" w:hAnsi="Arial" w:cs="Arial"/>
          <w:i/>
          <w:color w:val="000000"/>
          <w:sz w:val="20"/>
        </w:rPr>
        <w:t>Mary Jo C. v. N.Y. State &amp; Local Ret. Sys.</w:t>
      </w:r>
      <w:r>
        <w:rPr>
          <w:rFonts w:ascii="Arial" w:eastAsia="Arial" w:hAnsi="Arial" w:cs="Arial"/>
          <w:color w:val="000000"/>
          <w:sz w:val="20"/>
        </w:rPr>
        <w:t xml:space="preserve">, 707 F.3d 144, 153 (2d Cir. 2013) ("It is a factual issue whether a plaintiff's proposed modifications amount to 'reasonable modifications' which should be implemented, or 'fundamental alterations,' which the state may reject." (alterations &amp; citations omitted)); </w:t>
      </w:r>
      <w:bookmarkStart w:id="5834" w:name="Bookmark_I5R4G3V528T4NX0040000400"/>
      <w:bookmarkEnd w:id="5834"/>
      <w:r>
        <w:rPr>
          <w:rFonts w:ascii="Arial" w:eastAsia="Arial" w:hAnsi="Arial" w:cs="Arial"/>
          <w:i/>
          <w:color w:val="000000"/>
          <w:sz w:val="20"/>
        </w:rPr>
        <w:t>Radaszewski ex rel. Radaszewski v. Maram</w:t>
      </w:r>
      <w:r>
        <w:rPr>
          <w:rFonts w:ascii="Arial" w:eastAsia="Arial" w:hAnsi="Arial" w:cs="Arial"/>
          <w:color w:val="000000"/>
          <w:sz w:val="20"/>
        </w:rPr>
        <w:t xml:space="preserve">, 383 F.3d 599, 609-14 (7th Cir. 2004) (discussing the difficulty in resolving the fundamental alteration question on the pleadings); </w:t>
      </w:r>
      <w:r>
        <w:rPr>
          <w:rFonts w:ascii="Arial" w:eastAsia="Arial" w:hAnsi="Arial" w:cs="Arial"/>
          <w:i/>
          <w:color w:val="000000"/>
          <w:sz w:val="20"/>
        </w:rPr>
        <w:t xml:space="preserve">cf. </w:t>
      </w:r>
      <w:bookmarkStart w:id="5835" w:name="Bookmark_I5R4G3V52HM6510010000400"/>
      <w:bookmarkEnd w:id="5835"/>
      <w:r>
        <w:rPr>
          <w:rFonts w:ascii="Arial" w:eastAsia="Arial" w:hAnsi="Arial" w:cs="Arial"/>
          <w:i/>
          <w:color w:val="000000"/>
          <w:sz w:val="20"/>
        </w:rPr>
        <w:t>Anderson v. City of Blue Ash</w:t>
      </w:r>
      <w:r>
        <w:rPr>
          <w:rFonts w:ascii="Arial" w:eastAsia="Arial" w:hAnsi="Arial" w:cs="Arial"/>
          <w:color w:val="000000"/>
          <w:sz w:val="20"/>
        </w:rPr>
        <w:t>, 798 F.3d 338, 356 (6th Cir. 2015) (describing the "'highly fact-specific' nature of the [ADA] reasonableness inquiry").</w:t>
      </w:r>
    </w:p>
    <w:p w:rsidR="00E456CD" w:rsidRDefault="00000000">
      <w:pPr>
        <w:pStyle w:val="Normal37"/>
        <w:widowControl w:val="0"/>
        <w:spacing w:before="200" w:line="260" w:lineRule="atLeast"/>
        <w:jc w:val="both"/>
      </w:pPr>
      <w:bookmarkStart w:id="5836" w:name="Bookmark_para_13_30"/>
      <w:bookmarkEnd w:id="5836"/>
      <w:r>
        <w:rPr>
          <w:rFonts w:ascii="Arial" w:eastAsia="Arial" w:hAnsi="Arial" w:cs="Arial"/>
          <w:color w:val="000000"/>
          <w:sz w:val="20"/>
        </w:rPr>
        <w:t>In the present case, the district court acknowledged as much:</w:t>
      </w:r>
    </w:p>
    <w:p w:rsidR="00E456CD" w:rsidRDefault="00000000">
      <w:pPr>
        <w:pStyle w:val="Normal37"/>
        <w:widowControl w:val="0"/>
        <w:spacing w:before="200" w:line="260" w:lineRule="atLeast"/>
        <w:ind w:left="400"/>
        <w:jc w:val="both"/>
      </w:pPr>
      <w:bookmarkStart w:id="5837" w:name="Bookmark_para_14_29"/>
      <w:bookmarkEnd w:id="5837"/>
      <w:r>
        <w:rPr>
          <w:rFonts w:ascii="Arial" w:eastAsia="Arial" w:hAnsi="Arial" w:cs="Arial"/>
          <w:color w:val="000000"/>
          <w:sz w:val="20"/>
        </w:rPr>
        <w:t xml:space="preserve">Although . . . the fundamental alteration analysis is normally a fact-intensive inquiry, Plaintiffs are asking this Court to judicially certify an election tool that has never been used in Ohio or even presented to the Ohio Board of Elections for review. Regardless of any factual findings the Court may make at a later hearing, there are no allegations before this Court like the factual findings in </w:t>
      </w:r>
      <w:r>
        <w:rPr>
          <w:rFonts w:ascii="Arial" w:eastAsia="Arial" w:hAnsi="Arial" w:cs="Arial"/>
          <w:i/>
          <w:color w:val="000000"/>
          <w:sz w:val="20"/>
        </w:rPr>
        <w:t>Lamone</w:t>
      </w:r>
      <w:r>
        <w:rPr>
          <w:rFonts w:ascii="Arial" w:eastAsia="Arial" w:hAnsi="Arial" w:cs="Arial"/>
          <w:color w:val="000000"/>
          <w:sz w:val="20"/>
        </w:rPr>
        <w:t>. Namely, neither of the suggested tools have been presented to the Board of  [***6]  Elections for certification, testing, or a vote, nor have the tools been used in an Ohio election before.</w:t>
      </w:r>
    </w:p>
    <w:p w:rsidR="00E456CD" w:rsidRDefault="00000000">
      <w:pPr>
        <w:pStyle w:val="Normal37"/>
        <w:widowControl w:val="0"/>
        <w:spacing w:before="200" w:line="260" w:lineRule="atLeast"/>
        <w:jc w:val="both"/>
      </w:pPr>
      <w:bookmarkStart w:id="5838" w:name="Bookmark_para_15_29"/>
      <w:bookmarkEnd w:id="5838"/>
      <w:r>
        <w:rPr>
          <w:rFonts w:ascii="Arial" w:eastAsia="Arial" w:hAnsi="Arial" w:cs="Arial"/>
          <w:color w:val="000000"/>
          <w:sz w:val="20"/>
        </w:rPr>
        <w:t xml:space="preserve">However, [**8]  the district court erred in merely accepting defendant's affirmative defense without requiring facts and evidence  [*348]  to support it. Throughout these proceedings, plaintiffs have alleged that Ohio discriminates against them on the basis of their visual impairments. Their proposed remedy is to require the state to provide online ballots and allow the use of online ballot marking tools, as have been used successfully by blind voters in other states. In response, defendant </w:t>
      </w:r>
      <w:r>
        <w:rPr>
          <w:rFonts w:ascii="Arial" w:eastAsia="Arial" w:hAnsi="Arial" w:cs="Arial"/>
          <w:i/>
          <w:color w:val="000000"/>
          <w:sz w:val="20"/>
        </w:rPr>
        <w:t>alleged</w:t>
      </w:r>
      <w:r>
        <w:rPr>
          <w:rFonts w:ascii="Arial" w:eastAsia="Arial" w:hAnsi="Arial" w:cs="Arial"/>
          <w:color w:val="000000"/>
          <w:sz w:val="20"/>
        </w:rPr>
        <w:t xml:space="preserve"> that adopting plaintiffs' proposed remedy would fundamentally alter Ohio's voting system. This is because all voting machines, and related materials, must be examined by a bipartisan "board of voting machine examiners," comprising "competent and experienced election officer[s]" or persons knowledgeable about the operation of voting equipment before they can be certified for use in an election. Ohio Rev. Code § 3506.05(B).</w:t>
      </w:r>
    </w:p>
    <w:p w:rsidR="00E456CD" w:rsidRDefault="00000000">
      <w:pPr>
        <w:pStyle w:val="Normal37"/>
        <w:widowControl w:val="0"/>
        <w:spacing w:before="200" w:line="260" w:lineRule="atLeast"/>
        <w:jc w:val="both"/>
      </w:pPr>
      <w:bookmarkStart w:id="5839" w:name="Bookmark_para_16_28"/>
      <w:bookmarkStart w:id="5840" w:name="Bookmark_I5R4G3V52D6N580030000400"/>
      <w:bookmarkEnd w:id="5839"/>
      <w:bookmarkEnd w:id="5840"/>
      <w:r>
        <w:rPr>
          <w:rFonts w:ascii="Arial" w:eastAsia="Arial" w:hAnsi="Arial" w:cs="Arial"/>
          <w:color w:val="000000"/>
          <w:sz w:val="20"/>
        </w:rPr>
        <w:t xml:space="preserve">But the ADA requires more. The Secretary of State's mere affirmative-defense allegation is insufficient to warrant judgment on the pleadings in his favor because "a public entity has the burden of </w:t>
      </w:r>
      <w:r>
        <w:rPr>
          <w:rFonts w:ascii="Arial" w:eastAsia="Arial" w:hAnsi="Arial" w:cs="Arial"/>
          <w:i/>
          <w:color w:val="000000"/>
          <w:sz w:val="20"/>
        </w:rPr>
        <w:t>proving</w:t>
      </w:r>
      <w:r>
        <w:rPr>
          <w:rFonts w:ascii="Arial" w:eastAsia="Arial" w:hAnsi="Arial" w:cs="Arial"/>
          <w:color w:val="000000"/>
          <w:sz w:val="20"/>
        </w:rPr>
        <w:t xml:space="preserve"> that compliance with this subpart would result in [a fundamental] alteration." 28 C.F.R. § 35.164 (emphasis added); </w:t>
      </w:r>
      <w:r>
        <w:rPr>
          <w:rFonts w:ascii="Arial" w:eastAsia="Arial" w:hAnsi="Arial" w:cs="Arial"/>
          <w:i/>
          <w:color w:val="000000"/>
          <w:sz w:val="20"/>
        </w:rPr>
        <w:t xml:space="preserve">cf. </w:t>
      </w:r>
      <w:bookmarkStart w:id="5841" w:name="Bookmark_I5R4G3V52D6N580020000400"/>
      <w:bookmarkEnd w:id="5841"/>
      <w:r>
        <w:rPr>
          <w:rFonts w:ascii="Arial" w:eastAsia="Arial" w:hAnsi="Arial" w:cs="Arial"/>
          <w:i/>
          <w:color w:val="000000"/>
          <w:sz w:val="20"/>
        </w:rPr>
        <w:t>Keith v. Cty. of Oakland</w:t>
      </w:r>
      <w:r>
        <w:rPr>
          <w:rFonts w:ascii="Arial" w:eastAsia="Arial" w:hAnsi="Arial" w:cs="Arial"/>
          <w:color w:val="000000"/>
          <w:sz w:val="20"/>
        </w:rPr>
        <w:t>, 703 F.3d 918, 923 (6th Cir. 2013) (noting, in a Title I case, [**9]  that the burden shifts to the defendant to prove its defense under the ADA).</w:t>
      </w:r>
    </w:p>
    <w:p w:rsidR="00E456CD" w:rsidRDefault="00000000">
      <w:pPr>
        <w:pStyle w:val="Normal37"/>
        <w:widowControl w:val="0"/>
        <w:spacing w:before="200" w:line="260" w:lineRule="atLeast"/>
        <w:jc w:val="both"/>
      </w:pPr>
      <w:bookmarkStart w:id="5842" w:name="Bookmark_para_17_27"/>
      <w:bookmarkStart w:id="5843" w:name="Bookmark_I5R4G3V52D6N580050000400"/>
      <w:bookmarkStart w:id="5844" w:name="Bookmark_I5R4G3V528T4NY0040000400"/>
      <w:bookmarkStart w:id="5845" w:name="Bookmark_LNHNREFclscc4_28"/>
      <w:bookmarkEnd w:id="5842"/>
      <w:bookmarkEnd w:id="5843"/>
      <w:bookmarkEnd w:id="5844"/>
      <w:bookmarkEnd w:id="5845"/>
      <w:r>
        <w:rPr>
          <w:rFonts w:ascii="Arial" w:eastAsia="Arial" w:hAnsi="Arial" w:cs="Arial"/>
          <w:color w:val="000000"/>
          <w:sz w:val="20"/>
        </w:rPr>
        <w:t xml:space="preserve">In cases such as this, where an ADA plaintiff is asking for the waiver of a generally applicable rule, the court's "focus should be on whether waiver of the rule in the particular case would be so at odds with the purposes behind the rule that it would be a fundamental and unreasonable change." </w:t>
      </w:r>
      <w:bookmarkStart w:id="5846" w:name="Bookmark_I5R4G3V52D6N580040000400"/>
      <w:bookmarkEnd w:id="5846"/>
      <w:r>
        <w:rPr>
          <w:rFonts w:ascii="Arial" w:eastAsia="Arial" w:hAnsi="Arial" w:cs="Arial"/>
          <w:i/>
          <w:color w:val="000000"/>
          <w:sz w:val="20"/>
        </w:rPr>
        <w:t>Jones v. City of Monroe</w:t>
      </w:r>
      <w:r>
        <w:rPr>
          <w:rFonts w:ascii="Arial" w:eastAsia="Arial" w:hAnsi="Arial" w:cs="Arial"/>
          <w:color w:val="000000"/>
          <w:sz w:val="20"/>
        </w:rPr>
        <w:t xml:space="preserve">, 341 F.3d 474, 480 (6th Cir. 2003) (internal quotation marks omitted), </w:t>
      </w:r>
      <w:r>
        <w:rPr>
          <w:rFonts w:ascii="Arial" w:eastAsia="Arial" w:hAnsi="Arial" w:cs="Arial"/>
          <w:i/>
          <w:color w:val="000000"/>
          <w:sz w:val="20"/>
        </w:rPr>
        <w:t xml:space="preserve">abrogated in part on other grounds by </w:t>
      </w:r>
      <w:bookmarkStart w:id="5847" w:name="Bookmark_I5R4G3V528T4NY0010000400"/>
      <w:bookmarkEnd w:id="5847"/>
      <w:r>
        <w:rPr>
          <w:rFonts w:ascii="Arial" w:eastAsia="Arial" w:hAnsi="Arial" w:cs="Arial"/>
          <w:i/>
          <w:color w:val="000000"/>
          <w:sz w:val="20"/>
        </w:rPr>
        <w:t>Lewis v. Humboldt Acquisition Corp.</w:t>
      </w:r>
      <w:r>
        <w:rPr>
          <w:rFonts w:ascii="Arial" w:eastAsia="Arial" w:hAnsi="Arial" w:cs="Arial"/>
          <w:color w:val="000000"/>
          <w:sz w:val="20"/>
        </w:rPr>
        <w:t xml:space="preserve">, 681 F.3d 312 (6th Cir. 2012) (en banc). </w:t>
      </w:r>
      <w:bookmarkStart w:id="5848" w:name="Bookmark_LNHNREFclscc5_27"/>
      <w:bookmarkEnd w:id="5848"/>
      <w:r>
        <w:rPr>
          <w:rFonts w:ascii="Arial" w:eastAsia="Arial" w:hAnsi="Arial" w:cs="Arial"/>
          <w:color w:val="000000"/>
          <w:sz w:val="20"/>
        </w:rPr>
        <w:t xml:space="preserve">The purpose of Ohio's certification system is evident from the statutory text. Ohio Rev. Code § 3506.10 explains that the purpose of the certification requirements is to ensure the voting device "will correctly, accurately, and continuously register and record every vote cast." And "Ohio's interests in preserving the integrity of its elections, protecting 'voters from confusion and undue influence,' and 'ensuring that an individual's right to vote is not undermined by fraud in the election process' are  [***7]  compelling." </w:t>
      </w:r>
      <w:bookmarkStart w:id="5849" w:name="Bookmark_I5R4G3V528T4NY0030000400"/>
      <w:bookmarkEnd w:id="5849"/>
      <w:r>
        <w:rPr>
          <w:rFonts w:ascii="Arial" w:eastAsia="Arial" w:hAnsi="Arial" w:cs="Arial"/>
          <w:i/>
          <w:color w:val="000000"/>
          <w:sz w:val="20"/>
        </w:rPr>
        <w:t>Susan B. Anthony List v. Driehaus</w:t>
      </w:r>
      <w:r>
        <w:rPr>
          <w:rFonts w:ascii="Arial" w:eastAsia="Arial" w:hAnsi="Arial" w:cs="Arial"/>
          <w:color w:val="000000"/>
          <w:sz w:val="20"/>
        </w:rPr>
        <w:t xml:space="preserve">, 814 F.3d 466, 473 (6th Cir. 2016) (quoting </w:t>
      </w:r>
      <w:bookmarkStart w:id="5850" w:name="Bookmark_I5R4G3V528T4NY0050000400"/>
      <w:bookmarkEnd w:id="5850"/>
      <w:r>
        <w:rPr>
          <w:rFonts w:ascii="Arial" w:eastAsia="Arial" w:hAnsi="Arial" w:cs="Arial"/>
          <w:i/>
          <w:color w:val="000000"/>
          <w:sz w:val="20"/>
        </w:rPr>
        <w:t>Burson v. Freeman</w:t>
      </w:r>
      <w:r>
        <w:rPr>
          <w:rFonts w:ascii="Arial" w:eastAsia="Arial" w:hAnsi="Arial" w:cs="Arial"/>
          <w:color w:val="000000"/>
          <w:sz w:val="20"/>
        </w:rPr>
        <w:t>, 504 U.S. 191, 199, 112 S. Ct. 1846, 119 L. Ed. 2d 5 (1992) (plurality opinion)).</w:t>
      </w:r>
    </w:p>
    <w:p w:rsidR="00E456CD" w:rsidRDefault="00000000">
      <w:pPr>
        <w:pStyle w:val="Normal37"/>
        <w:widowControl w:val="0"/>
        <w:spacing w:before="200" w:line="260" w:lineRule="atLeast"/>
        <w:jc w:val="both"/>
      </w:pPr>
      <w:bookmarkStart w:id="5851" w:name="Bookmark_para_18_26"/>
      <w:bookmarkEnd w:id="5851"/>
      <w:r>
        <w:rPr>
          <w:rFonts w:ascii="Arial" w:eastAsia="Arial" w:hAnsi="Arial" w:cs="Arial"/>
          <w:color w:val="000000"/>
          <w:sz w:val="20"/>
        </w:rPr>
        <w:t>But it is not enough for defendant to merely allege plaintiffs' proposed remedy undermines these interests. In order to prevail on his affirmative defense, defendant has the burden of production and persuasion to [**10]  prove that plaintiffs' proposed accommodation—the ballot marking tools and electronic ballots—would fundamentally alter Ohio's election system by not "correctly, accurately, and continuously register[ing] and record[ing] every vote cast." Ohio Rev. Code § 3506.10. Without proof that the proposed ADA accommodation is unreasonable or incompatible with Ohio's election system, defendant's affirmative defense based on an allegation, alone, is insufficient.</w:t>
      </w:r>
    </w:p>
    <w:p w:rsidR="00E456CD" w:rsidRDefault="00000000">
      <w:pPr>
        <w:pStyle w:val="Normal37"/>
        <w:widowControl w:val="0"/>
        <w:spacing w:before="200" w:line="260" w:lineRule="atLeast"/>
        <w:jc w:val="both"/>
      </w:pPr>
      <w:bookmarkStart w:id="5852" w:name="Bookmark_para_19_25"/>
      <w:bookmarkStart w:id="5853" w:name="Bookmark_I0MRK8BD28P000M3DRX004N4"/>
      <w:bookmarkStart w:id="5854" w:name="Bookmark_I5R4G3V52N1R5Y0030000400"/>
      <w:bookmarkStart w:id="5855" w:name="Bookmark_I5R4G3V52N1R5Y0050000400"/>
      <w:bookmarkEnd w:id="5852"/>
      <w:bookmarkEnd w:id="5853"/>
      <w:bookmarkEnd w:id="5854"/>
      <w:bookmarkEnd w:id="5855"/>
      <w:r>
        <w:rPr>
          <w:rFonts w:ascii="Arial" w:eastAsia="Arial" w:hAnsi="Arial" w:cs="Arial"/>
          <w:color w:val="000000"/>
          <w:sz w:val="20"/>
        </w:rPr>
        <w:t xml:space="preserve">Here, defendant's arguments fall into the logical fallacy dismissed by the Fourth Circuit in </w:t>
      </w:r>
      <w:bookmarkStart w:id="5856" w:name="Bookmark_I5R4G3V52N1R5Y0020000400"/>
      <w:bookmarkEnd w:id="5856"/>
      <w:r>
        <w:rPr>
          <w:rFonts w:ascii="Arial" w:eastAsia="Arial" w:hAnsi="Arial" w:cs="Arial"/>
          <w:i/>
          <w:color w:val="000000"/>
          <w:sz w:val="20"/>
        </w:rPr>
        <w:t>Lamone</w:t>
      </w:r>
      <w:r>
        <w:rPr>
          <w:rFonts w:ascii="Arial" w:eastAsia="Arial" w:hAnsi="Arial" w:cs="Arial"/>
          <w:color w:val="000000"/>
          <w:sz w:val="20"/>
        </w:rPr>
        <w:t xml:space="preserve">: "defendant[] [is] merging [the] </w:t>
      </w:r>
      <w:r>
        <w:rPr>
          <w:rFonts w:ascii="Arial" w:eastAsia="Arial" w:hAnsi="Arial" w:cs="Arial"/>
          <w:i/>
          <w:color w:val="000000"/>
          <w:sz w:val="20"/>
        </w:rPr>
        <w:t>procedural</w:t>
      </w:r>
      <w:r>
        <w:rPr>
          <w:rFonts w:ascii="Arial" w:eastAsia="Arial" w:hAnsi="Arial" w:cs="Arial"/>
          <w:color w:val="000000"/>
          <w:sz w:val="20"/>
        </w:rPr>
        <w:t xml:space="preserve"> certification requirement with substantive concerns about whether the tool should be certified. </w:t>
      </w:r>
      <w:bookmarkStart w:id="5857" w:name="Bookmark_LNHNREFclscc6_24"/>
      <w:bookmarkEnd w:id="5857"/>
      <w:r>
        <w:rPr>
          <w:rFonts w:ascii="Arial" w:eastAsia="Arial" w:hAnsi="Arial" w:cs="Arial"/>
          <w:color w:val="000000"/>
          <w:sz w:val="20"/>
        </w:rPr>
        <w:t xml:space="preserve">The mere fact that a procedural requirement has not been met does not necessarily mean that the underlying substantive purpose of that requirement has not been met. The underlying question is fact-specific." </w:t>
      </w:r>
      <w:bookmarkStart w:id="5858" w:name="Bookmark_I5R4G3V52N1R5Y0040000400"/>
      <w:bookmarkEnd w:id="5858"/>
      <w:r>
        <w:rPr>
          <w:rFonts w:ascii="Arial" w:eastAsia="Arial" w:hAnsi="Arial" w:cs="Arial"/>
          <w:color w:val="000000"/>
          <w:sz w:val="20"/>
        </w:rPr>
        <w:t>813 F.3d at 509. The district court erred in accepting defendant's allegation that the remedy would fundamentally alter Ohio's  [*349]  voting system simply because it had not passed the certification process—only if the substantive interests undergirding the certification rules cannot be met by the ballot marking tools and electronic ballots, as shown by evidence presented [**11]  by the parties, can the district court properly make a determination on defendant's affirmative defense.</w:t>
      </w:r>
    </w:p>
    <w:p w:rsidR="00E456CD" w:rsidRDefault="00000000">
      <w:pPr>
        <w:pStyle w:val="Normal37"/>
        <w:widowControl w:val="0"/>
        <w:spacing w:before="200" w:line="260" w:lineRule="atLeast"/>
        <w:jc w:val="both"/>
      </w:pPr>
      <w:bookmarkStart w:id="5859" w:name="Bookmark_para_20_24"/>
      <w:bookmarkStart w:id="5860" w:name="Bookmark_I5R4G3V52N1R600020000400"/>
      <w:bookmarkStart w:id="5861" w:name="Bookmark_I5R4G3V52N1R600040000400"/>
      <w:bookmarkEnd w:id="5859"/>
      <w:bookmarkEnd w:id="5860"/>
      <w:bookmarkEnd w:id="5861"/>
      <w:r>
        <w:rPr>
          <w:rFonts w:ascii="Arial" w:eastAsia="Arial" w:hAnsi="Arial" w:cs="Arial"/>
          <w:color w:val="000000"/>
          <w:sz w:val="20"/>
        </w:rPr>
        <w:t xml:space="preserve">Moreover, </w:t>
      </w:r>
      <w:bookmarkStart w:id="5862" w:name="Bookmark_LNHNREFclscc7_24"/>
      <w:bookmarkEnd w:id="5862"/>
      <w:r>
        <w:rPr>
          <w:rFonts w:ascii="Arial" w:eastAsia="Arial" w:hAnsi="Arial" w:cs="Arial"/>
          <w:color w:val="000000"/>
          <w:sz w:val="20"/>
        </w:rPr>
        <w:t xml:space="preserve">a state procedural requirement may not excuse a substantive ADA violation. </w:t>
      </w:r>
      <w:bookmarkStart w:id="5863" w:name="Bookmark_I5R4G3V52N1R600010000400"/>
      <w:bookmarkEnd w:id="5863"/>
      <w:r>
        <w:rPr>
          <w:rFonts w:ascii="Arial" w:eastAsia="Arial" w:hAnsi="Arial" w:cs="Arial"/>
          <w:i/>
          <w:color w:val="000000"/>
          <w:sz w:val="20"/>
        </w:rPr>
        <w:t>Id.</w:t>
      </w:r>
      <w:r>
        <w:rPr>
          <w:rFonts w:ascii="Arial" w:eastAsia="Arial" w:hAnsi="Arial" w:cs="Arial"/>
          <w:color w:val="000000"/>
          <w:sz w:val="20"/>
        </w:rPr>
        <w:t xml:space="preserve"> at 508 ("The Supreme Court has held that the ADA's Title II, at least in certain circumstances, represents a valid exercise of 14th Amendment powers, and as such it trumps state regulations that conflict with its requirements."). "Requiring public entities to make changes to rules, policies, practices, or services is exactly what the ADA does." </w:t>
      </w:r>
      <w:bookmarkStart w:id="5864" w:name="Bookmark_I5R4G3V52N1R600030000400"/>
      <w:bookmarkEnd w:id="5864"/>
      <w:r>
        <w:rPr>
          <w:rFonts w:ascii="Arial" w:eastAsia="Arial" w:hAnsi="Arial" w:cs="Arial"/>
          <w:i/>
          <w:color w:val="000000"/>
          <w:sz w:val="20"/>
        </w:rPr>
        <w:t>Jones</w:t>
      </w:r>
      <w:r>
        <w:rPr>
          <w:rFonts w:ascii="Arial" w:eastAsia="Arial" w:hAnsi="Arial" w:cs="Arial"/>
          <w:color w:val="000000"/>
          <w:sz w:val="20"/>
        </w:rPr>
        <w:t>, 341 F.3d at 487 (Cole, J., dissenting). Nonetheless, at the evidentiary hearing on remand, the district court may look to the certification process as a manner to evaluate the merits of the factual issue.</w:t>
      </w:r>
    </w:p>
    <w:p w:rsidR="00E456CD" w:rsidRDefault="00000000">
      <w:pPr>
        <w:pStyle w:val="Normal37"/>
        <w:widowControl w:val="0"/>
        <w:spacing w:before="200" w:line="260" w:lineRule="atLeast"/>
        <w:jc w:val="both"/>
      </w:pPr>
      <w:bookmarkStart w:id="5865" w:name="Bookmark_para_21_23"/>
      <w:bookmarkEnd w:id="5865"/>
      <w:r>
        <w:rPr>
          <w:rFonts w:ascii="Arial" w:eastAsia="Arial" w:hAnsi="Arial" w:cs="Arial"/>
          <w:color w:val="000000"/>
          <w:sz w:val="20"/>
        </w:rPr>
        <w:t xml:space="preserve"> [***8]  In addition, </w:t>
      </w:r>
      <w:bookmarkStart w:id="5866" w:name="Bookmark_LNHNREFclscc8_22"/>
      <w:bookmarkEnd w:id="5866"/>
      <w:r>
        <w:rPr>
          <w:rFonts w:ascii="Arial" w:eastAsia="Arial" w:hAnsi="Arial" w:cs="Arial"/>
          <w:color w:val="000000"/>
          <w:sz w:val="20"/>
        </w:rPr>
        <w:t xml:space="preserve">Ohio's certification process for "vendors" and "software developers" does not apply to disabled plaintiffs who claim an ADA violation. </w:t>
      </w:r>
      <w:r>
        <w:rPr>
          <w:rFonts w:ascii="Arial" w:eastAsia="Arial" w:hAnsi="Arial" w:cs="Arial"/>
          <w:i/>
          <w:color w:val="000000"/>
          <w:sz w:val="20"/>
        </w:rPr>
        <w:t>See</w:t>
      </w:r>
      <w:r>
        <w:rPr>
          <w:rFonts w:ascii="Arial" w:eastAsia="Arial" w:hAnsi="Arial" w:cs="Arial"/>
          <w:color w:val="000000"/>
          <w:sz w:val="20"/>
        </w:rPr>
        <w:t xml:space="preserve"> Ohio Rev. Code § 3506.05(A)(3) (defining "vendor" as "the person that owns, manufactures, distributes, or has the legal right to control the use of equipment, or the person's agent"); § 3506.05(C)(1) (requiring "vendor[s]" to submit the proposed voting equipment or software for certification).</w:t>
      </w:r>
      <w:r>
        <w:rPr>
          <w:rFonts w:ascii="Arial" w:eastAsia="Arial" w:hAnsi="Arial" w:cs="Arial"/>
          <w:vertAlign w:val="superscript"/>
        </w:rPr>
        <w:footnoteReference w:customMarkFollows="1" w:id="259"/>
        <w:t>4</w:t>
      </w:r>
      <w:r>
        <w:rPr>
          <w:rFonts w:ascii="Arial" w:eastAsia="Arial" w:hAnsi="Arial" w:cs="Arial"/>
          <w:color w:val="000000"/>
          <w:sz w:val="20"/>
        </w:rPr>
        <w:t xml:space="preserve"> Plaintiffs have no statutory standing or duty to employ the certification process.</w:t>
      </w:r>
    </w:p>
    <w:p w:rsidR="00E456CD" w:rsidRDefault="00000000">
      <w:pPr>
        <w:pStyle w:val="Normal37"/>
        <w:widowControl w:val="0"/>
        <w:spacing w:before="120" w:line="260" w:lineRule="atLeast"/>
      </w:pPr>
      <w:r>
        <w:rPr>
          <w:rFonts w:ascii="Arial" w:eastAsia="Arial" w:hAnsi="Arial" w:cs="Arial"/>
          <w:color w:val="000000"/>
          <w:sz w:val="20"/>
        </w:rPr>
        <w:t>B.</w:t>
      </w:r>
    </w:p>
    <w:p w:rsidR="00E456CD" w:rsidRDefault="00000000">
      <w:pPr>
        <w:pStyle w:val="Normal37"/>
        <w:widowControl w:val="0"/>
        <w:spacing w:before="200" w:line="260" w:lineRule="atLeast"/>
        <w:jc w:val="both"/>
      </w:pPr>
      <w:bookmarkStart w:id="5869" w:name="Bookmark_para_23_22"/>
      <w:bookmarkStart w:id="5870" w:name="Bookmark_I5R4G3V52SF7MY0010000400"/>
      <w:bookmarkStart w:id="5871" w:name="Bookmark_I5R4G3V52SF7MY0030000400"/>
      <w:bookmarkEnd w:id="5869"/>
      <w:bookmarkEnd w:id="5870"/>
      <w:bookmarkEnd w:id="5871"/>
      <w:r>
        <w:rPr>
          <w:rFonts w:ascii="Arial" w:eastAsia="Arial" w:hAnsi="Arial" w:cs="Arial"/>
          <w:color w:val="000000"/>
          <w:sz w:val="20"/>
        </w:rPr>
        <w:t xml:space="preserve">Defendant also argues the district court correctly distinguished </w:t>
      </w:r>
      <w:r>
        <w:rPr>
          <w:rFonts w:ascii="Arial" w:eastAsia="Arial" w:hAnsi="Arial" w:cs="Arial"/>
          <w:i/>
          <w:color w:val="000000"/>
          <w:sz w:val="20"/>
        </w:rPr>
        <w:t>Lamone</w:t>
      </w:r>
      <w:r>
        <w:rPr>
          <w:rFonts w:ascii="Arial" w:eastAsia="Arial" w:hAnsi="Arial" w:cs="Arial"/>
          <w:color w:val="000000"/>
          <w:sz w:val="20"/>
        </w:rPr>
        <w:t xml:space="preserve"> on the fundamental [**13]  alteration analysis for the reasons explicitly noted by the district court in that case. </w:t>
      </w:r>
      <w:r>
        <w:rPr>
          <w:rFonts w:ascii="Arial" w:eastAsia="Arial" w:hAnsi="Arial" w:cs="Arial"/>
          <w:i/>
          <w:color w:val="000000"/>
          <w:sz w:val="20"/>
        </w:rPr>
        <w:t xml:space="preserve">See </w:t>
      </w:r>
      <w:bookmarkStart w:id="5872" w:name="Bookmark_I5R4G3V52N1R600050000400"/>
      <w:bookmarkEnd w:id="5872"/>
      <w:r>
        <w:rPr>
          <w:rFonts w:ascii="Arial" w:eastAsia="Arial" w:hAnsi="Arial" w:cs="Arial"/>
          <w:i/>
          <w:color w:val="000000"/>
          <w:sz w:val="20"/>
        </w:rPr>
        <w:t>Nat'l Fed'n of the Blind v. Lamone</w:t>
      </w:r>
      <w:r>
        <w:rPr>
          <w:rFonts w:ascii="Arial" w:eastAsia="Arial" w:hAnsi="Arial" w:cs="Arial"/>
          <w:color w:val="000000"/>
          <w:sz w:val="20"/>
        </w:rPr>
        <w:t xml:space="preserve">, No. RDB-14-1631, 2014 U.S. Dist. LEXIS 123020, 2014 WL 4388342, at *13 (D. Md. Sept. 4, 2014) (noting the fundamental alteration "analysis would [perhaps] be different if Plaintiffs sought to gain access to an uncertified tool that had never been used in a real-world situation."). But this is a distinction without a difference at this point in the proceedings. The Fourth Circuit was reviewing a district court judgment post-bench trial. </w:t>
      </w:r>
      <w:bookmarkStart w:id="5873" w:name="Bookmark_I5R4G3V52SF7MY0020000400"/>
      <w:bookmarkEnd w:id="5873"/>
      <w:r>
        <w:rPr>
          <w:rFonts w:ascii="Arial" w:eastAsia="Arial" w:hAnsi="Arial" w:cs="Arial"/>
          <w:color w:val="000000"/>
          <w:sz w:val="20"/>
        </w:rPr>
        <w:t xml:space="preserve">2014 U.S. Dist. LEXIS 123020, [WL] at *1-2; </w:t>
      </w:r>
      <w:bookmarkStart w:id="5874" w:name="Bookmark_I5R4G3V52SF7MY0040000400"/>
      <w:bookmarkEnd w:id="5874"/>
      <w:r>
        <w:rPr>
          <w:rFonts w:ascii="Arial" w:eastAsia="Arial" w:hAnsi="Arial" w:cs="Arial"/>
          <w:i/>
          <w:color w:val="000000"/>
          <w:sz w:val="20"/>
        </w:rPr>
        <w:t>Lamone</w:t>
      </w:r>
      <w:r>
        <w:rPr>
          <w:rFonts w:ascii="Arial" w:eastAsia="Arial" w:hAnsi="Arial" w:cs="Arial"/>
          <w:color w:val="000000"/>
          <w:sz w:val="20"/>
        </w:rPr>
        <w:t xml:space="preserve">, 813 F.3d at 501. </w:t>
      </w:r>
      <w:bookmarkStart w:id="5875" w:name="Bookmark_I5R4G3V52SF7N00020000400"/>
      <w:bookmarkEnd w:id="5875"/>
      <w:r>
        <w:rPr>
          <w:rFonts w:ascii="Arial" w:eastAsia="Arial" w:hAnsi="Arial" w:cs="Arial"/>
          <w:color w:val="000000"/>
          <w:sz w:val="20"/>
        </w:rPr>
        <w:t xml:space="preserve">On the contrary, the district court here did not—and could not, given that it was reviewing a motion for judgment on the </w:t>
      </w:r>
      <w:r>
        <w:rPr>
          <w:rFonts w:ascii="Arial" w:eastAsia="Arial" w:hAnsi="Arial" w:cs="Arial"/>
          <w:i/>
          <w:color w:val="000000"/>
          <w:sz w:val="20"/>
        </w:rPr>
        <w:t>pleadings</w:t>
      </w:r>
      <w:r>
        <w:rPr>
          <w:rFonts w:ascii="Arial" w:eastAsia="Arial" w:hAnsi="Arial" w:cs="Arial"/>
          <w:color w:val="000000"/>
          <w:sz w:val="20"/>
        </w:rPr>
        <w:t xml:space="preserve">—engage in the requisite factual  [*350]  inquiry to determine whether plaintiffs' proposed remedy would fundamentally alter Ohio's voting system. Thus, while the Maryland district court had the opportunity to review and weigh the evidence before it made its determination, the district court here had no such opportunity. Given, as noted  [***9]  above, the highly factual nature of defendant's fundamental alteration defense, </w:t>
      </w:r>
      <w:r>
        <w:rPr>
          <w:rFonts w:ascii="Arial" w:eastAsia="Arial" w:hAnsi="Arial" w:cs="Arial"/>
          <w:i/>
          <w:color w:val="000000"/>
          <w:sz w:val="20"/>
        </w:rPr>
        <w:t xml:space="preserve">see, e.g., </w:t>
      </w:r>
      <w:bookmarkStart w:id="5876" w:name="Bookmark_I5R4G3V52SF7N00010000400"/>
      <w:bookmarkEnd w:id="5876"/>
      <w:r>
        <w:rPr>
          <w:rFonts w:ascii="Arial" w:eastAsia="Arial" w:hAnsi="Arial" w:cs="Arial"/>
          <w:i/>
          <w:color w:val="000000"/>
          <w:sz w:val="20"/>
        </w:rPr>
        <w:t>Anderson</w:t>
      </w:r>
      <w:r>
        <w:rPr>
          <w:rFonts w:ascii="Arial" w:eastAsia="Arial" w:hAnsi="Arial" w:cs="Arial"/>
          <w:color w:val="000000"/>
          <w:sz w:val="20"/>
        </w:rPr>
        <w:t>, 798 F.3d at 356, the court erred in granting judgment on the pleadings.</w:t>
      </w:r>
    </w:p>
    <w:p w:rsidR="00E456CD" w:rsidRDefault="00000000">
      <w:pPr>
        <w:pStyle w:val="Normal37"/>
        <w:widowControl w:val="0"/>
        <w:spacing w:before="120" w:line="260" w:lineRule="atLeast"/>
      </w:pPr>
      <w:r>
        <w:rPr>
          <w:rFonts w:ascii="Arial" w:eastAsia="Arial" w:hAnsi="Arial" w:cs="Arial"/>
          <w:color w:val="000000"/>
          <w:sz w:val="20"/>
        </w:rPr>
        <w:t>IV.</w:t>
      </w:r>
    </w:p>
    <w:p w:rsidR="00E456CD" w:rsidRDefault="00000000">
      <w:pPr>
        <w:pStyle w:val="Normal37"/>
        <w:widowControl w:val="0"/>
        <w:spacing w:before="200" w:line="260" w:lineRule="atLeast"/>
        <w:jc w:val="both"/>
      </w:pPr>
      <w:bookmarkStart w:id="5877" w:name="Bookmark_para_24_20"/>
      <w:bookmarkEnd w:id="5877"/>
      <w:r>
        <w:rPr>
          <w:rFonts w:ascii="Arial" w:eastAsia="Arial" w:hAnsi="Arial" w:cs="Arial"/>
          <w:color w:val="000000"/>
          <w:sz w:val="20"/>
        </w:rPr>
        <w:t xml:space="preserve">While plaintiffs also allege the district court erred in granting judgment on the pleadings [**14]  to defendant because their proposed remedy would not fundamentally alter Ohio's voting system, we do not address that issue here. This court cannot assess that substantive issue for the same reason the district court erred in so doing—namely, the </w:t>
      </w:r>
      <w:r>
        <w:rPr>
          <w:rFonts w:ascii="Arial" w:eastAsia="Arial" w:hAnsi="Arial" w:cs="Arial"/>
          <w:i/>
          <w:color w:val="000000"/>
          <w:sz w:val="20"/>
        </w:rPr>
        <w:t>facts</w:t>
      </w:r>
      <w:r>
        <w:rPr>
          <w:rFonts w:ascii="Arial" w:eastAsia="Arial" w:hAnsi="Arial" w:cs="Arial"/>
          <w:color w:val="000000"/>
          <w:sz w:val="20"/>
        </w:rPr>
        <w:t xml:space="preserve"> supporting the parties' positions have yet to be litigated.</w:t>
      </w:r>
    </w:p>
    <w:p w:rsidR="00E456CD" w:rsidRDefault="00000000">
      <w:pPr>
        <w:pStyle w:val="Normal37"/>
        <w:widowControl w:val="0"/>
        <w:spacing w:before="120" w:line="260" w:lineRule="atLeast"/>
      </w:pPr>
      <w:r>
        <w:rPr>
          <w:rFonts w:ascii="Arial" w:eastAsia="Arial" w:hAnsi="Arial" w:cs="Arial"/>
          <w:color w:val="000000"/>
          <w:sz w:val="20"/>
        </w:rPr>
        <w:t>V.</w:t>
      </w:r>
    </w:p>
    <w:p w:rsidR="00E456CD" w:rsidRDefault="00000000">
      <w:pPr>
        <w:pStyle w:val="Normal37"/>
        <w:widowControl w:val="0"/>
        <w:spacing w:before="200" w:line="260" w:lineRule="atLeast"/>
        <w:jc w:val="both"/>
      </w:pPr>
      <w:bookmarkStart w:id="5878" w:name="Bookmark_para_25_20"/>
      <w:bookmarkEnd w:id="5878"/>
      <w:r>
        <w:rPr>
          <w:rFonts w:ascii="Arial" w:eastAsia="Arial" w:hAnsi="Arial" w:cs="Arial"/>
          <w:color w:val="000000"/>
          <w:sz w:val="20"/>
        </w:rPr>
        <w:t>We reverse the judgment of the district court and remand for further proceedings consistent with this opinion.</w:t>
      </w:r>
    </w:p>
    <w:p w:rsidR="00E456CD" w:rsidRDefault="00E456CD">
      <w:pPr>
        <w:pStyle w:val="Normal37"/>
      </w:pPr>
    </w:p>
    <w:p w:rsidR="00E456CD" w:rsidRDefault="00000000">
      <w:pPr>
        <w:pStyle w:val="Normal37"/>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3913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14265294"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A91C0" id="Line 82"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8"/>
        <w:sectPr w:rsidR="00E456CD">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gutter="0"/>
          <w:cols w:space="720"/>
          <w:titlePg/>
        </w:sectPr>
      </w:pPr>
    </w:p>
    <w:p w:rsidR="00E456CD" w:rsidRDefault="00E456CD">
      <w:pPr>
        <w:pStyle w:val="Normal38"/>
      </w:pPr>
    </w:p>
    <w:p w:rsidR="00E456CD" w:rsidRDefault="00000000">
      <w:pPr>
        <w:pStyle w:val="Heading137"/>
        <w:keepNext w:val="0"/>
        <w:widowControl w:val="0"/>
        <w:spacing w:after="200" w:line="340" w:lineRule="atLeast"/>
        <w:jc w:val="center"/>
      </w:pPr>
      <w:r>
        <w:rPr>
          <w:rFonts w:eastAsia="Arial"/>
          <w:color w:val="000000"/>
          <w:sz w:val="28"/>
        </w:rPr>
        <w:t>Johnson v. Royal Chem. Co.</w:t>
      </w:r>
    </w:p>
    <w:p w:rsidR="00E456CD" w:rsidRDefault="00000000">
      <w:pPr>
        <w:pStyle w:val="Normal38"/>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38"/>
        <w:widowControl w:val="0"/>
        <w:spacing w:before="120" w:line="260" w:lineRule="atLeast"/>
        <w:jc w:val="center"/>
      </w:pPr>
      <w:r>
        <w:rPr>
          <w:rFonts w:ascii="Arial" w:eastAsia="Arial" w:hAnsi="Arial" w:cs="Arial"/>
          <w:color w:val="000000"/>
          <w:sz w:val="20"/>
        </w:rPr>
        <w:t>October 27, 2017, Filed</w:t>
      </w:r>
    </w:p>
    <w:p w:rsidR="00E456CD" w:rsidRDefault="00000000">
      <w:pPr>
        <w:pStyle w:val="Normal38"/>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17-3234</w:t>
      </w:r>
    </w:p>
    <w:p w:rsidR="00E456CD" w:rsidRDefault="00E456CD">
      <w:pPr>
        <w:pStyle w:val="Normal38"/>
        <w:widowControl w:val="0"/>
        <w:spacing w:line="240" w:lineRule="atLeast"/>
        <w:jc w:val="both"/>
      </w:pPr>
      <w:bookmarkStart w:id="5879" w:name="Bookmark_39"/>
      <w:bookmarkEnd w:id="5879"/>
    </w:p>
    <w:p w:rsidR="00E456CD" w:rsidRDefault="00000000">
      <w:pPr>
        <w:pStyle w:val="Normal38"/>
        <w:widowControl w:val="0"/>
        <w:spacing w:before="200" w:line="240" w:lineRule="atLeast"/>
      </w:pPr>
      <w:bookmarkStart w:id="5880" w:name="Reporter_37"/>
      <w:bookmarkEnd w:id="5880"/>
      <w:r>
        <w:rPr>
          <w:rFonts w:ascii="Arial" w:eastAsia="Arial" w:hAnsi="Arial" w:cs="Arial"/>
          <w:b/>
          <w:color w:val="000000"/>
          <w:sz w:val="18"/>
        </w:rPr>
        <w:t>Reporter</w:t>
      </w:r>
    </w:p>
    <w:p w:rsidR="00E456CD" w:rsidRDefault="00000000">
      <w:pPr>
        <w:pStyle w:val="Normal38"/>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2017 U.S. App. LEXIS 21543 *</w:t>
      </w:r>
    </w:p>
    <w:p w:rsidR="00E456CD" w:rsidRDefault="00000000">
      <w:pPr>
        <w:pStyle w:val="Normal38"/>
        <w:widowControl w:val="0"/>
        <w:spacing w:before="120" w:line="260" w:lineRule="atLeast"/>
      </w:pPr>
      <w:r>
        <w:rPr>
          <w:rFonts w:ascii="Arial" w:eastAsia="Arial" w:hAnsi="Arial" w:cs="Arial"/>
          <w:color w:val="000000"/>
          <w:sz w:val="20"/>
        </w:rPr>
        <w:t>ERIC J. JOHNSON, Plaintiff-Appellant, v. ROYAL CHEMICAL COMPANY, LTD., Defendant-Appellee.</w:t>
      </w:r>
    </w:p>
    <w:p w:rsidR="00E456CD" w:rsidRDefault="00000000">
      <w:pPr>
        <w:pStyle w:val="Normal38"/>
        <w:widowControl w:val="0"/>
        <w:spacing w:before="240" w:line="260" w:lineRule="atLeast"/>
        <w:jc w:val="both"/>
      </w:pPr>
      <w:bookmarkStart w:id="5881" w:name="Notice_18"/>
      <w:bookmarkEnd w:id="5881"/>
      <w:r>
        <w:rPr>
          <w:rFonts w:ascii="Arial" w:eastAsia="Arial" w:hAnsi="Arial" w:cs="Arial"/>
          <w:b/>
          <w:color w:val="000000"/>
          <w:sz w:val="20"/>
        </w:rPr>
        <w:t>Notice:</w:t>
      </w:r>
      <w:r>
        <w:rPr>
          <w:rFonts w:ascii="Arial" w:eastAsia="Arial" w:hAnsi="Arial" w:cs="Arial"/>
          <w:color w:val="000000"/>
          <w:sz w:val="20"/>
        </w:rPr>
        <w:t> </w:t>
      </w:r>
      <w:bookmarkStart w:id="5882" w:name="Bookmark_para_1_37"/>
      <w:bookmarkEnd w:id="5882"/>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38"/>
        <w:widowControl w:val="0"/>
        <w:spacing w:before="240" w:line="260" w:lineRule="atLeast"/>
        <w:jc w:val="both"/>
      </w:pPr>
      <w:bookmarkStart w:id="5883" w:name="Prior_History_37"/>
      <w:bookmarkEnd w:id="5883"/>
      <w:r>
        <w:rPr>
          <w:rFonts w:ascii="Arial" w:eastAsia="Arial" w:hAnsi="Arial" w:cs="Arial"/>
          <w:b/>
          <w:color w:val="000000"/>
          <w:sz w:val="20"/>
        </w:rPr>
        <w:t>Prior History:</w:t>
      </w:r>
      <w:r>
        <w:rPr>
          <w:rFonts w:ascii="Arial" w:eastAsia="Arial" w:hAnsi="Arial" w:cs="Arial"/>
          <w:color w:val="000000"/>
          <w:sz w:val="20"/>
        </w:rPr>
        <w:t> </w:t>
      </w:r>
      <w:bookmarkStart w:id="5884" w:name="Bookmark_para_2_37"/>
      <w:bookmarkEnd w:id="5884"/>
      <w:r>
        <w:rPr>
          <w:rFonts w:ascii="Arial" w:eastAsia="Arial" w:hAnsi="Arial" w:cs="Arial"/>
          <w:color w:val="000000"/>
          <w:sz w:val="20"/>
        </w:rPr>
        <w:t> [*1] ON APPEAL FROM THE UNITED STATES DISTRICT COURT FOR THE NORTHERN DISTRICT OF OHIO.</w:t>
      </w:r>
    </w:p>
    <w:p w:rsidR="00E456CD" w:rsidRDefault="00000000">
      <w:pPr>
        <w:pStyle w:val="Normal38"/>
        <w:widowControl w:val="0"/>
        <w:spacing w:before="120" w:line="260" w:lineRule="atLeast"/>
      </w:pPr>
      <w:r>
        <w:rPr>
          <w:rFonts w:ascii="Arial" w:eastAsia="Arial" w:hAnsi="Arial" w:cs="Arial"/>
          <w:color w:val="000000"/>
          <w:sz w:val="20"/>
        </w:rPr>
        <w:t>Johnson v. Royal Chem. Co., Ltd., 2017 U.S. Dist. LEXIS 13153 (N.D. Ohio, Jan. 31, 2017)</w:t>
      </w:r>
    </w:p>
    <w:p w:rsidR="00E456CD" w:rsidRDefault="00000000">
      <w:pPr>
        <w:pStyle w:val="Normal38"/>
        <w:widowControl w:val="0"/>
        <w:spacing w:before="240" w:line="260" w:lineRule="atLeast"/>
      </w:pPr>
      <w:bookmarkStart w:id="5885" w:name="Counsel_37"/>
      <w:bookmarkEnd w:id="5885"/>
      <w:r>
        <w:rPr>
          <w:rFonts w:ascii="Arial" w:eastAsia="Arial" w:hAnsi="Arial" w:cs="Arial"/>
          <w:b/>
          <w:color w:val="000000"/>
          <w:sz w:val="20"/>
        </w:rPr>
        <w:t>Counsel:</w:t>
      </w:r>
      <w:r>
        <w:rPr>
          <w:rFonts w:ascii="Arial" w:eastAsia="Arial" w:hAnsi="Arial" w:cs="Arial"/>
          <w:color w:val="000000"/>
          <w:sz w:val="20"/>
        </w:rPr>
        <w:t> ERIC J. JOHNSON, Plaintiff - Appellant, Pro se, Shaker Heights, OH.</w:t>
      </w:r>
    </w:p>
    <w:p w:rsidR="00E456CD" w:rsidRDefault="00000000">
      <w:pPr>
        <w:pStyle w:val="Normal38"/>
        <w:widowControl w:val="0"/>
        <w:spacing w:before="120" w:line="260" w:lineRule="atLeast"/>
      </w:pPr>
      <w:r>
        <w:rPr>
          <w:rFonts w:ascii="Arial" w:eastAsia="Arial" w:hAnsi="Arial" w:cs="Arial"/>
          <w:color w:val="000000"/>
          <w:sz w:val="20"/>
        </w:rPr>
        <w:t>For ROYAL CHEMICAL COMPANY, LTD., Defendant - Appellee: David Ryan Vance, Zashin &amp; Rich, Cleveland, OH; David Patrick Frantz, Zashin &amp; Rich, Cleveland, OH.</w:t>
      </w:r>
    </w:p>
    <w:p w:rsidR="00E456CD" w:rsidRDefault="00000000">
      <w:pPr>
        <w:pStyle w:val="Normal38"/>
        <w:widowControl w:val="0"/>
        <w:spacing w:before="240" w:line="260" w:lineRule="atLeast"/>
      </w:pPr>
      <w:bookmarkStart w:id="5886" w:name="Judges_37"/>
      <w:bookmarkEnd w:id="5886"/>
      <w:r>
        <w:rPr>
          <w:rFonts w:ascii="Arial" w:eastAsia="Arial" w:hAnsi="Arial" w:cs="Arial"/>
          <w:b/>
          <w:color w:val="000000"/>
          <w:sz w:val="20"/>
        </w:rPr>
        <w:t>Judges:</w:t>
      </w:r>
      <w:r>
        <w:rPr>
          <w:rFonts w:ascii="Arial" w:eastAsia="Arial" w:hAnsi="Arial" w:cs="Arial"/>
          <w:color w:val="000000"/>
          <w:sz w:val="20"/>
        </w:rPr>
        <w:t> Before: ROGERS, SUTTON, and BUSH, Circuit Judges.</w:t>
      </w:r>
    </w:p>
    <w:p w:rsidR="00E456CD" w:rsidRDefault="00000000">
      <w:pPr>
        <w:pStyle w:val="Normal38"/>
        <w:keepNext/>
        <w:widowControl w:val="0"/>
        <w:spacing w:before="240" w:line="340" w:lineRule="atLeast"/>
      </w:pPr>
      <w:bookmarkStart w:id="5887" w:name="Opinion_37"/>
      <w:bookmarkEnd w:id="5887"/>
      <w:r>
        <w:rPr>
          <w:rFonts w:ascii="Arial" w:eastAsia="Arial" w:hAnsi="Arial" w:cs="Arial"/>
          <w:b/>
          <w:color w:val="000000"/>
          <w:sz w:val="28"/>
        </w:rPr>
        <w:t>Opinion</w:t>
      </w:r>
    </w:p>
    <w:p w:rsidR="00E456CD" w:rsidRDefault="00E22289">
      <w:pPr>
        <w:pStyle w:val="Normal38"/>
        <w:spacing w:line="60" w:lineRule="exact"/>
      </w:pPr>
      <w:r>
        <w:rPr>
          <w:noProof/>
        </w:rPr>
        <mc:AlternateContent>
          <mc:Choice Requires="wps">
            <w:drawing>
              <wp:anchor distT="0" distB="0" distL="114300" distR="114300" simplePos="0" relativeHeight="25174016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035675281"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D1D89" id="Line 83"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8"/>
        <w:spacing w:line="120" w:lineRule="exact"/>
      </w:pPr>
    </w:p>
    <w:p w:rsidR="00E456CD" w:rsidRDefault="00000000">
      <w:pPr>
        <w:pStyle w:val="Normal38"/>
        <w:widowControl w:val="0"/>
        <w:spacing w:before="240" w:line="260" w:lineRule="atLeast"/>
      </w:pPr>
      <w:r>
        <w:br/>
      </w:r>
      <w:r>
        <w:rPr>
          <w:rFonts w:ascii="Arial" w:eastAsia="Arial" w:hAnsi="Arial" w:cs="Arial"/>
          <w:color w:val="000000"/>
          <w:sz w:val="20"/>
          <w:u w:val="single"/>
        </w:rPr>
        <w:t>ORDER</w:t>
      </w:r>
    </w:p>
    <w:p w:rsidR="00E456CD" w:rsidRDefault="00000000">
      <w:pPr>
        <w:pStyle w:val="Normal38"/>
        <w:widowControl w:val="0"/>
        <w:spacing w:before="200" w:line="260" w:lineRule="atLeast"/>
        <w:jc w:val="both"/>
      </w:pPr>
      <w:bookmarkStart w:id="5888" w:name="Bookmark_para_3_37"/>
      <w:bookmarkEnd w:id="5888"/>
      <w:r>
        <w:rPr>
          <w:rFonts w:ascii="Arial" w:eastAsia="Arial" w:hAnsi="Arial" w:cs="Arial"/>
          <w:color w:val="000000"/>
          <w:sz w:val="20"/>
        </w:rPr>
        <w:t xml:space="preserve">Eric J. Johnson, an Ohio resident proceeding pro se, appeals a district court judgment in favor of Royal Chemical Company, Ltd. ("Royal") on his claims of disability discrimination, intentional infliction of emotional distress, breach of contract, and promissory estoppel. This case has been referred to a panel of the court that, upon examination, unanimously agrees that oral argument is not needed. </w:t>
      </w:r>
      <w:r>
        <w:rPr>
          <w:rFonts w:ascii="Arial" w:eastAsia="Arial" w:hAnsi="Arial" w:cs="Arial"/>
          <w:i/>
          <w:color w:val="000000"/>
          <w:sz w:val="20"/>
        </w:rPr>
        <w:t>See</w:t>
      </w:r>
      <w:r>
        <w:rPr>
          <w:rFonts w:ascii="Arial" w:eastAsia="Arial" w:hAnsi="Arial" w:cs="Arial"/>
          <w:color w:val="000000"/>
          <w:sz w:val="20"/>
        </w:rPr>
        <w:t xml:space="preserve"> Fed. R. App. P. 34(a).</w:t>
      </w:r>
    </w:p>
    <w:p w:rsidR="00E456CD" w:rsidRDefault="00000000">
      <w:pPr>
        <w:pStyle w:val="Normal38"/>
        <w:widowControl w:val="0"/>
        <w:spacing w:before="200" w:line="260" w:lineRule="atLeast"/>
        <w:jc w:val="both"/>
      </w:pPr>
      <w:bookmarkStart w:id="5889" w:name="Bookmark_para_4_37"/>
      <w:bookmarkEnd w:id="5889"/>
      <w:r>
        <w:rPr>
          <w:rFonts w:ascii="Arial" w:eastAsia="Arial" w:hAnsi="Arial" w:cs="Arial"/>
          <w:color w:val="000000"/>
          <w:sz w:val="20"/>
        </w:rPr>
        <w:t xml:space="preserve">Johnson filed a complaint against Royal alleging (1) disability discrimination in violation of the Americans with Disabilities Act ("ADA"); (2) disability discrimination in violation of Ohio Revised Code § 4112.02(A); (3) intentional infliction of emotional distress; (4) bad faith breach of contract; (5) breach of contract; and (6) promissory estoppel. Royal filed a motion for summary judgment, and the district court granted the motion. </w:t>
      </w:r>
      <w:bookmarkStart w:id="5890" w:name="Bookmark_I5R1PG6G2HM6C40020000400"/>
      <w:bookmarkEnd w:id="5890"/>
      <w:r>
        <w:rPr>
          <w:rFonts w:ascii="Arial" w:eastAsia="Arial" w:hAnsi="Arial" w:cs="Arial"/>
          <w:color w:val="000000"/>
          <w:sz w:val="20"/>
        </w:rPr>
        <w:t xml:space="preserve">On appeal, Johnson argues [*2]  that the district court erred in granting summary judgment on his failure to accommodate, breach of contract, and promissory estoppel claims and that the district court should not have granted summary judgment prior to the completion of discovery. Johnson has forfeited review of any claims that he raised in the district court but did not raise in his appellate brief. </w:t>
      </w:r>
      <w:r>
        <w:rPr>
          <w:rFonts w:ascii="Arial" w:eastAsia="Arial" w:hAnsi="Arial" w:cs="Arial"/>
          <w:i/>
          <w:color w:val="000000"/>
          <w:sz w:val="20"/>
        </w:rPr>
        <w:t xml:space="preserve">See </w:t>
      </w:r>
      <w:bookmarkStart w:id="5891" w:name="Bookmark_I5R1PG6G2HM6C40010000400"/>
      <w:bookmarkEnd w:id="5891"/>
      <w:r>
        <w:rPr>
          <w:rFonts w:ascii="Arial" w:eastAsia="Arial" w:hAnsi="Arial" w:cs="Arial"/>
          <w:i/>
          <w:color w:val="000000"/>
          <w:sz w:val="20"/>
        </w:rPr>
        <w:t>Agema v. City of Allegan</w:t>
      </w:r>
      <w:r>
        <w:rPr>
          <w:rFonts w:ascii="Arial" w:eastAsia="Arial" w:hAnsi="Arial" w:cs="Arial"/>
          <w:color w:val="000000"/>
          <w:sz w:val="20"/>
        </w:rPr>
        <w:t>, 826 F.3d 326, 331 (6th Cir. 2016).</w:t>
      </w:r>
    </w:p>
    <w:p w:rsidR="00E456CD" w:rsidRDefault="00000000">
      <w:pPr>
        <w:pStyle w:val="Normal38"/>
        <w:widowControl w:val="0"/>
        <w:spacing w:before="200" w:line="260" w:lineRule="atLeast"/>
        <w:jc w:val="both"/>
      </w:pPr>
      <w:bookmarkStart w:id="5892" w:name="Bookmark_para_5_37"/>
      <w:bookmarkStart w:id="5893" w:name="Bookmark_I5R1PG6G2HM6C40040000400"/>
      <w:bookmarkEnd w:id="5892"/>
      <w:bookmarkEnd w:id="5893"/>
      <w:r>
        <w:rPr>
          <w:rFonts w:ascii="Arial" w:eastAsia="Arial" w:hAnsi="Arial" w:cs="Arial"/>
          <w:color w:val="000000"/>
          <w:sz w:val="20"/>
        </w:rPr>
        <w:t xml:space="preserve">We review de novo a district court's decision to grant summary judgment. </w:t>
      </w:r>
      <w:bookmarkStart w:id="5894" w:name="Bookmark_I5R1PG6G2HM6C40030000400"/>
      <w:bookmarkEnd w:id="5894"/>
      <w:r>
        <w:rPr>
          <w:rFonts w:ascii="Arial" w:eastAsia="Arial" w:hAnsi="Arial" w:cs="Arial"/>
          <w:i/>
          <w:color w:val="000000"/>
          <w:sz w:val="20"/>
        </w:rPr>
        <w:t>Lockett v. Suardini</w:t>
      </w:r>
      <w:r>
        <w:rPr>
          <w:rFonts w:ascii="Arial" w:eastAsia="Arial" w:hAnsi="Arial" w:cs="Arial"/>
          <w:color w:val="000000"/>
          <w:sz w:val="20"/>
        </w:rPr>
        <w:t>, 526 F.3d 866, 872 (6th Cir. 2008). Summary judgment is proper "if the movant shows that there is no genuine dispute as to any material fact and the movant is entitled to judgment as a matter of law." Fed. R. Civ. P. 56(a).</w:t>
      </w:r>
    </w:p>
    <w:p w:rsidR="00E456CD" w:rsidRDefault="00000000">
      <w:pPr>
        <w:pStyle w:val="Normal38"/>
        <w:widowControl w:val="0"/>
        <w:spacing w:before="200" w:line="260" w:lineRule="atLeast"/>
        <w:jc w:val="both"/>
      </w:pPr>
      <w:bookmarkStart w:id="5895" w:name="Bookmark_para_6_37"/>
      <w:bookmarkStart w:id="5896" w:name="Bookmark_I4688974B2700079X2R00136"/>
      <w:bookmarkStart w:id="5897" w:name="Bookmark_I5R1PG6H28T4WY0010000400"/>
      <w:bookmarkEnd w:id="5895"/>
      <w:bookmarkEnd w:id="5896"/>
      <w:bookmarkEnd w:id="5897"/>
      <w:r>
        <w:rPr>
          <w:rFonts w:ascii="Arial" w:eastAsia="Arial" w:hAnsi="Arial" w:cs="Arial"/>
          <w:color w:val="000000"/>
          <w:sz w:val="20"/>
        </w:rPr>
        <w:t xml:space="preserve">The district court did not err in granting summary judgment as to Johnson's claim that Royal failed to provide reasonable accommodations as required under the ADA. To prevail on a failure to accommodate claim, a plaintiff must show, among other things, that he requested an accommodation and his employer failed to provide a reasonable accommodation. </w:t>
      </w:r>
      <w:bookmarkStart w:id="5898" w:name="Bookmark_I5R1PG6G2HM6C40050000400"/>
      <w:bookmarkEnd w:id="5898"/>
      <w:r>
        <w:rPr>
          <w:rFonts w:ascii="Arial" w:eastAsia="Arial" w:hAnsi="Arial" w:cs="Arial"/>
          <w:i/>
          <w:color w:val="000000"/>
          <w:sz w:val="20"/>
        </w:rPr>
        <w:t>Green v. BakeMark USA, LLC</w:t>
      </w:r>
      <w:r>
        <w:rPr>
          <w:rFonts w:ascii="Arial" w:eastAsia="Arial" w:hAnsi="Arial" w:cs="Arial"/>
          <w:color w:val="000000"/>
          <w:sz w:val="20"/>
        </w:rPr>
        <w:t>, 683 F. App'x 486, 491 (6th Cir. 2017). While Johnson argues that Royal failed to provide reasonable accommodations when he was moved back to the production floor and when he was not provided a constant sit-down position, Johnson has conceded that he did not contest his [*3]  move back to the production floor nor did he ask to return to a light duty position. Because Johnson has failed to identify an accommodation request that was denied, the district court did not err in granting summary judgment in favor of Royal on this claim.</w:t>
      </w:r>
    </w:p>
    <w:p w:rsidR="00E456CD" w:rsidRDefault="00000000">
      <w:pPr>
        <w:pStyle w:val="Normal38"/>
        <w:widowControl w:val="0"/>
        <w:spacing w:before="200" w:line="260" w:lineRule="atLeast"/>
        <w:jc w:val="both"/>
      </w:pPr>
      <w:bookmarkStart w:id="5899" w:name="Bookmark_para_7_36"/>
      <w:bookmarkStart w:id="5900" w:name="Bookmark_I5R1PG6H28T4WY0030000400"/>
      <w:bookmarkEnd w:id="5899"/>
      <w:bookmarkEnd w:id="5900"/>
      <w:r>
        <w:rPr>
          <w:rFonts w:ascii="Arial" w:eastAsia="Arial" w:hAnsi="Arial" w:cs="Arial"/>
          <w:color w:val="000000"/>
          <w:sz w:val="20"/>
        </w:rPr>
        <w:t xml:space="preserve">The district court did not err in granting summary judgment as to Johnson's breach of contract and promissory estoppel claims because Johnson has failed to show that the return-to-work-authorization form completed by his doctor was a contract or that Royal promised to employ him in the future. </w:t>
      </w:r>
      <w:r>
        <w:rPr>
          <w:rFonts w:ascii="Arial" w:eastAsia="Arial" w:hAnsi="Arial" w:cs="Arial"/>
          <w:i/>
          <w:color w:val="000000"/>
          <w:sz w:val="20"/>
        </w:rPr>
        <w:t xml:space="preserve">See </w:t>
      </w:r>
      <w:bookmarkStart w:id="5901" w:name="Bookmark_I5R1PG6H28T4WY0020000400"/>
      <w:bookmarkEnd w:id="5901"/>
      <w:r>
        <w:rPr>
          <w:rFonts w:ascii="Arial" w:eastAsia="Arial" w:hAnsi="Arial" w:cs="Arial"/>
          <w:i/>
          <w:color w:val="000000"/>
          <w:sz w:val="20"/>
        </w:rPr>
        <w:t>Rayess v. Educ. Comm. for Foreign Med. Graduates</w:t>
      </w:r>
      <w:r>
        <w:rPr>
          <w:rFonts w:ascii="Arial" w:eastAsia="Arial" w:hAnsi="Arial" w:cs="Arial"/>
          <w:color w:val="000000"/>
          <w:sz w:val="20"/>
        </w:rPr>
        <w:t xml:space="preserve">, 134 Ohio St. 3d 509, 2012 Ohio 5676, 983 N.E.2d 1267, 1271 (Ohio 2012); </w:t>
      </w:r>
      <w:bookmarkStart w:id="5902" w:name="Bookmark_I5R1PG6H28T4WY0040000400"/>
      <w:bookmarkEnd w:id="5902"/>
      <w:r>
        <w:rPr>
          <w:rFonts w:ascii="Arial" w:eastAsia="Arial" w:hAnsi="Arial" w:cs="Arial"/>
          <w:i/>
          <w:color w:val="000000"/>
          <w:sz w:val="20"/>
        </w:rPr>
        <w:t>Weiper v. W.A. Hill &amp; Assocs.</w:t>
      </w:r>
      <w:r>
        <w:rPr>
          <w:rFonts w:ascii="Arial" w:eastAsia="Arial" w:hAnsi="Arial" w:cs="Arial"/>
          <w:color w:val="000000"/>
          <w:sz w:val="20"/>
        </w:rPr>
        <w:t>, 104 Ohio App. 3d 250, 661 N.E.2d 796, 803 (Ohio Ct. App. 1995).</w:t>
      </w:r>
    </w:p>
    <w:p w:rsidR="00E456CD" w:rsidRDefault="00000000">
      <w:pPr>
        <w:pStyle w:val="Normal38"/>
        <w:widowControl w:val="0"/>
        <w:spacing w:before="200" w:line="260" w:lineRule="atLeast"/>
        <w:jc w:val="both"/>
      </w:pPr>
      <w:bookmarkStart w:id="5903" w:name="Bookmark_para_8_36"/>
      <w:bookmarkStart w:id="5904" w:name="Bookmark_I5R1PG6H2HM6C60020000400"/>
      <w:bookmarkStart w:id="5905" w:name="Bookmark_I5R1PG6H2HM6C60040000400"/>
      <w:bookmarkEnd w:id="5903"/>
      <w:bookmarkEnd w:id="5904"/>
      <w:bookmarkEnd w:id="5905"/>
      <w:r>
        <w:rPr>
          <w:rFonts w:ascii="Arial" w:eastAsia="Arial" w:hAnsi="Arial" w:cs="Arial"/>
          <w:color w:val="000000"/>
          <w:sz w:val="20"/>
        </w:rPr>
        <w:t xml:space="preserve">We review a claim that summary judgment was entered prematurely because additional discovery was needed for an abuse of discretion. </w:t>
      </w:r>
      <w:bookmarkStart w:id="5906" w:name="Bookmark_I5R1PG6H2HM6C60010000400"/>
      <w:bookmarkEnd w:id="5906"/>
      <w:r>
        <w:rPr>
          <w:rFonts w:ascii="Arial" w:eastAsia="Arial" w:hAnsi="Arial" w:cs="Arial"/>
          <w:i/>
          <w:color w:val="000000"/>
          <w:sz w:val="20"/>
        </w:rPr>
        <w:t>Alspaugh v. McConnell</w:t>
      </w:r>
      <w:r>
        <w:rPr>
          <w:rFonts w:ascii="Arial" w:eastAsia="Arial" w:hAnsi="Arial" w:cs="Arial"/>
          <w:color w:val="000000"/>
          <w:sz w:val="20"/>
        </w:rPr>
        <w:t xml:space="preserve">, 643 F.3d 162, 166 (6th Cir. 2011). Federal Rule of Civil Procedure 56(d) allows for discovery "[i]f a nonmovant shows by affidavit or declaration that, for specified reasons, it cannot present facts essential to justify its opposition." "[T]o preserve the argument that the grant of summary judgment was too hasty and precluded necessary discovery, the appellant must have complied with the strictures of Federal Rule of Civil Procedure 56[(d)]." </w:t>
      </w:r>
      <w:bookmarkStart w:id="5907" w:name="Bookmark_I5R1PG6H2HM6C60030000400"/>
      <w:bookmarkEnd w:id="5907"/>
      <w:r>
        <w:rPr>
          <w:rFonts w:ascii="Arial" w:eastAsia="Arial" w:hAnsi="Arial" w:cs="Arial"/>
          <w:i/>
          <w:color w:val="000000"/>
          <w:sz w:val="20"/>
        </w:rPr>
        <w:t>Plott v. Gen. Motors Corp., Packard Elec. Div.</w:t>
      </w:r>
      <w:r>
        <w:rPr>
          <w:rFonts w:ascii="Arial" w:eastAsia="Arial" w:hAnsi="Arial" w:cs="Arial"/>
          <w:color w:val="000000"/>
          <w:sz w:val="20"/>
        </w:rPr>
        <w:t>, 71 F.3d 1190, 1196 (6th Cir. 1995). Because Johnson failed to satisfy the requirements of Rule 56(d) or otherwise move for additional discovery, the district court did not abuse its discretion by ruling on the motion [*4]  for summary judgment without allowing further discovery.</w:t>
      </w:r>
    </w:p>
    <w:p w:rsidR="00E456CD" w:rsidRDefault="00000000">
      <w:pPr>
        <w:pStyle w:val="Normal38"/>
        <w:widowControl w:val="0"/>
        <w:spacing w:before="200" w:line="260" w:lineRule="atLeast"/>
        <w:jc w:val="both"/>
      </w:pPr>
      <w:bookmarkStart w:id="5908" w:name="Bookmark_para_9_36"/>
      <w:bookmarkEnd w:id="5908"/>
      <w:r>
        <w:rPr>
          <w:rFonts w:ascii="Arial" w:eastAsia="Arial" w:hAnsi="Arial" w:cs="Arial"/>
          <w:color w:val="000000"/>
          <w:sz w:val="20"/>
        </w:rPr>
        <w:t xml:space="preserve">For the foregoing reasons, we hereby </w:t>
      </w:r>
      <w:r>
        <w:rPr>
          <w:rFonts w:ascii="Arial" w:eastAsia="Arial" w:hAnsi="Arial" w:cs="Arial"/>
          <w:b/>
          <w:color w:val="000000"/>
          <w:sz w:val="20"/>
        </w:rPr>
        <w:t>AFFIRM</w:t>
      </w:r>
      <w:r>
        <w:rPr>
          <w:rFonts w:ascii="Arial" w:eastAsia="Arial" w:hAnsi="Arial" w:cs="Arial"/>
          <w:color w:val="000000"/>
          <w:sz w:val="20"/>
        </w:rPr>
        <w:t xml:space="preserve"> the judgment of the district court.</w:t>
      </w:r>
    </w:p>
    <w:p w:rsidR="00E456CD" w:rsidRDefault="00E456CD">
      <w:pPr>
        <w:pStyle w:val="Normal38"/>
      </w:pPr>
    </w:p>
    <w:p w:rsidR="00E456CD" w:rsidRDefault="00000000">
      <w:pPr>
        <w:pStyle w:val="Normal38"/>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4118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682356749"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E2811" id="Line 84"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39"/>
        <w:sectPr w:rsidR="00E456CD">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gutter="0"/>
          <w:cols w:space="720"/>
          <w:titlePg/>
        </w:sectPr>
      </w:pPr>
    </w:p>
    <w:p w:rsidR="00E456CD" w:rsidRDefault="00E456CD">
      <w:pPr>
        <w:pStyle w:val="Normal39"/>
      </w:pPr>
    </w:p>
    <w:p w:rsidR="00E456CD" w:rsidRDefault="00000000">
      <w:pPr>
        <w:pStyle w:val="Heading138"/>
        <w:keepNext w:val="0"/>
        <w:widowControl w:val="0"/>
        <w:spacing w:after="200" w:line="340" w:lineRule="atLeast"/>
        <w:jc w:val="center"/>
      </w:pPr>
      <w:r>
        <w:rPr>
          <w:rFonts w:eastAsia="Arial"/>
          <w:color w:val="000000"/>
          <w:sz w:val="28"/>
        </w:rPr>
        <w:t>Scott v. City of Albuquerque</w:t>
      </w:r>
    </w:p>
    <w:p w:rsidR="00E456CD" w:rsidRDefault="00000000">
      <w:pPr>
        <w:pStyle w:val="Normal39"/>
        <w:widowControl w:val="0"/>
        <w:spacing w:before="120" w:line="260" w:lineRule="atLeast"/>
        <w:jc w:val="center"/>
      </w:pPr>
      <w:r>
        <w:rPr>
          <w:rFonts w:ascii="Arial" w:eastAsia="Arial" w:hAnsi="Arial" w:cs="Arial"/>
          <w:color w:val="000000"/>
          <w:sz w:val="20"/>
        </w:rPr>
        <w:t>United States Court of Appeals for the Tenth Circuit</w:t>
      </w:r>
    </w:p>
    <w:p w:rsidR="00E456CD" w:rsidRDefault="00000000">
      <w:pPr>
        <w:pStyle w:val="Normal39"/>
        <w:widowControl w:val="0"/>
        <w:spacing w:before="120" w:line="260" w:lineRule="atLeast"/>
        <w:jc w:val="center"/>
      </w:pPr>
      <w:r>
        <w:rPr>
          <w:rFonts w:ascii="Arial" w:eastAsia="Arial" w:hAnsi="Arial" w:cs="Arial"/>
          <w:color w:val="000000"/>
          <w:sz w:val="20"/>
        </w:rPr>
        <w:t>October 5, 2017, Filed</w:t>
      </w:r>
    </w:p>
    <w:p w:rsidR="00E456CD" w:rsidRDefault="00000000">
      <w:pPr>
        <w:pStyle w:val="Normal39"/>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15-2154</w:t>
      </w:r>
    </w:p>
    <w:p w:rsidR="00E456CD" w:rsidRDefault="00E456CD">
      <w:pPr>
        <w:pStyle w:val="Normal39"/>
        <w:widowControl w:val="0"/>
        <w:spacing w:line="240" w:lineRule="atLeast"/>
        <w:jc w:val="both"/>
      </w:pPr>
      <w:bookmarkStart w:id="5909" w:name="Bookmark_40"/>
      <w:bookmarkEnd w:id="5909"/>
    </w:p>
    <w:p w:rsidR="00E456CD" w:rsidRDefault="00000000">
      <w:pPr>
        <w:pStyle w:val="Normal39"/>
        <w:widowControl w:val="0"/>
        <w:spacing w:before="200" w:line="240" w:lineRule="atLeast"/>
      </w:pPr>
      <w:bookmarkStart w:id="5910" w:name="Reporter_38"/>
      <w:bookmarkEnd w:id="5910"/>
      <w:r>
        <w:rPr>
          <w:rFonts w:ascii="Arial" w:eastAsia="Arial" w:hAnsi="Arial" w:cs="Arial"/>
          <w:b/>
          <w:color w:val="000000"/>
          <w:sz w:val="18"/>
        </w:rPr>
        <w:t>Reporter</w:t>
      </w:r>
    </w:p>
    <w:p w:rsidR="00E456CD" w:rsidRDefault="00000000">
      <w:pPr>
        <w:pStyle w:val="Normal39"/>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711 Fed. Appx. 871 *; 2017 U.S. App. LEXIS 19423 **; 2017 WL 4479357</w:t>
      </w:r>
    </w:p>
    <w:p w:rsidR="00E456CD" w:rsidRDefault="00000000">
      <w:pPr>
        <w:pStyle w:val="Normal39"/>
        <w:widowControl w:val="0"/>
        <w:spacing w:before="120" w:line="260" w:lineRule="atLeast"/>
      </w:pPr>
      <w:r>
        <w:rPr>
          <w:rFonts w:ascii="Arial" w:eastAsia="Arial" w:hAnsi="Arial" w:cs="Arial"/>
          <w:color w:val="000000"/>
          <w:sz w:val="20"/>
        </w:rPr>
        <w:t>QUENTIN SCOTT, Plaintiff - Appellant, v. CITY OF ALBUQUERQUE; RAY SCHULTZ, former Chief of Police; D. HENSLEY, Albuquerque Police Officer, Defendant - Appellees.</w:t>
      </w:r>
    </w:p>
    <w:p w:rsidR="00E456CD" w:rsidRDefault="00000000">
      <w:pPr>
        <w:pStyle w:val="Normal39"/>
        <w:widowControl w:val="0"/>
        <w:spacing w:before="240" w:line="260" w:lineRule="atLeast"/>
        <w:jc w:val="both"/>
      </w:pPr>
      <w:bookmarkStart w:id="5911" w:name="Notice_19"/>
      <w:bookmarkEnd w:id="5911"/>
      <w:r>
        <w:rPr>
          <w:rFonts w:ascii="Arial" w:eastAsia="Arial" w:hAnsi="Arial" w:cs="Arial"/>
          <w:b/>
          <w:color w:val="000000"/>
          <w:sz w:val="20"/>
        </w:rPr>
        <w:t>Notice:</w:t>
      </w:r>
      <w:r>
        <w:rPr>
          <w:rFonts w:ascii="Arial" w:eastAsia="Arial" w:hAnsi="Arial" w:cs="Arial"/>
          <w:color w:val="000000"/>
          <w:sz w:val="20"/>
        </w:rPr>
        <w:t> </w:t>
      </w:r>
      <w:bookmarkStart w:id="5912" w:name="Bookmark_para_1_38"/>
      <w:bookmarkEnd w:id="5912"/>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39"/>
        <w:widowControl w:val="0"/>
        <w:spacing w:before="240" w:line="260" w:lineRule="atLeast"/>
        <w:jc w:val="both"/>
      </w:pPr>
      <w:bookmarkStart w:id="5913" w:name="Prior_History_38"/>
      <w:bookmarkEnd w:id="5913"/>
      <w:r>
        <w:rPr>
          <w:rFonts w:ascii="Arial" w:eastAsia="Arial" w:hAnsi="Arial" w:cs="Arial"/>
          <w:b/>
          <w:color w:val="000000"/>
          <w:sz w:val="20"/>
        </w:rPr>
        <w:t>Prior History:</w:t>
      </w:r>
      <w:r>
        <w:rPr>
          <w:rFonts w:ascii="Arial" w:eastAsia="Arial" w:hAnsi="Arial" w:cs="Arial"/>
          <w:color w:val="000000"/>
          <w:sz w:val="20"/>
        </w:rPr>
        <w:t> </w:t>
      </w:r>
      <w:bookmarkStart w:id="5914" w:name="Bookmark_para_2_38"/>
      <w:bookmarkEnd w:id="5914"/>
      <w:r>
        <w:rPr>
          <w:rFonts w:ascii="Arial" w:eastAsia="Arial" w:hAnsi="Arial" w:cs="Arial"/>
          <w:color w:val="000000"/>
          <w:sz w:val="20"/>
        </w:rPr>
        <w:t> [**1] (D.C. No. 1:14-CV-0665-SWS-WPL). (D. N.M.).</w:t>
      </w:r>
    </w:p>
    <w:p w:rsidR="00E456CD" w:rsidRDefault="00000000">
      <w:pPr>
        <w:pStyle w:val="Normal39"/>
        <w:widowControl w:val="0"/>
        <w:spacing w:before="120" w:line="260" w:lineRule="atLeast"/>
      </w:pPr>
      <w:r>
        <w:rPr>
          <w:rFonts w:ascii="Arial" w:eastAsia="Arial" w:hAnsi="Arial" w:cs="Arial"/>
          <w:color w:val="000000"/>
          <w:sz w:val="20"/>
        </w:rPr>
        <w:t>Scott v. City of Albuquerque, 2015 U.S. Dist. LEXIS 189654 (D.N.M., Aug. 17, 2015)</w:t>
      </w:r>
    </w:p>
    <w:p w:rsidR="00E456CD" w:rsidRDefault="00000000">
      <w:pPr>
        <w:pStyle w:val="Normal39"/>
        <w:widowControl w:val="0"/>
        <w:spacing w:before="240" w:line="260" w:lineRule="atLeast"/>
      </w:pPr>
      <w:bookmarkStart w:id="5915" w:name="Counsel_38"/>
      <w:bookmarkEnd w:id="5915"/>
      <w:r>
        <w:rPr>
          <w:rFonts w:ascii="Arial" w:eastAsia="Arial" w:hAnsi="Arial" w:cs="Arial"/>
          <w:b/>
          <w:color w:val="000000"/>
          <w:sz w:val="20"/>
        </w:rPr>
        <w:t>Counsel:</w:t>
      </w:r>
      <w:r>
        <w:rPr>
          <w:rFonts w:ascii="Arial" w:eastAsia="Arial" w:hAnsi="Arial" w:cs="Arial"/>
          <w:color w:val="000000"/>
          <w:sz w:val="20"/>
        </w:rPr>
        <w:t> For QUENTIN SCOTT, Plaintiff - Appellant: Theresa V. Hacsi, Laura Louise Schauer Ives, Joseph P. Kennedy, Kennedy Kennedy &amp; Ives, Albuquerque, NM.</w:t>
      </w:r>
    </w:p>
    <w:p w:rsidR="00E456CD" w:rsidRDefault="00000000">
      <w:pPr>
        <w:pStyle w:val="Normal39"/>
        <w:widowControl w:val="0"/>
        <w:spacing w:before="120" w:line="260" w:lineRule="atLeast"/>
      </w:pPr>
      <w:r>
        <w:rPr>
          <w:rFonts w:ascii="Arial" w:eastAsia="Arial" w:hAnsi="Arial" w:cs="Arial"/>
          <w:color w:val="000000"/>
          <w:sz w:val="20"/>
        </w:rPr>
        <w:t>For CITY OF ALBUQUERQUE, RAY SCHULTZ, former Chief of Police, D. HENSLEY, Albuquerque Police Officer, Defendant - Appellees: Kristin J. Dalton, Albuquerque City Attorney's Office, Albuquerque, NM.</w:t>
      </w:r>
    </w:p>
    <w:p w:rsidR="00E456CD" w:rsidRDefault="00000000">
      <w:pPr>
        <w:pStyle w:val="Normal39"/>
        <w:widowControl w:val="0"/>
        <w:spacing w:before="240" w:line="260" w:lineRule="atLeast"/>
      </w:pPr>
      <w:bookmarkStart w:id="5916" w:name="Judges_38"/>
      <w:bookmarkEnd w:id="5916"/>
      <w:r>
        <w:rPr>
          <w:rFonts w:ascii="Arial" w:eastAsia="Arial" w:hAnsi="Arial" w:cs="Arial"/>
          <w:b/>
          <w:color w:val="000000"/>
          <w:sz w:val="20"/>
        </w:rPr>
        <w:t>Judges:</w:t>
      </w:r>
      <w:r>
        <w:rPr>
          <w:rFonts w:ascii="Arial" w:eastAsia="Arial" w:hAnsi="Arial" w:cs="Arial"/>
          <w:color w:val="000000"/>
          <w:sz w:val="20"/>
        </w:rPr>
        <w:t> Before HARTZ, HOLMES, and MATHESON, Circuit Judges.</w:t>
      </w:r>
    </w:p>
    <w:p w:rsidR="00E456CD" w:rsidRDefault="00000000">
      <w:pPr>
        <w:pStyle w:val="Normal39"/>
        <w:widowControl w:val="0"/>
        <w:spacing w:before="240" w:line="260" w:lineRule="atLeast"/>
      </w:pPr>
      <w:bookmarkStart w:id="5917" w:name="Opinion_by_24"/>
      <w:bookmarkEnd w:id="5917"/>
      <w:r>
        <w:rPr>
          <w:rFonts w:ascii="Arial" w:eastAsia="Arial" w:hAnsi="Arial" w:cs="Arial"/>
          <w:b/>
          <w:color w:val="000000"/>
          <w:sz w:val="20"/>
        </w:rPr>
        <w:t>Opinion by:</w:t>
      </w:r>
      <w:r>
        <w:rPr>
          <w:rFonts w:ascii="Arial" w:eastAsia="Arial" w:hAnsi="Arial" w:cs="Arial"/>
          <w:color w:val="000000"/>
          <w:sz w:val="20"/>
        </w:rPr>
        <w:t> JEROME A. HOLMES</w:t>
      </w:r>
    </w:p>
    <w:p w:rsidR="00E456CD" w:rsidRDefault="00000000">
      <w:pPr>
        <w:pStyle w:val="Normal39"/>
        <w:keepNext/>
        <w:widowControl w:val="0"/>
        <w:spacing w:before="240" w:line="340" w:lineRule="atLeast"/>
      </w:pPr>
      <w:bookmarkStart w:id="5918" w:name="Opinion_38"/>
      <w:bookmarkEnd w:id="5918"/>
      <w:r>
        <w:rPr>
          <w:rFonts w:ascii="Arial" w:eastAsia="Arial" w:hAnsi="Arial" w:cs="Arial"/>
          <w:b/>
          <w:color w:val="000000"/>
          <w:sz w:val="28"/>
        </w:rPr>
        <w:t>Opinion</w:t>
      </w:r>
    </w:p>
    <w:p w:rsidR="00E456CD" w:rsidRDefault="00E22289">
      <w:pPr>
        <w:pStyle w:val="Normal39"/>
        <w:spacing w:line="60" w:lineRule="exact"/>
      </w:pPr>
      <w:r>
        <w:rPr>
          <w:noProof/>
        </w:rPr>
        <mc:AlternateContent>
          <mc:Choice Requires="wps">
            <w:drawing>
              <wp:anchor distT="0" distB="0" distL="114300" distR="114300" simplePos="0" relativeHeight="25174220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771765209"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42A6F" id="Line 85"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39"/>
        <w:spacing w:line="120" w:lineRule="exact"/>
      </w:pPr>
    </w:p>
    <w:p w:rsidR="00E456CD" w:rsidRDefault="00000000">
      <w:pPr>
        <w:pStyle w:val="Normal39"/>
        <w:widowControl w:val="0"/>
        <w:spacing w:before="240" w:line="260" w:lineRule="atLeast"/>
      </w:pPr>
      <w:r>
        <w:br/>
      </w:r>
      <w:r>
        <w:rPr>
          <w:rFonts w:ascii="Arial" w:eastAsia="Arial" w:hAnsi="Arial" w:cs="Arial"/>
          <w:color w:val="000000"/>
          <w:sz w:val="20"/>
        </w:rPr>
        <w:t xml:space="preserve"> [*872]  </w:t>
      </w:r>
      <w:r>
        <w:rPr>
          <w:rFonts w:ascii="Arial" w:eastAsia="Arial" w:hAnsi="Arial" w:cs="Arial"/>
          <w:b/>
          <w:color w:val="000000"/>
          <w:sz w:val="20"/>
        </w:rPr>
        <w:t>ORDER AND JUDGMENT</w:t>
      </w:r>
      <w:r>
        <w:rPr>
          <w:rFonts w:ascii="Arial" w:eastAsia="Arial" w:hAnsi="Arial" w:cs="Arial"/>
          <w:vertAlign w:val="superscript"/>
        </w:rPr>
        <w:footnoteReference w:customMarkFollows="1" w:id="260"/>
        <w:t>*</w:t>
      </w:r>
    </w:p>
    <w:p w:rsidR="00E456CD" w:rsidRDefault="00000000">
      <w:pPr>
        <w:pStyle w:val="Normal39"/>
        <w:widowControl w:val="0"/>
        <w:spacing w:before="200" w:line="260" w:lineRule="atLeast"/>
        <w:jc w:val="both"/>
      </w:pPr>
      <w:bookmarkStart w:id="5920" w:name="Bookmark_para_3_38"/>
      <w:bookmarkEnd w:id="5920"/>
      <w:r>
        <w:rPr>
          <w:rFonts w:ascii="Arial" w:eastAsia="Arial" w:hAnsi="Arial" w:cs="Arial"/>
          <w:color w:val="000000"/>
          <w:sz w:val="20"/>
        </w:rPr>
        <w:t xml:space="preserve">A New Mexico statute makes it illegal to "willfully interfere with the educational process" at a public school. N.M. </w:t>
      </w:r>
      <w:r>
        <w:rPr>
          <w:rFonts w:ascii="Arial" w:eastAsia="Arial" w:hAnsi="Arial" w:cs="Arial"/>
          <w:smallCaps/>
          <w:color w:val="000000"/>
          <w:sz w:val="20"/>
        </w:rPr>
        <w:t>Stat. Ann.</w:t>
      </w:r>
      <w:r>
        <w:rPr>
          <w:rFonts w:ascii="Arial" w:eastAsia="Arial" w:hAnsi="Arial" w:cs="Arial"/>
          <w:color w:val="000000"/>
          <w:sz w:val="20"/>
        </w:rPr>
        <w:t xml:space="preserve"> § 30-20-13(D). In 2009, an Albuquerque Police Officer assigned to a middle school as a School Resource Officer ("SRO") relied on that statute to arrest a thirteen-year-old for skipping class. The main question before us is whether qualified immunity shields that officer from a civil suit arising from the arrest. We find that it does. We also conclude that the plaintiff's other two claims—for municipal liability and violations of the Americans with Disabilities Act ("ADA"), 42 U.S.C. § 12132—have no merit.</w:t>
      </w:r>
    </w:p>
    <w:p w:rsidR="00E456CD" w:rsidRDefault="00000000">
      <w:pPr>
        <w:pStyle w:val="Normal39"/>
        <w:widowControl w:val="0"/>
        <w:spacing w:before="240" w:line="260" w:lineRule="atLeast"/>
      </w:pPr>
      <w:r>
        <w:br/>
      </w:r>
      <w:r>
        <w:rPr>
          <w:rFonts w:ascii="Arial" w:eastAsia="Arial" w:hAnsi="Arial" w:cs="Arial"/>
          <w:b/>
          <w:color w:val="000000"/>
          <w:sz w:val="20"/>
        </w:rPr>
        <w:t>I</w:t>
      </w:r>
    </w:p>
    <w:p w:rsidR="00E456CD" w:rsidRDefault="00000000">
      <w:pPr>
        <w:pStyle w:val="Normal39"/>
        <w:widowControl w:val="0"/>
        <w:spacing w:before="200" w:line="260" w:lineRule="atLeast"/>
        <w:jc w:val="both"/>
      </w:pPr>
      <w:bookmarkStart w:id="5921" w:name="Bookmark_para_4_38"/>
      <w:bookmarkStart w:id="5922" w:name="Bookmark_I5PV58Y22HM6JX0020000400"/>
      <w:bookmarkEnd w:id="5921"/>
      <w:bookmarkEnd w:id="5922"/>
      <w:r>
        <w:rPr>
          <w:rFonts w:ascii="Arial" w:eastAsia="Arial" w:hAnsi="Arial" w:cs="Arial"/>
          <w:color w:val="000000"/>
          <w:sz w:val="20"/>
        </w:rPr>
        <w:t>The relevant events happened in January 2009.</w:t>
      </w:r>
      <w:r>
        <w:rPr>
          <w:rFonts w:ascii="Arial" w:eastAsia="Arial" w:hAnsi="Arial" w:cs="Arial"/>
          <w:vertAlign w:val="superscript"/>
        </w:rPr>
        <w:footnoteReference w:customMarkFollows="1" w:id="261"/>
        <w:t>1</w:t>
      </w:r>
      <w:r>
        <w:rPr>
          <w:rFonts w:ascii="Arial" w:eastAsia="Arial" w:hAnsi="Arial" w:cs="Arial"/>
          <w:color w:val="000000"/>
          <w:sz w:val="20"/>
        </w:rPr>
        <w:t xml:space="preserve"> At the time, Quentin Scott</w:t>
      </w:r>
      <w:r>
        <w:rPr>
          <w:rFonts w:ascii="Arial" w:eastAsia="Arial" w:hAnsi="Arial" w:cs="Arial"/>
          <w:vertAlign w:val="superscript"/>
        </w:rPr>
        <w:footnoteReference w:customMarkFollows="1" w:id="262"/>
        <w:t>2</w:t>
      </w:r>
      <w:r>
        <w:rPr>
          <w:rFonts w:ascii="Arial" w:eastAsia="Arial" w:hAnsi="Arial" w:cs="Arial"/>
          <w:color w:val="000000"/>
          <w:sz w:val="20"/>
        </w:rPr>
        <w:t xml:space="preserve"> was a thirteen-year-old seventh-grader at  [*873]  Grant Middle School in [**2]  Albuquerque, New Mexico. Scott had been diagnosed with bipolar disorder and oppositional defiant disorder. Both affected his behavior and concentration when he was in class.</w:t>
      </w:r>
    </w:p>
    <w:p w:rsidR="00E456CD" w:rsidRDefault="00000000">
      <w:pPr>
        <w:pStyle w:val="Normal39"/>
        <w:widowControl w:val="0"/>
        <w:spacing w:before="200" w:line="260" w:lineRule="atLeast"/>
        <w:jc w:val="both"/>
      </w:pPr>
      <w:bookmarkStart w:id="5927" w:name="Bookmark_para_5_38"/>
      <w:bookmarkEnd w:id="5927"/>
      <w:r>
        <w:rPr>
          <w:rFonts w:ascii="Arial" w:eastAsia="Arial" w:hAnsi="Arial" w:cs="Arial"/>
          <w:color w:val="000000"/>
          <w:sz w:val="20"/>
        </w:rPr>
        <w:t xml:space="preserve">Scott had a "504 plan"—a document acknowledging that a student has special needs—and an Individualized Education Program ("IEP") that detailed how his disabilities might affect him in class. The IEP listed a few accommodations for Scott in the classroom. Specifically, teachers were told to let him choose where he sat, to minimize auditory and visual distractions, and to let him move around the classroom every so often. Scott also had permission to leave the classroom if he was anxious or distracted. </w:t>
      </w:r>
      <w:r>
        <w:rPr>
          <w:rFonts w:ascii="Arial" w:eastAsia="Arial" w:hAnsi="Arial" w:cs="Arial"/>
          <w:i/>
          <w:color w:val="000000"/>
          <w:sz w:val="20"/>
        </w:rPr>
        <w:t>See</w:t>
      </w:r>
      <w:r>
        <w:rPr>
          <w:rFonts w:ascii="Arial" w:eastAsia="Arial" w:hAnsi="Arial" w:cs="Arial"/>
          <w:color w:val="000000"/>
          <w:sz w:val="20"/>
        </w:rPr>
        <w:t xml:space="preserve"> Aplt.'s App. at 217-22 (Individualized Education Program, dated Aug. 11, 2008) (advising teachers to give Scott "[f]requent breaks" and to "encourage [Scott] to . . . get a drink" in the hallway if he felt overwhelmed). Scott said that when he had those feelings, he was usually allowed "to just kind of roam the halls" and to "g[e]t [his] mind off whatever was troubling [him]." </w:t>
      </w:r>
      <w:r>
        <w:rPr>
          <w:rFonts w:ascii="Arial" w:eastAsia="Arial" w:hAnsi="Arial" w:cs="Arial"/>
          <w:i/>
          <w:color w:val="000000"/>
          <w:sz w:val="20"/>
        </w:rPr>
        <w:t>Id.</w:t>
      </w:r>
      <w:r>
        <w:rPr>
          <w:rFonts w:ascii="Arial" w:eastAsia="Arial" w:hAnsi="Arial" w:cs="Arial"/>
          <w:color w:val="000000"/>
          <w:sz w:val="20"/>
        </w:rPr>
        <w:t xml:space="preserve"> at 84 (Dep. of Quentin Scott, dated June 8, 2015).</w:t>
      </w:r>
    </w:p>
    <w:p w:rsidR="00E456CD" w:rsidRDefault="00000000">
      <w:pPr>
        <w:pStyle w:val="Normal39"/>
        <w:widowControl w:val="0"/>
        <w:spacing w:before="200" w:line="260" w:lineRule="atLeast"/>
        <w:jc w:val="both"/>
      </w:pPr>
      <w:bookmarkStart w:id="5928" w:name="Bookmark_para_6_38"/>
      <w:bookmarkEnd w:id="5928"/>
      <w:r>
        <w:rPr>
          <w:rFonts w:ascii="Arial" w:eastAsia="Arial" w:hAnsi="Arial" w:cs="Arial"/>
          <w:color w:val="000000"/>
          <w:sz w:val="20"/>
        </w:rPr>
        <w:t xml:space="preserve">Scott usually went to the janitor's office during these breaks. </w:t>
      </w:r>
      <w:r>
        <w:rPr>
          <w:rFonts w:ascii="Arial" w:eastAsia="Arial" w:hAnsi="Arial" w:cs="Arial"/>
          <w:i/>
          <w:color w:val="000000"/>
          <w:sz w:val="20"/>
        </w:rPr>
        <w:t>Id.</w:t>
      </w:r>
      <w:r>
        <w:rPr>
          <w:rFonts w:ascii="Arial" w:eastAsia="Arial" w:hAnsi="Arial" w:cs="Arial"/>
          <w:color w:val="000000"/>
          <w:sz w:val="20"/>
        </w:rPr>
        <w:t xml:space="preserve"> He later testified that the office "was just kind of [**3]  [his] safe haven" and felt that the janitors seemed "very understanding with [him]." </w:t>
      </w:r>
      <w:r>
        <w:rPr>
          <w:rFonts w:ascii="Arial" w:eastAsia="Arial" w:hAnsi="Arial" w:cs="Arial"/>
          <w:i/>
          <w:color w:val="000000"/>
          <w:sz w:val="20"/>
        </w:rPr>
        <w:t>Id.</w:t>
      </w:r>
      <w:r>
        <w:rPr>
          <w:rFonts w:ascii="Arial" w:eastAsia="Arial" w:hAnsi="Arial" w:cs="Arial"/>
          <w:color w:val="000000"/>
          <w:sz w:val="20"/>
        </w:rPr>
        <w:t xml:space="preserve"> at 84, 86. Most of the time, he helped them sweep or mop the floors. If they were on a break when he arrived, Scott would sit down, read a magazine, and eat sunflower seeds with them. That is what he did on the morning of January 16, 2009.</w:t>
      </w:r>
    </w:p>
    <w:p w:rsidR="00E456CD" w:rsidRDefault="00000000">
      <w:pPr>
        <w:pStyle w:val="Normal39"/>
        <w:widowControl w:val="0"/>
        <w:spacing w:before="200" w:line="260" w:lineRule="atLeast"/>
        <w:jc w:val="both"/>
      </w:pPr>
      <w:bookmarkStart w:id="5929" w:name="Bookmark_para_7_37"/>
      <w:bookmarkEnd w:id="5929"/>
      <w:r>
        <w:rPr>
          <w:rFonts w:ascii="Arial" w:eastAsia="Arial" w:hAnsi="Arial" w:cs="Arial"/>
          <w:color w:val="000000"/>
          <w:sz w:val="20"/>
        </w:rPr>
        <w:t xml:space="preserve">After getting frustrated in typing class, Scott told his teacher that he was taking a break. He left the classroom and sat down at a desk that his teacher had put in the hallway. He tried returning to class a few minutes later, but the lesson was too far ahead by that point, and he "was already at the point of just being done." </w:t>
      </w:r>
      <w:r>
        <w:rPr>
          <w:rFonts w:ascii="Arial" w:eastAsia="Arial" w:hAnsi="Arial" w:cs="Arial"/>
          <w:i/>
          <w:color w:val="000000"/>
          <w:sz w:val="20"/>
        </w:rPr>
        <w:t>Id.</w:t>
      </w:r>
      <w:r>
        <w:rPr>
          <w:rFonts w:ascii="Arial" w:eastAsia="Arial" w:hAnsi="Arial" w:cs="Arial"/>
          <w:color w:val="000000"/>
          <w:sz w:val="20"/>
        </w:rPr>
        <w:t xml:space="preserve"> at 201. He signaled to the teacher that he was going for a walk, then headed down the hall to the janitor's office. </w:t>
      </w:r>
      <w:r>
        <w:rPr>
          <w:rFonts w:ascii="Arial" w:eastAsia="Arial" w:hAnsi="Arial" w:cs="Arial"/>
          <w:i/>
          <w:color w:val="000000"/>
          <w:sz w:val="20"/>
        </w:rPr>
        <w:t>See</w:t>
      </w:r>
      <w:r>
        <w:rPr>
          <w:rFonts w:ascii="Arial" w:eastAsia="Arial" w:hAnsi="Arial" w:cs="Arial"/>
          <w:color w:val="000000"/>
          <w:sz w:val="20"/>
        </w:rPr>
        <w:t xml:space="preserve"> Aplt.'s App. at 201, 209 (Test. of Charlotte Scott) (commenting that Scott was permitted to give "a nonverbal signal" to a teacher whenever he needed a break).</w:t>
      </w:r>
    </w:p>
    <w:p w:rsidR="00E456CD" w:rsidRDefault="00000000">
      <w:pPr>
        <w:pStyle w:val="Normal39"/>
        <w:widowControl w:val="0"/>
        <w:spacing w:before="200" w:line="260" w:lineRule="atLeast"/>
        <w:jc w:val="both"/>
      </w:pPr>
      <w:bookmarkStart w:id="5930" w:name="Bookmark_para_8_37"/>
      <w:bookmarkEnd w:id="5930"/>
      <w:r>
        <w:rPr>
          <w:rFonts w:ascii="Arial" w:eastAsia="Arial" w:hAnsi="Arial" w:cs="Arial"/>
          <w:color w:val="000000"/>
          <w:sz w:val="20"/>
        </w:rPr>
        <w:t>Scott was walking in the school hallway when Lupe Griego, the front desk secretary, noticed that he was out of class. Ms. Griego said something to Scott.</w:t>
      </w:r>
      <w:r>
        <w:rPr>
          <w:rFonts w:ascii="Arial" w:eastAsia="Arial" w:hAnsi="Arial" w:cs="Arial"/>
          <w:vertAlign w:val="superscript"/>
        </w:rPr>
        <w:footnoteReference w:customMarkFollows="1" w:id="263"/>
        <w:t>3</w:t>
      </w:r>
      <w:r>
        <w:rPr>
          <w:rFonts w:ascii="Arial" w:eastAsia="Arial" w:hAnsi="Arial" w:cs="Arial"/>
          <w:color w:val="000000"/>
          <w:sz w:val="20"/>
        </w:rPr>
        <w:t xml:space="preserve"> Scott did not hear her, so he continued walking to the janitor's office. Officer Damon Hensley, the SRO for Grant Middle School, heard Ms. Griego call out [**4]  Scott's name. Officer Hensley later testified that, two days before the arrest, Scott had come into school "really late." </w:t>
      </w:r>
      <w:r>
        <w:rPr>
          <w:rFonts w:ascii="Arial" w:eastAsia="Arial" w:hAnsi="Arial" w:cs="Arial"/>
          <w:i/>
          <w:color w:val="000000"/>
          <w:sz w:val="20"/>
        </w:rPr>
        <w:t>Id.</w:t>
      </w:r>
      <w:r>
        <w:rPr>
          <w:rFonts w:ascii="Arial" w:eastAsia="Arial" w:hAnsi="Arial" w:cs="Arial"/>
          <w:color w:val="000000"/>
          <w:sz w:val="20"/>
        </w:rPr>
        <w:t xml:space="preserve"> at 70. That instance of tardiness, along with the fact that Scott had run away from school once before, led Officer Hensley to think that Scott might be skipping class again. Officer Hensley asked Nancy Wiggins, Scott's teacher, whether Scott had permission to be in the hallway; Ms. Wiggins told Officer Hensley that she thought that Scott was skipping class.</w:t>
      </w:r>
    </w:p>
    <w:p w:rsidR="00E456CD" w:rsidRDefault="00000000">
      <w:pPr>
        <w:pStyle w:val="Normal39"/>
        <w:widowControl w:val="0"/>
        <w:spacing w:before="200" w:line="260" w:lineRule="atLeast"/>
        <w:jc w:val="both"/>
      </w:pPr>
      <w:bookmarkStart w:id="5935" w:name="Bookmark_para_9_37"/>
      <w:bookmarkEnd w:id="5935"/>
      <w:r>
        <w:rPr>
          <w:rFonts w:ascii="Arial" w:eastAsia="Arial" w:hAnsi="Arial" w:cs="Arial"/>
          <w:color w:val="000000"/>
          <w:sz w:val="20"/>
        </w:rPr>
        <w:t xml:space="preserve">Officer Hensley looked down the hallway towards the janitor's office. He saw Scott standing "like he was halfway in the door and halfway out the door." Aplt.'s App. at 72. He walked to the office and asked Scott  [*874]  if he had permission to be there; Scott told Officer Hensley that he did. But Ms. Wiggins, who was standing next to Officer Hensley, disagreed, telling Officer Hensley that Scott was "not supposed to be" out of class. </w:t>
      </w:r>
      <w:r>
        <w:rPr>
          <w:rFonts w:ascii="Arial" w:eastAsia="Arial" w:hAnsi="Arial" w:cs="Arial"/>
          <w:i/>
          <w:color w:val="000000"/>
          <w:sz w:val="20"/>
        </w:rPr>
        <w:t>Id.</w:t>
      </w:r>
    </w:p>
    <w:p w:rsidR="00E456CD" w:rsidRDefault="00000000">
      <w:pPr>
        <w:pStyle w:val="Normal39"/>
        <w:widowControl w:val="0"/>
        <w:spacing w:before="200" w:line="260" w:lineRule="atLeast"/>
        <w:jc w:val="both"/>
      </w:pPr>
      <w:bookmarkStart w:id="5936" w:name="Bookmark_para_10_35"/>
      <w:bookmarkEnd w:id="5936"/>
      <w:r>
        <w:rPr>
          <w:rFonts w:ascii="Arial" w:eastAsia="Arial" w:hAnsi="Arial" w:cs="Arial"/>
          <w:color w:val="000000"/>
          <w:sz w:val="20"/>
        </w:rPr>
        <w:t xml:space="preserve">Officer Hensley "grabbed [Scott's] arm," "stood [him] up," and put him in handcuffs. </w:t>
      </w:r>
      <w:r>
        <w:rPr>
          <w:rFonts w:ascii="Arial" w:eastAsia="Arial" w:hAnsi="Arial" w:cs="Arial"/>
          <w:i/>
          <w:color w:val="000000"/>
          <w:sz w:val="20"/>
        </w:rPr>
        <w:t>Id.</w:t>
      </w:r>
      <w:r>
        <w:rPr>
          <w:rFonts w:ascii="Arial" w:eastAsia="Arial" w:hAnsi="Arial" w:cs="Arial"/>
          <w:color w:val="000000"/>
          <w:sz w:val="20"/>
        </w:rPr>
        <w:t xml:space="preserve"> at 203. He took Scott out of the office, walking behind Scott and holding the links that connected the two cuffs. As they walked through the hallway, Scott stopped abruptly a few times because he was "pissed" by Officer Hensley's [**5]  physical contact with his person and the physical force he was applying; more specifically, Scott "didn't want to be touched." </w:t>
      </w:r>
      <w:r>
        <w:rPr>
          <w:rFonts w:ascii="Arial" w:eastAsia="Arial" w:hAnsi="Arial" w:cs="Arial"/>
          <w:i/>
          <w:color w:val="000000"/>
          <w:sz w:val="20"/>
        </w:rPr>
        <w:t>Id.</w:t>
      </w:r>
      <w:r>
        <w:rPr>
          <w:rFonts w:ascii="Arial" w:eastAsia="Arial" w:hAnsi="Arial" w:cs="Arial"/>
          <w:color w:val="000000"/>
          <w:sz w:val="20"/>
        </w:rPr>
        <w:t xml:space="preserve"> at 202. When Scott stopped, Officer Hensley would "wrench[]" the links to force Scott forward. </w:t>
      </w:r>
      <w:r>
        <w:rPr>
          <w:rFonts w:ascii="Arial" w:eastAsia="Arial" w:hAnsi="Arial" w:cs="Arial"/>
          <w:i/>
          <w:color w:val="000000"/>
          <w:sz w:val="20"/>
        </w:rPr>
        <w:t>Id.</w:t>
      </w:r>
    </w:p>
    <w:p w:rsidR="00E456CD" w:rsidRDefault="00000000">
      <w:pPr>
        <w:pStyle w:val="Normal39"/>
        <w:widowControl w:val="0"/>
        <w:spacing w:before="200" w:line="260" w:lineRule="atLeast"/>
        <w:jc w:val="both"/>
      </w:pPr>
      <w:bookmarkStart w:id="5937" w:name="Bookmark_para_11_34"/>
      <w:bookmarkEnd w:id="5937"/>
      <w:r>
        <w:rPr>
          <w:rFonts w:ascii="Arial" w:eastAsia="Arial" w:hAnsi="Arial" w:cs="Arial"/>
          <w:color w:val="000000"/>
          <w:sz w:val="20"/>
        </w:rPr>
        <w:t xml:space="preserve">They were in the hallway when the class bell rang. Crowds of students rushed out of nearby classrooms. Scott, still handcuffed, was suddenly surrounded by his peers and classmates. Officer Hensley continued to walk behind Scott and shove him forward by the handcuffs. Scott felt that this was deliberate. It seemed as though Officer Hensley "wanted other kids to see [him] being dragged around" and to "set it in [Scott's] head that [he] was a piece of shit." </w:t>
      </w:r>
      <w:r>
        <w:rPr>
          <w:rFonts w:ascii="Arial" w:eastAsia="Arial" w:hAnsi="Arial" w:cs="Arial"/>
          <w:i/>
          <w:color w:val="000000"/>
          <w:sz w:val="20"/>
        </w:rPr>
        <w:t>Id.</w:t>
      </w:r>
      <w:r>
        <w:rPr>
          <w:rFonts w:ascii="Arial" w:eastAsia="Arial" w:hAnsi="Arial" w:cs="Arial"/>
          <w:color w:val="000000"/>
          <w:sz w:val="20"/>
        </w:rPr>
        <w:t xml:space="preserve"> at 198.</w:t>
      </w:r>
    </w:p>
    <w:p w:rsidR="00E456CD" w:rsidRDefault="00000000">
      <w:pPr>
        <w:pStyle w:val="Normal39"/>
        <w:widowControl w:val="0"/>
        <w:spacing w:before="200" w:line="260" w:lineRule="atLeast"/>
        <w:jc w:val="both"/>
      </w:pPr>
      <w:bookmarkStart w:id="5938" w:name="Bookmark_para_12_33"/>
      <w:bookmarkEnd w:id="5938"/>
      <w:r>
        <w:rPr>
          <w:rFonts w:ascii="Arial" w:eastAsia="Arial" w:hAnsi="Arial" w:cs="Arial"/>
          <w:color w:val="000000"/>
          <w:sz w:val="20"/>
        </w:rPr>
        <w:t>They reached Officer Hensley's office a few minutes later. He ordered Scott to sit. According to Scott's testimony, Officer Hensley began "interrogating" and mocking Scott, who had started crying out of fear. After about twenty minutes, Ms. Wiggins and two other school administrators came into Officer Hensley's office to meet with Scott.</w:t>
      </w:r>
    </w:p>
    <w:p w:rsidR="00E456CD" w:rsidRDefault="00000000">
      <w:pPr>
        <w:pStyle w:val="Normal39"/>
        <w:widowControl w:val="0"/>
        <w:spacing w:before="200" w:line="260" w:lineRule="atLeast"/>
        <w:jc w:val="both"/>
      </w:pPr>
      <w:bookmarkStart w:id="5939" w:name="Bookmark_para_13_31"/>
      <w:bookmarkEnd w:id="5939"/>
      <w:r>
        <w:rPr>
          <w:rFonts w:ascii="Arial" w:eastAsia="Arial" w:hAnsi="Arial" w:cs="Arial"/>
          <w:color w:val="000000"/>
          <w:sz w:val="20"/>
        </w:rPr>
        <w:t>That meeting lasted for about an hour. Scott was handcuffed the entire time. Scott repeatedly complained to the administrators during the meeting about the pain that he was experiencing [**6]  because of the handcuffs. Eventually, they noticed that Scott was in so much pain that he could not lift his arms to wipe away his tears, so Ms. Wiggins managed to loosen the handcuffs. Still, even after the cuffs were loosened, Scott felt pain in his arms and wrists. According to his testimony, his wrists "were bruised and swollen" for "at least a week afterwards."</w:t>
      </w:r>
      <w:r>
        <w:rPr>
          <w:rFonts w:ascii="Arial" w:eastAsia="Arial" w:hAnsi="Arial" w:cs="Arial"/>
          <w:vertAlign w:val="superscript"/>
        </w:rPr>
        <w:footnoteReference w:customMarkFollows="1" w:id="264"/>
        <w:t>4</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at 204.</w:t>
      </w:r>
    </w:p>
    <w:p w:rsidR="00E456CD" w:rsidRDefault="00000000">
      <w:pPr>
        <w:pStyle w:val="Normal39"/>
        <w:widowControl w:val="0"/>
        <w:spacing w:before="200" w:line="260" w:lineRule="atLeast"/>
        <w:jc w:val="both"/>
      </w:pPr>
      <w:bookmarkStart w:id="5941" w:name="Bookmark_para_14_30"/>
      <w:bookmarkEnd w:id="5941"/>
      <w:r>
        <w:rPr>
          <w:rFonts w:ascii="Arial" w:eastAsia="Arial" w:hAnsi="Arial" w:cs="Arial"/>
          <w:color w:val="000000"/>
          <w:sz w:val="20"/>
        </w:rPr>
        <w:t xml:space="preserve">The meeting ended. Officer Hensley then took Scott—still in handcuffs—to the Juvenile Detention Center in Albuquerque ("JDC"). </w:t>
      </w:r>
      <w:r>
        <w:rPr>
          <w:rFonts w:ascii="Arial" w:eastAsia="Arial" w:hAnsi="Arial" w:cs="Arial"/>
          <w:i/>
          <w:color w:val="000000"/>
          <w:sz w:val="20"/>
        </w:rPr>
        <w:t>Id.</w:t>
      </w:r>
      <w:r>
        <w:rPr>
          <w:rFonts w:ascii="Arial" w:eastAsia="Arial" w:hAnsi="Arial" w:cs="Arial"/>
          <w:color w:val="000000"/>
          <w:sz w:val="20"/>
        </w:rPr>
        <w:t xml:space="preserve"> at 69, 225 (Officer Hensley testifying that, pursuant to department policy, he "[p]robably" always handcuffs children when taking them to the Juvenile Detention Center). There, Scott was booked and charged with violating New Mexico Statute section 30-20-13(D), which provides that "[n]o person shall willfully interfere with the educational process of any public or private school by" doing anything that "would . . . interfere with or obstruct the lawful mission, processes, procedures or functions of a public or private school." N.M. </w:t>
      </w:r>
      <w:r>
        <w:rPr>
          <w:rFonts w:ascii="Arial" w:eastAsia="Arial" w:hAnsi="Arial" w:cs="Arial"/>
          <w:smallCaps/>
          <w:color w:val="000000"/>
          <w:sz w:val="20"/>
        </w:rPr>
        <w:t>Stat. Ann.</w:t>
      </w:r>
      <w:r>
        <w:rPr>
          <w:rFonts w:ascii="Arial" w:eastAsia="Arial" w:hAnsi="Arial" w:cs="Arial"/>
          <w:color w:val="000000"/>
          <w:sz w:val="20"/>
        </w:rPr>
        <w:t xml:space="preserve"> § 30-20-13(D).</w:t>
      </w:r>
    </w:p>
    <w:p w:rsidR="00E456CD" w:rsidRDefault="00000000">
      <w:pPr>
        <w:pStyle w:val="Normal39"/>
        <w:widowControl w:val="0"/>
        <w:spacing w:before="200" w:line="260" w:lineRule="atLeast"/>
        <w:jc w:val="both"/>
      </w:pPr>
      <w:bookmarkStart w:id="5942" w:name="Bookmark_para_15_30"/>
      <w:bookmarkEnd w:id="5942"/>
      <w:r>
        <w:rPr>
          <w:rFonts w:ascii="Arial" w:eastAsia="Arial" w:hAnsi="Arial" w:cs="Arial"/>
          <w:color w:val="000000"/>
          <w:sz w:val="20"/>
        </w:rPr>
        <w:t>Scott filed a lawsuit against Officer Hensley, Chief of Police Ray Schultz, and the City of Albuquerque ("City"). In his complaint, Scott brought claims under 42 U.S.C. § 1983: specifically, invoking the Fourth Amendment, Scott alleged that his arrest was unlawful [**7]  and that Officer Hensley used unconstitutionally excessive force in effecting the arrest. The complaint also alleged that the arrest violated the ADA,  [*875]  42 U.S.C. § 12132, and included a municipal-liability claim against the City.</w:t>
      </w:r>
      <w:r>
        <w:rPr>
          <w:rFonts w:ascii="Arial" w:eastAsia="Arial" w:hAnsi="Arial" w:cs="Arial"/>
          <w:vertAlign w:val="superscript"/>
        </w:rPr>
        <w:footnoteReference w:customMarkFollows="1" w:id="265"/>
        <w:t>5</w:t>
      </w:r>
    </w:p>
    <w:p w:rsidR="00E456CD" w:rsidRDefault="00000000">
      <w:pPr>
        <w:pStyle w:val="Normal39"/>
        <w:widowControl w:val="0"/>
        <w:spacing w:before="200" w:line="260" w:lineRule="atLeast"/>
        <w:jc w:val="both"/>
      </w:pPr>
      <w:bookmarkStart w:id="5944" w:name="Bookmark_para_16_29"/>
      <w:bookmarkEnd w:id="5944"/>
      <w:r>
        <w:rPr>
          <w:rFonts w:ascii="Arial" w:eastAsia="Arial" w:hAnsi="Arial" w:cs="Arial"/>
          <w:color w:val="000000"/>
          <w:sz w:val="20"/>
        </w:rPr>
        <w:t>Scott moved for partial summary judgment on his Fourth Amendment claims. The defendants then moved for summary judgment on all of Scott's claims. The district court denied Scott's motion and granted the defendants' motion.</w:t>
      </w:r>
    </w:p>
    <w:p w:rsidR="00E456CD" w:rsidRDefault="00000000">
      <w:pPr>
        <w:pStyle w:val="Normal39"/>
        <w:widowControl w:val="0"/>
        <w:spacing w:before="240" w:line="260" w:lineRule="atLeast"/>
      </w:pPr>
      <w:r>
        <w:br/>
      </w:r>
      <w:r>
        <w:rPr>
          <w:rFonts w:ascii="Arial" w:eastAsia="Arial" w:hAnsi="Arial" w:cs="Arial"/>
          <w:b/>
          <w:color w:val="000000"/>
          <w:sz w:val="20"/>
        </w:rPr>
        <w:t>II</w:t>
      </w:r>
    </w:p>
    <w:p w:rsidR="00E456CD" w:rsidRDefault="00000000">
      <w:pPr>
        <w:pStyle w:val="Normal39"/>
        <w:widowControl w:val="0"/>
        <w:spacing w:before="200" w:line="260" w:lineRule="atLeast"/>
        <w:jc w:val="both"/>
      </w:pPr>
      <w:bookmarkStart w:id="5945" w:name="Bookmark_para_17_28"/>
      <w:bookmarkEnd w:id="5945"/>
      <w:r>
        <w:rPr>
          <w:rFonts w:ascii="Arial" w:eastAsia="Arial" w:hAnsi="Arial" w:cs="Arial"/>
          <w:color w:val="000000"/>
          <w:sz w:val="20"/>
        </w:rPr>
        <w:t>In its order, the district court found that Officer Hensley was entitled to qualified immunity on Scott's Fourth Amendment unlawful-arrest and excessive-force claims. Scott argues that the court erred in reaching that conclusion.</w:t>
      </w:r>
    </w:p>
    <w:p w:rsidR="00E456CD" w:rsidRDefault="00000000">
      <w:pPr>
        <w:pStyle w:val="Normal39"/>
        <w:widowControl w:val="0"/>
        <w:spacing w:before="200" w:line="260" w:lineRule="atLeast"/>
        <w:jc w:val="both"/>
      </w:pPr>
      <w:bookmarkStart w:id="5946" w:name="Bookmark_para_18_27"/>
      <w:bookmarkStart w:id="5947" w:name="Bookmark_I5PV58Y22HM6JY0050000400"/>
      <w:bookmarkStart w:id="5948" w:name="Bookmark_LNHNREFclscc1_32"/>
      <w:bookmarkEnd w:id="5946"/>
      <w:bookmarkEnd w:id="5947"/>
      <w:bookmarkEnd w:id="5948"/>
      <w:r>
        <w:rPr>
          <w:rFonts w:ascii="Arial" w:eastAsia="Arial" w:hAnsi="Arial" w:cs="Arial"/>
          <w:color w:val="000000"/>
          <w:sz w:val="20"/>
        </w:rPr>
        <w:t xml:space="preserve">We review de novo the district court's grant of summary judgment. </w:t>
      </w:r>
      <w:r>
        <w:rPr>
          <w:rFonts w:ascii="Arial" w:eastAsia="Arial" w:hAnsi="Arial" w:cs="Arial"/>
          <w:i/>
          <w:color w:val="000000"/>
          <w:sz w:val="20"/>
        </w:rPr>
        <w:t xml:space="preserve">See </w:t>
      </w:r>
      <w:bookmarkStart w:id="5949" w:name="Bookmark_I5PV58Y22HM6JY0040000400"/>
      <w:bookmarkEnd w:id="5949"/>
      <w:r>
        <w:rPr>
          <w:rFonts w:ascii="Arial" w:eastAsia="Arial" w:hAnsi="Arial" w:cs="Arial"/>
          <w:i/>
          <w:color w:val="000000"/>
          <w:sz w:val="20"/>
        </w:rPr>
        <w:t>Water Pik, Inc. v. Med-Sys., Inc.</w:t>
      </w:r>
      <w:r>
        <w:rPr>
          <w:rFonts w:ascii="Arial" w:eastAsia="Arial" w:hAnsi="Arial" w:cs="Arial"/>
          <w:color w:val="000000"/>
          <w:sz w:val="20"/>
        </w:rPr>
        <w:t xml:space="preserve">, 726 F.3d 1136, 1143 (10th Cir. 2013). </w:t>
      </w:r>
      <w:bookmarkStart w:id="5950" w:name="Bookmark_I5PV58Y22D6NV30020000400"/>
      <w:bookmarkStart w:id="5951" w:name="Bookmark_LNHNREFclscc2_32"/>
      <w:bookmarkEnd w:id="5950"/>
      <w:bookmarkEnd w:id="5951"/>
      <w:r>
        <w:rPr>
          <w:rFonts w:ascii="Arial" w:eastAsia="Arial" w:hAnsi="Arial" w:cs="Arial"/>
          <w:color w:val="000000"/>
          <w:sz w:val="20"/>
        </w:rPr>
        <w:t xml:space="preserve">Summary judgment is appropriate when there is no genuine dispute of material fact and the movant is entitled to judgment as a matter of law. </w:t>
      </w:r>
      <w:r>
        <w:rPr>
          <w:rFonts w:ascii="Arial" w:eastAsia="Arial" w:hAnsi="Arial" w:cs="Arial"/>
          <w:smallCaps/>
          <w:color w:val="000000"/>
          <w:sz w:val="20"/>
        </w:rPr>
        <w:t>Fed. R. Civ. P.</w:t>
      </w:r>
      <w:r>
        <w:rPr>
          <w:rFonts w:ascii="Arial" w:eastAsia="Arial" w:hAnsi="Arial" w:cs="Arial"/>
          <w:color w:val="000000"/>
          <w:sz w:val="20"/>
        </w:rPr>
        <w:t xml:space="preserve"> 56(a).</w:t>
      </w:r>
      <w:bookmarkStart w:id="5952" w:name="Bookmark_LNHNREFclscc3_30"/>
      <w:bookmarkEnd w:id="5952"/>
      <w:r>
        <w:rPr>
          <w:rFonts w:ascii="Arial" w:eastAsia="Arial" w:hAnsi="Arial" w:cs="Arial"/>
          <w:color w:val="000000"/>
          <w:sz w:val="20"/>
        </w:rPr>
        <w:t xml:space="preserve"> </w:t>
      </w:r>
      <w:bookmarkStart w:id="5953" w:name="Bookmark_I5PV58Y22D6NV30020000400_2"/>
      <w:bookmarkEnd w:id="5953"/>
      <w:r>
        <w:rPr>
          <w:rFonts w:ascii="Arial" w:eastAsia="Arial" w:hAnsi="Arial" w:cs="Arial"/>
          <w:color w:val="000000"/>
          <w:sz w:val="20"/>
        </w:rPr>
        <w:t xml:space="preserve">We view the facts in the light most favorable to the nonmovant and draw all reasonable inferences in its favor. </w:t>
      </w:r>
      <w:r>
        <w:rPr>
          <w:rFonts w:ascii="Arial" w:eastAsia="Arial" w:hAnsi="Arial" w:cs="Arial"/>
          <w:i/>
          <w:color w:val="000000"/>
          <w:sz w:val="20"/>
        </w:rPr>
        <w:t xml:space="preserve">See, e.g., </w:t>
      </w:r>
      <w:bookmarkStart w:id="5954" w:name="Bookmark_I5PV58Y22D6NV30010000400"/>
      <w:bookmarkEnd w:id="5954"/>
      <w:r>
        <w:rPr>
          <w:rFonts w:ascii="Arial" w:eastAsia="Arial" w:hAnsi="Arial" w:cs="Arial"/>
          <w:i/>
          <w:color w:val="000000"/>
          <w:sz w:val="20"/>
        </w:rPr>
        <w:t>Talavera ex rel. Gonzalez v. Wiley</w:t>
      </w:r>
      <w:r>
        <w:rPr>
          <w:rFonts w:ascii="Arial" w:eastAsia="Arial" w:hAnsi="Arial" w:cs="Arial"/>
          <w:color w:val="000000"/>
          <w:sz w:val="20"/>
        </w:rPr>
        <w:t>, 725 F.3d 1262, 1267 (10th Cir. 2013).</w:t>
      </w:r>
    </w:p>
    <w:p w:rsidR="00E456CD" w:rsidRDefault="00000000">
      <w:pPr>
        <w:pStyle w:val="Normal39"/>
        <w:widowControl w:val="0"/>
        <w:spacing w:before="200" w:line="260" w:lineRule="atLeast"/>
        <w:jc w:val="both"/>
      </w:pPr>
      <w:bookmarkStart w:id="5955" w:name="Bookmark_para_19_26"/>
      <w:bookmarkStart w:id="5956" w:name="Bookmark_I5PV58Y22D6NV30040000400"/>
      <w:bookmarkStart w:id="5957" w:name="Bookmark_LNHNREFclscc4_29"/>
      <w:bookmarkEnd w:id="5955"/>
      <w:bookmarkEnd w:id="5956"/>
      <w:bookmarkEnd w:id="5957"/>
      <w:r>
        <w:rPr>
          <w:rFonts w:ascii="Arial" w:eastAsia="Arial" w:hAnsi="Arial" w:cs="Arial"/>
          <w:color w:val="000000"/>
          <w:sz w:val="20"/>
        </w:rPr>
        <w:t xml:space="preserve">Qualified immunity protects governmental officials from liability for civil damages for conduct that does not violate clearly-established statutory or constitutional rights. </w:t>
      </w:r>
      <w:bookmarkStart w:id="5958" w:name="Bookmark_I5PV58Y22D6NV40010000400"/>
      <w:bookmarkEnd w:id="5958"/>
      <w:r>
        <w:rPr>
          <w:rFonts w:ascii="Arial" w:eastAsia="Arial" w:hAnsi="Arial" w:cs="Arial"/>
          <w:i/>
          <w:color w:val="000000"/>
          <w:sz w:val="20"/>
        </w:rPr>
        <w:t xml:space="preserve">See </w:t>
      </w:r>
      <w:bookmarkStart w:id="5959" w:name="Bookmark_I5PV58Y22D6NV30030000400"/>
      <w:bookmarkEnd w:id="5959"/>
      <w:r>
        <w:rPr>
          <w:rFonts w:ascii="Arial" w:eastAsia="Arial" w:hAnsi="Arial" w:cs="Arial"/>
          <w:i/>
          <w:color w:val="000000"/>
          <w:sz w:val="20"/>
        </w:rPr>
        <w:t>Pearson v. Callahan</w:t>
      </w:r>
      <w:r>
        <w:rPr>
          <w:rFonts w:ascii="Arial" w:eastAsia="Arial" w:hAnsi="Arial" w:cs="Arial"/>
          <w:color w:val="000000"/>
          <w:sz w:val="20"/>
        </w:rPr>
        <w:t xml:space="preserve">, 555 U.S. 223, 231, 129 S. Ct. 808, 172 L. Ed. 2d 565 (2015) (per curiam). We review qualified-immunity summary-judgment [**8]  decisions differently from other summary-judgment decisions. </w:t>
      </w:r>
      <w:bookmarkStart w:id="5960" w:name="Bookmark_I5PV58Y22D6NV40010000400_2"/>
      <w:bookmarkStart w:id="5961" w:name="Bookmark_I3WXY41WSJT00079WNY003ST"/>
      <w:bookmarkStart w:id="5962" w:name="Bookmark_I5PV58Y22D6NV40030000400"/>
      <w:bookmarkEnd w:id="5960"/>
      <w:bookmarkEnd w:id="5961"/>
      <w:bookmarkEnd w:id="5962"/>
      <w:r>
        <w:rPr>
          <w:rFonts w:ascii="Arial" w:eastAsia="Arial" w:hAnsi="Arial" w:cs="Arial"/>
          <w:i/>
          <w:color w:val="000000"/>
          <w:sz w:val="20"/>
        </w:rPr>
        <w:t xml:space="preserve">See </w:t>
      </w:r>
      <w:bookmarkStart w:id="5963" w:name="Bookmark_I5PV58Y22D6NV30050000400"/>
      <w:bookmarkEnd w:id="5963"/>
      <w:r>
        <w:rPr>
          <w:rFonts w:ascii="Arial" w:eastAsia="Arial" w:hAnsi="Arial" w:cs="Arial"/>
          <w:i/>
          <w:color w:val="000000"/>
          <w:sz w:val="20"/>
        </w:rPr>
        <w:t>Cortez v. McCauley</w:t>
      </w:r>
      <w:r>
        <w:rPr>
          <w:rFonts w:ascii="Arial" w:eastAsia="Arial" w:hAnsi="Arial" w:cs="Arial"/>
          <w:color w:val="000000"/>
          <w:sz w:val="20"/>
        </w:rPr>
        <w:t xml:space="preserve">, 478 F.3d 1108, 1114 (10th Cir. 2007) (en banc). </w:t>
      </w:r>
      <w:bookmarkStart w:id="5964" w:name="Bookmark_I5PV58Y22D6NV40030000400_2"/>
      <w:bookmarkEnd w:id="5964"/>
      <w:r>
        <w:rPr>
          <w:rFonts w:ascii="Arial" w:eastAsia="Arial" w:hAnsi="Arial" w:cs="Arial"/>
          <w:color w:val="000000"/>
          <w:sz w:val="20"/>
        </w:rPr>
        <w:t xml:space="preserve">When a defendant asserts a qualified-immunity defense, the plaintiff must show (1) that the defendant violated a federal constitutional or statutory right, and (2) that the right was clearly established at the time of the challenged conduct. </w:t>
      </w:r>
      <w:bookmarkStart w:id="5965" w:name="Bookmark_I5PV58Y22D6NV40050000400"/>
      <w:bookmarkEnd w:id="5965"/>
      <w:r>
        <w:rPr>
          <w:rFonts w:ascii="Arial" w:eastAsia="Arial" w:hAnsi="Arial" w:cs="Arial"/>
          <w:i/>
          <w:color w:val="000000"/>
          <w:sz w:val="20"/>
        </w:rPr>
        <w:t xml:space="preserve">See </w:t>
      </w:r>
      <w:bookmarkStart w:id="5966" w:name="Bookmark_I5PV58Y22D6NV40020000400"/>
      <w:bookmarkEnd w:id="5966"/>
      <w:r>
        <w:rPr>
          <w:rFonts w:ascii="Arial" w:eastAsia="Arial" w:hAnsi="Arial" w:cs="Arial"/>
          <w:i/>
          <w:color w:val="000000"/>
          <w:sz w:val="20"/>
        </w:rPr>
        <w:t>Quinn v. Young</w:t>
      </w:r>
      <w:r>
        <w:rPr>
          <w:rFonts w:ascii="Arial" w:eastAsia="Arial" w:hAnsi="Arial" w:cs="Arial"/>
          <w:color w:val="000000"/>
          <w:sz w:val="20"/>
        </w:rPr>
        <w:t xml:space="preserve">, 780 F.3d 998, 1004 (10th Cir. 2015). </w:t>
      </w:r>
      <w:bookmarkStart w:id="5967" w:name="Bookmark_I5PV58Y22D6NV40050000400_2"/>
      <w:bookmarkEnd w:id="5967"/>
      <w:r>
        <w:rPr>
          <w:rFonts w:ascii="Arial" w:eastAsia="Arial" w:hAnsi="Arial" w:cs="Arial"/>
          <w:color w:val="000000"/>
          <w:sz w:val="20"/>
        </w:rPr>
        <w:t xml:space="preserve">If a plaintiff fails to establish either prong, the defendant is entitled to qualified immunity. </w:t>
      </w:r>
      <w:r>
        <w:rPr>
          <w:rFonts w:ascii="Arial" w:eastAsia="Arial" w:hAnsi="Arial" w:cs="Arial"/>
          <w:i/>
          <w:color w:val="000000"/>
          <w:sz w:val="20"/>
        </w:rPr>
        <w:t xml:space="preserve">See </w:t>
      </w:r>
      <w:bookmarkStart w:id="5968" w:name="Bookmark_I5PV58Y22D6NV40040000400"/>
      <w:bookmarkEnd w:id="5968"/>
      <w:r>
        <w:rPr>
          <w:rFonts w:ascii="Arial" w:eastAsia="Arial" w:hAnsi="Arial" w:cs="Arial"/>
          <w:i/>
          <w:color w:val="000000"/>
          <w:sz w:val="20"/>
        </w:rPr>
        <w:t>Cox v. Glanz</w:t>
      </w:r>
      <w:r>
        <w:rPr>
          <w:rFonts w:ascii="Arial" w:eastAsia="Arial" w:hAnsi="Arial" w:cs="Arial"/>
          <w:color w:val="000000"/>
          <w:sz w:val="20"/>
        </w:rPr>
        <w:t>, 800 F.3d 1231, 1245 (10th Cir. 2015).</w:t>
      </w:r>
    </w:p>
    <w:p w:rsidR="00E456CD" w:rsidRDefault="00000000">
      <w:pPr>
        <w:pStyle w:val="Normal39"/>
        <w:widowControl w:val="0"/>
        <w:spacing w:before="240" w:line="260" w:lineRule="atLeast"/>
      </w:pPr>
      <w:r>
        <w:br/>
      </w:r>
      <w:r>
        <w:rPr>
          <w:rFonts w:ascii="Arial" w:eastAsia="Arial" w:hAnsi="Arial" w:cs="Arial"/>
          <w:b/>
          <w:color w:val="000000"/>
          <w:sz w:val="20"/>
        </w:rPr>
        <w:t>A</w:t>
      </w:r>
    </w:p>
    <w:p w:rsidR="00E456CD" w:rsidRDefault="00000000">
      <w:pPr>
        <w:pStyle w:val="Normal39"/>
        <w:widowControl w:val="0"/>
        <w:spacing w:before="200" w:line="260" w:lineRule="atLeast"/>
        <w:jc w:val="both"/>
      </w:pPr>
      <w:bookmarkStart w:id="5969" w:name="Bookmark_para_20_25"/>
      <w:bookmarkEnd w:id="5969"/>
      <w:r>
        <w:rPr>
          <w:rFonts w:ascii="Arial" w:eastAsia="Arial" w:hAnsi="Arial" w:cs="Arial"/>
          <w:color w:val="000000"/>
          <w:sz w:val="20"/>
        </w:rPr>
        <w:t>Scott argues that Officer Hensley is not shielded by qualified immunity on the unlawful-arrest claim. Specifically, he contends that (1) the arrest was unconstitutional, since Officer Hensley lacked probable cause; and (2) Officer Hensley should have been on notice that the arrest was unlawful because the Fourth Amendment right that he violated was clearly established at the time. Scott is half right. The arrest was unconstitutional, but Scott's right was not clearly established in January 2009. The district court correctly determined that Officer Hensley is entitled to qualified immunity on this claim.</w:t>
      </w:r>
    </w:p>
    <w:p w:rsidR="00E456CD" w:rsidRDefault="00000000">
      <w:pPr>
        <w:pStyle w:val="Normal39"/>
        <w:widowControl w:val="0"/>
        <w:spacing w:before="240" w:line="260" w:lineRule="atLeast"/>
      </w:pPr>
      <w:r>
        <w:br/>
      </w:r>
      <w:r>
        <w:rPr>
          <w:rFonts w:ascii="Arial" w:eastAsia="Arial" w:hAnsi="Arial" w:cs="Arial"/>
          <w:b/>
          <w:color w:val="000000"/>
          <w:sz w:val="20"/>
        </w:rPr>
        <w:t>1</w:t>
      </w:r>
    </w:p>
    <w:p w:rsidR="00E456CD" w:rsidRDefault="00000000">
      <w:pPr>
        <w:pStyle w:val="Normal39"/>
        <w:widowControl w:val="0"/>
        <w:spacing w:before="200" w:line="260" w:lineRule="atLeast"/>
        <w:jc w:val="both"/>
      </w:pPr>
      <w:bookmarkStart w:id="5970" w:name="Bookmark_para_21_24"/>
      <w:bookmarkStart w:id="5971" w:name="Bookmark_I5PV58Y228T3V70020000400"/>
      <w:bookmarkStart w:id="5972" w:name="Bookmark_LNHNREFclscc5_28"/>
      <w:bookmarkEnd w:id="5970"/>
      <w:bookmarkEnd w:id="5971"/>
      <w:bookmarkEnd w:id="5972"/>
      <w:r>
        <w:rPr>
          <w:rFonts w:ascii="Arial" w:eastAsia="Arial" w:hAnsi="Arial" w:cs="Arial"/>
          <w:color w:val="000000"/>
          <w:sz w:val="20"/>
        </w:rPr>
        <w:t xml:space="preserve">A warrantless arrest violates the Fourth Amendment unless the arresting officer had probable cause to make the arrest. </w:t>
      </w:r>
      <w:r>
        <w:rPr>
          <w:rFonts w:ascii="Arial" w:eastAsia="Arial" w:hAnsi="Arial" w:cs="Arial"/>
          <w:i/>
          <w:color w:val="000000"/>
          <w:sz w:val="20"/>
        </w:rPr>
        <w:t xml:space="preserve">E.g., </w:t>
      </w:r>
      <w:bookmarkStart w:id="5973" w:name="Bookmark_I5PV58Y228T3V70010000400"/>
      <w:bookmarkEnd w:id="5973"/>
      <w:r>
        <w:rPr>
          <w:rFonts w:ascii="Arial" w:eastAsia="Arial" w:hAnsi="Arial" w:cs="Arial"/>
          <w:i/>
          <w:color w:val="000000"/>
          <w:sz w:val="20"/>
        </w:rPr>
        <w:t>Keylon v. City of Albuquerque</w:t>
      </w:r>
      <w:r>
        <w:rPr>
          <w:rFonts w:ascii="Arial" w:eastAsia="Arial" w:hAnsi="Arial" w:cs="Arial"/>
          <w:color w:val="000000"/>
          <w:sz w:val="20"/>
        </w:rPr>
        <w:t xml:space="preserve">, 535 F.3d 1210, 1216 (10th Cir. 2008). An officer has probable cause whenever he knows of reasonably trustworthy [**9]  facts that would lead a prudent person to believe that the arrestee is committing—or has committed—a crime. </w:t>
      </w:r>
      <w:r>
        <w:rPr>
          <w:rFonts w:ascii="Arial" w:eastAsia="Arial" w:hAnsi="Arial" w:cs="Arial"/>
          <w:i/>
          <w:color w:val="000000"/>
          <w:sz w:val="20"/>
        </w:rPr>
        <w:t>Id.</w:t>
      </w:r>
    </w:p>
    <w:p w:rsidR="00E456CD" w:rsidRDefault="00000000">
      <w:pPr>
        <w:pStyle w:val="Normal39"/>
        <w:widowControl w:val="0"/>
        <w:spacing w:before="200" w:line="260" w:lineRule="atLeast"/>
        <w:jc w:val="both"/>
      </w:pPr>
      <w:bookmarkStart w:id="5974" w:name="Bookmark_para_22_23"/>
      <w:bookmarkEnd w:id="5974"/>
      <w:r>
        <w:rPr>
          <w:rFonts w:ascii="Arial" w:eastAsia="Arial" w:hAnsi="Arial" w:cs="Arial"/>
          <w:color w:val="000000"/>
          <w:sz w:val="20"/>
        </w:rPr>
        <w:t xml:space="preserve"> [*876]  More specifically, the question here is whether Officer Hensley had an objectively reasonable belief that Scott had violated section 30-20-13(D). The district court found that he did. It pointed out that "Officer Hensley knew Mr. Scott's absence from health class had involved the time and attention of three school officials" and that it had "disrupt[ed] Ms. Wiggins' preparation for her next class and the class itself." Aplt.'s App. at 314. Based on that information, the court reasoned, "a reasonable officer could have believed that [there was] probable cause" to arrest Scott for violating section 30-20-13(D). </w:t>
      </w:r>
      <w:r>
        <w:rPr>
          <w:rFonts w:ascii="Arial" w:eastAsia="Arial" w:hAnsi="Arial" w:cs="Arial"/>
          <w:i/>
          <w:color w:val="000000"/>
          <w:sz w:val="20"/>
        </w:rPr>
        <w:t>Id.</w:t>
      </w:r>
    </w:p>
    <w:p w:rsidR="00E456CD" w:rsidRDefault="00000000">
      <w:pPr>
        <w:pStyle w:val="Normal39"/>
        <w:widowControl w:val="0"/>
        <w:spacing w:before="200" w:line="260" w:lineRule="atLeast"/>
        <w:jc w:val="both"/>
      </w:pPr>
      <w:bookmarkStart w:id="5975" w:name="Bookmark_para_23_23"/>
      <w:bookmarkStart w:id="5976" w:name="Bookmark_I5PV58Y228T3V70040000400"/>
      <w:bookmarkEnd w:id="5975"/>
      <w:bookmarkEnd w:id="5976"/>
      <w:r>
        <w:rPr>
          <w:rFonts w:ascii="Arial" w:eastAsia="Arial" w:hAnsi="Arial" w:cs="Arial"/>
          <w:color w:val="000000"/>
          <w:sz w:val="20"/>
        </w:rPr>
        <w:t xml:space="preserve">We disagree. Our qualified-immunity inquiry focuses on whether Scott's </w:t>
      </w:r>
      <w:r>
        <w:rPr>
          <w:rFonts w:ascii="Arial" w:eastAsia="Arial" w:hAnsi="Arial" w:cs="Arial"/>
          <w:i/>
          <w:color w:val="000000"/>
          <w:sz w:val="20"/>
        </w:rPr>
        <w:t>federal</w:t>
      </w:r>
      <w:r>
        <w:rPr>
          <w:rFonts w:ascii="Arial" w:eastAsia="Arial" w:hAnsi="Arial" w:cs="Arial"/>
          <w:color w:val="000000"/>
          <w:sz w:val="20"/>
        </w:rPr>
        <w:t xml:space="preserve"> constitutional rights were violated. </w:t>
      </w:r>
      <w:bookmarkStart w:id="5977" w:name="Bookmark_I5PV58Y228T3V80010000400"/>
      <w:bookmarkEnd w:id="5977"/>
      <w:r>
        <w:rPr>
          <w:rFonts w:ascii="Arial" w:eastAsia="Arial" w:hAnsi="Arial" w:cs="Arial"/>
          <w:i/>
          <w:color w:val="000000"/>
          <w:sz w:val="20"/>
        </w:rPr>
        <w:t xml:space="preserve">See., e.g., </w:t>
      </w:r>
      <w:bookmarkStart w:id="5978" w:name="Bookmark_I5PV58Y228T3V70030000400"/>
      <w:bookmarkEnd w:id="5978"/>
      <w:r>
        <w:rPr>
          <w:rFonts w:ascii="Arial" w:eastAsia="Arial" w:hAnsi="Arial" w:cs="Arial"/>
          <w:i/>
          <w:color w:val="000000"/>
          <w:sz w:val="20"/>
        </w:rPr>
        <w:t>Baker v. McCollan</w:t>
      </w:r>
      <w:r>
        <w:rPr>
          <w:rFonts w:ascii="Arial" w:eastAsia="Arial" w:hAnsi="Arial" w:cs="Arial"/>
          <w:color w:val="000000"/>
          <w:sz w:val="20"/>
        </w:rPr>
        <w:t>, 443 U.S. 137, 146, 99 S. Ct. 2689, 61 L. Ed. 2d 433 (1979) (</w:t>
      </w:r>
      <w:bookmarkStart w:id="5979" w:name="Bookmark_LNHNREFclscc6_25"/>
      <w:bookmarkEnd w:id="5979"/>
      <w:r>
        <w:rPr>
          <w:rFonts w:ascii="Arial" w:eastAsia="Arial" w:hAnsi="Arial" w:cs="Arial"/>
          <w:color w:val="000000"/>
          <w:sz w:val="20"/>
        </w:rPr>
        <w:t xml:space="preserve">"Section 1983 imposes liability for violations of rights protected by the Constitution . . . ."). </w:t>
      </w:r>
      <w:bookmarkStart w:id="5980" w:name="Bookmark_I5PV58Y228T3V80010000400_2"/>
      <w:bookmarkEnd w:id="5980"/>
      <w:r>
        <w:rPr>
          <w:rFonts w:ascii="Arial" w:eastAsia="Arial" w:hAnsi="Arial" w:cs="Arial"/>
          <w:color w:val="000000"/>
          <w:sz w:val="20"/>
        </w:rPr>
        <w:t xml:space="preserve">But Scott's unlawful-arrest claim asks us to determine if Officer Hensley had probable cause under a state statute. </w:t>
      </w:r>
      <w:bookmarkStart w:id="5981" w:name="Bookmark_I5PV58Y228T3V80030000400"/>
      <w:bookmarkEnd w:id="5981"/>
      <w:r>
        <w:rPr>
          <w:rFonts w:ascii="Arial" w:eastAsia="Arial" w:hAnsi="Arial" w:cs="Arial"/>
          <w:color w:val="000000"/>
          <w:sz w:val="20"/>
        </w:rPr>
        <w:t xml:space="preserve">So, because this is a case in which the federal constitutional question "depends on the contours of a state's substantive criminal law," we rely on New Mexico state courts' interpretations of that law. </w:t>
      </w:r>
      <w:bookmarkStart w:id="5982" w:name="Bookmark_I5PV58Y228T3V70050000400"/>
      <w:bookmarkEnd w:id="5982"/>
      <w:r>
        <w:rPr>
          <w:rFonts w:ascii="Arial" w:eastAsia="Arial" w:hAnsi="Arial" w:cs="Arial"/>
          <w:i/>
          <w:color w:val="000000"/>
          <w:sz w:val="20"/>
        </w:rPr>
        <w:t>Kaufman v. Higgs</w:t>
      </w:r>
      <w:r>
        <w:rPr>
          <w:rFonts w:ascii="Arial" w:eastAsia="Arial" w:hAnsi="Arial" w:cs="Arial"/>
          <w:color w:val="000000"/>
          <w:sz w:val="20"/>
        </w:rPr>
        <w:t xml:space="preserve">, 697 F.3d 1297, 1300-01 (10th Cir. 2012). </w:t>
      </w:r>
      <w:bookmarkStart w:id="5983" w:name="Bookmark_I5PV58Y228T3V80030000400_2"/>
      <w:bookmarkStart w:id="5984" w:name="Bookmark_I5PV58Y228T3V80050000400"/>
      <w:bookmarkEnd w:id="5983"/>
      <w:bookmarkEnd w:id="5984"/>
      <w:r>
        <w:rPr>
          <w:rFonts w:ascii="Arial" w:eastAsia="Arial" w:hAnsi="Arial" w:cs="Arial"/>
          <w:color w:val="000000"/>
          <w:sz w:val="20"/>
        </w:rPr>
        <w:t xml:space="preserve">The [**10]  New Mexico Supreme Court is the ultimate authority on that question. </w:t>
      </w:r>
      <w:bookmarkStart w:id="5985" w:name="Bookmark_I5PV58Y228T3V80020000400"/>
      <w:bookmarkEnd w:id="5985"/>
      <w:r>
        <w:rPr>
          <w:rFonts w:ascii="Arial" w:eastAsia="Arial" w:hAnsi="Arial" w:cs="Arial"/>
          <w:i/>
          <w:color w:val="000000"/>
          <w:sz w:val="20"/>
        </w:rPr>
        <w:t>Id.</w:t>
      </w:r>
      <w:r>
        <w:rPr>
          <w:rFonts w:ascii="Arial" w:eastAsia="Arial" w:hAnsi="Arial" w:cs="Arial"/>
          <w:color w:val="000000"/>
          <w:sz w:val="20"/>
        </w:rPr>
        <w:t xml:space="preserve"> at 1301. </w:t>
      </w:r>
      <w:bookmarkStart w:id="5986" w:name="Bookmark_I5PV58Y228T3V80050000400_2"/>
      <w:bookmarkStart w:id="5987" w:name="Bookmark_LNHNREFclscc7_25"/>
      <w:bookmarkEnd w:id="5986"/>
      <w:bookmarkEnd w:id="5987"/>
      <w:r>
        <w:rPr>
          <w:rFonts w:ascii="Arial" w:eastAsia="Arial" w:hAnsi="Arial" w:cs="Arial"/>
          <w:color w:val="000000"/>
          <w:sz w:val="20"/>
        </w:rPr>
        <w:t xml:space="preserve">"When a state Supreme Court has not spoken on the question at issue, we assume (without deciding) that a reasonable officer would seek guidance regarding the scope of proper conduct at least in part from any on-point decisions of the state's intermediate court of appeals." </w:t>
      </w:r>
      <w:bookmarkStart w:id="5988" w:name="Bookmark_I5PV58Y228T3V80040000400"/>
      <w:bookmarkEnd w:id="5988"/>
      <w:r>
        <w:rPr>
          <w:rFonts w:ascii="Arial" w:eastAsia="Arial" w:hAnsi="Arial" w:cs="Arial"/>
          <w:i/>
          <w:color w:val="000000"/>
          <w:sz w:val="20"/>
        </w:rPr>
        <w:t>A.M. v. Holmes</w:t>
      </w:r>
      <w:r>
        <w:rPr>
          <w:rFonts w:ascii="Arial" w:eastAsia="Arial" w:hAnsi="Arial" w:cs="Arial"/>
          <w:color w:val="000000"/>
          <w:sz w:val="20"/>
        </w:rPr>
        <w:t xml:space="preserve">, 830 F.3d 1123, 1140-41 (10th Cir. 2016), </w:t>
      </w:r>
      <w:r>
        <w:rPr>
          <w:rFonts w:ascii="Arial" w:eastAsia="Arial" w:hAnsi="Arial" w:cs="Arial"/>
          <w:i/>
          <w:color w:val="000000"/>
          <w:sz w:val="20"/>
        </w:rPr>
        <w:t xml:space="preserve">cert. denied sub nom. </w:t>
      </w:r>
      <w:bookmarkStart w:id="5989" w:name="Bookmark_I5PV58Y22SF8HP0010000400"/>
      <w:bookmarkEnd w:id="5989"/>
      <w:r>
        <w:rPr>
          <w:rFonts w:ascii="Arial" w:eastAsia="Arial" w:hAnsi="Arial" w:cs="Arial"/>
          <w:i/>
          <w:color w:val="000000"/>
          <w:sz w:val="20"/>
        </w:rPr>
        <w:t>A.M. ex rel. F.M. v. Acosta</w:t>
      </w:r>
      <w:r>
        <w:rPr>
          <w:rFonts w:ascii="Arial" w:eastAsia="Arial" w:hAnsi="Arial" w:cs="Arial"/>
          <w:color w:val="000000"/>
          <w:sz w:val="20"/>
        </w:rPr>
        <w:t>, 137 S. Ct. 2151, 198 L. Ed. 2d 221 (2017).</w:t>
      </w:r>
    </w:p>
    <w:p w:rsidR="00E456CD" w:rsidRDefault="00000000">
      <w:pPr>
        <w:pStyle w:val="Normal39"/>
        <w:widowControl w:val="0"/>
        <w:spacing w:before="200" w:line="260" w:lineRule="atLeast"/>
        <w:jc w:val="both"/>
      </w:pPr>
      <w:bookmarkStart w:id="5990" w:name="Bookmark_para_24_21"/>
      <w:bookmarkStart w:id="5991" w:name="Bookmark_LNHNREFclscc8_23"/>
      <w:bookmarkEnd w:id="5990"/>
      <w:bookmarkEnd w:id="5991"/>
      <w:r>
        <w:rPr>
          <w:rFonts w:ascii="Arial" w:eastAsia="Arial" w:hAnsi="Arial" w:cs="Arial"/>
          <w:color w:val="000000"/>
          <w:sz w:val="20"/>
        </w:rPr>
        <w:t>Section 30-20-13(D) prohibits anybody from "</w:t>
      </w:r>
      <w:r>
        <w:rPr>
          <w:rFonts w:ascii="Arial" w:eastAsia="Arial" w:hAnsi="Arial" w:cs="Arial"/>
          <w:i/>
          <w:color w:val="000000"/>
          <w:sz w:val="20"/>
        </w:rPr>
        <w:t>willfully</w:t>
      </w:r>
      <w:r>
        <w:rPr>
          <w:rFonts w:ascii="Arial" w:eastAsia="Arial" w:hAnsi="Arial" w:cs="Arial"/>
          <w:color w:val="000000"/>
          <w:sz w:val="20"/>
        </w:rPr>
        <w:t xml:space="preserve"> interfer[ing] with the educational process." N.M. </w:t>
      </w:r>
      <w:r>
        <w:rPr>
          <w:rFonts w:ascii="Arial" w:eastAsia="Arial" w:hAnsi="Arial" w:cs="Arial"/>
          <w:smallCaps/>
          <w:color w:val="000000"/>
          <w:sz w:val="20"/>
        </w:rPr>
        <w:t>Stat. Ann.</w:t>
      </w:r>
      <w:r>
        <w:rPr>
          <w:rFonts w:ascii="Arial" w:eastAsia="Arial" w:hAnsi="Arial" w:cs="Arial"/>
          <w:color w:val="000000"/>
          <w:sz w:val="20"/>
        </w:rPr>
        <w:t xml:space="preserve"> § 30-20-13(D) (emphasis added). The word "willfully" suggests that a violation occurs only when a person acts with the conscious objective of "interfer[ing] with the educational process." </w:t>
      </w:r>
      <w:r>
        <w:rPr>
          <w:rFonts w:ascii="Arial" w:eastAsia="Arial" w:hAnsi="Arial" w:cs="Arial"/>
          <w:i/>
          <w:color w:val="000000"/>
          <w:sz w:val="20"/>
        </w:rPr>
        <w:t>Id.</w:t>
      </w:r>
      <w:r>
        <w:rPr>
          <w:rFonts w:ascii="Arial" w:eastAsia="Arial" w:hAnsi="Arial" w:cs="Arial"/>
          <w:color w:val="000000"/>
          <w:sz w:val="20"/>
        </w:rPr>
        <w:t xml:space="preserve"> In other words, it is not enough that a person simply "commit[s] an[] act" that "disrupt[s] . . . [the] functions of" a school; to violate section 30-20-13(D), that person must act with the conscious purpose of "interfer[ing] with the educational process." § 30-20-13(D).</w:t>
      </w:r>
    </w:p>
    <w:p w:rsidR="00E456CD" w:rsidRDefault="00000000">
      <w:pPr>
        <w:pStyle w:val="Normal39"/>
        <w:widowControl w:val="0"/>
        <w:spacing w:before="200" w:line="260" w:lineRule="atLeast"/>
        <w:jc w:val="both"/>
      </w:pPr>
      <w:bookmarkStart w:id="5992" w:name="Bookmark_para_25_21"/>
      <w:bookmarkStart w:id="5993" w:name="Bookmark_I5PV58Y22SF8HP0040000400"/>
      <w:bookmarkStart w:id="5994" w:name="Bookmark_I5PV58Y22SF8HR0030000400"/>
      <w:bookmarkEnd w:id="5992"/>
      <w:bookmarkEnd w:id="5993"/>
      <w:bookmarkEnd w:id="5994"/>
      <w:r>
        <w:rPr>
          <w:rFonts w:ascii="Arial" w:eastAsia="Arial" w:hAnsi="Arial" w:cs="Arial"/>
          <w:color w:val="000000"/>
          <w:sz w:val="20"/>
        </w:rPr>
        <w:t xml:space="preserve">New Mexico's courts have adopted this understanding of "willfulness." In </w:t>
      </w:r>
      <w:bookmarkStart w:id="5995" w:name="Bookmark_I5PV58Y22SF8HP0030000400"/>
      <w:bookmarkEnd w:id="5995"/>
      <w:r>
        <w:rPr>
          <w:rFonts w:ascii="Arial" w:eastAsia="Arial" w:hAnsi="Arial" w:cs="Arial"/>
          <w:i/>
          <w:color w:val="000000"/>
          <w:sz w:val="20"/>
        </w:rPr>
        <w:t>Rio Grande Gas Co. v. Gilbert</w:t>
      </w:r>
      <w:r>
        <w:rPr>
          <w:rFonts w:ascii="Arial" w:eastAsia="Arial" w:hAnsi="Arial" w:cs="Arial"/>
          <w:color w:val="000000"/>
          <w:sz w:val="20"/>
        </w:rPr>
        <w:t xml:space="preserve">, 1971- NMSC 113, 83 N.M. 274, 491 P.2d 162 (N.M. 1971), the New Mexico Supreme Court faced the question of whether a party's discovery violations had been "willful." </w:t>
      </w:r>
      <w:bookmarkStart w:id="5996" w:name="Bookmark_I5PV58Y22SF8HP0050000400"/>
      <w:bookmarkEnd w:id="5996"/>
      <w:r>
        <w:rPr>
          <w:rFonts w:ascii="Arial" w:eastAsia="Arial" w:hAnsi="Arial" w:cs="Arial"/>
          <w:i/>
          <w:color w:val="000000"/>
          <w:sz w:val="20"/>
        </w:rPr>
        <w:t>Id.</w:t>
      </w:r>
      <w:r>
        <w:rPr>
          <w:rFonts w:ascii="Arial" w:eastAsia="Arial" w:hAnsi="Arial" w:cs="Arial"/>
          <w:color w:val="000000"/>
          <w:sz w:val="20"/>
        </w:rPr>
        <w:t xml:space="preserve"> at 164. In holding that the violations were, in fact, willful, the court noted that </w:t>
      </w:r>
      <w:bookmarkStart w:id="5997" w:name="Bookmark_LNHNREFclscc9_18"/>
      <w:bookmarkEnd w:id="5997"/>
      <w:r>
        <w:rPr>
          <w:rFonts w:ascii="Arial" w:eastAsia="Arial" w:hAnsi="Arial" w:cs="Arial"/>
          <w:color w:val="000000"/>
          <w:sz w:val="20"/>
        </w:rPr>
        <w:t xml:space="preserve">"a willful violation of a provision of a statute or regulation is any conscious or intentional failure to comply therewith, as [**11]  distinguished from accidental or involuntary noncompliance." </w:t>
      </w:r>
      <w:bookmarkStart w:id="5998" w:name="Bookmark_I5PV58Y22SF8HR0020000400"/>
      <w:bookmarkEnd w:id="5998"/>
      <w:r>
        <w:rPr>
          <w:rFonts w:ascii="Arial" w:eastAsia="Arial" w:hAnsi="Arial" w:cs="Arial"/>
          <w:i/>
          <w:color w:val="000000"/>
          <w:sz w:val="20"/>
        </w:rPr>
        <w:t>Id.</w:t>
      </w:r>
      <w:r>
        <w:rPr>
          <w:rFonts w:ascii="Arial" w:eastAsia="Arial" w:hAnsi="Arial" w:cs="Arial"/>
          <w:color w:val="000000"/>
          <w:sz w:val="20"/>
        </w:rPr>
        <w:t xml:space="preserve"> at 166 (quoting </w:t>
      </w:r>
      <w:bookmarkStart w:id="5999" w:name="Bookmark_I5PV58Y22SF8HR0040000400"/>
      <w:bookmarkEnd w:id="5999"/>
      <w:r>
        <w:rPr>
          <w:rFonts w:ascii="Arial" w:eastAsia="Arial" w:hAnsi="Arial" w:cs="Arial"/>
          <w:i/>
          <w:color w:val="000000"/>
          <w:sz w:val="20"/>
        </w:rPr>
        <w:t>Brookdale Mill v. Rowley</w:t>
      </w:r>
      <w:r>
        <w:rPr>
          <w:rFonts w:ascii="Arial" w:eastAsia="Arial" w:hAnsi="Arial" w:cs="Arial"/>
          <w:color w:val="000000"/>
          <w:sz w:val="20"/>
        </w:rPr>
        <w:t>, 218 F.2d 728, 729 (6th Cir. 1954)).</w:t>
      </w:r>
    </w:p>
    <w:p w:rsidR="00E456CD" w:rsidRDefault="00000000">
      <w:pPr>
        <w:pStyle w:val="Normal39"/>
        <w:widowControl w:val="0"/>
        <w:spacing w:before="200" w:line="260" w:lineRule="atLeast"/>
        <w:jc w:val="both"/>
      </w:pPr>
      <w:bookmarkStart w:id="6000" w:name="Bookmark_para_26_19"/>
      <w:bookmarkStart w:id="6001" w:name="Bookmark_I5PV58Y22N1PMG0020000400"/>
      <w:bookmarkStart w:id="6002" w:name="Bookmark_I5PV58Y22N1PMG0040000400"/>
      <w:bookmarkEnd w:id="6000"/>
      <w:bookmarkEnd w:id="6001"/>
      <w:bookmarkEnd w:id="6002"/>
      <w:r>
        <w:rPr>
          <w:rFonts w:ascii="Arial" w:eastAsia="Arial" w:hAnsi="Arial" w:cs="Arial"/>
          <w:color w:val="000000"/>
          <w:sz w:val="20"/>
        </w:rPr>
        <w:t xml:space="preserve">The New Mexico Court of Appeals came to a similar conclusion in </w:t>
      </w:r>
      <w:bookmarkStart w:id="6003" w:name="Bookmark_I5PV58Y22N1PMG0010000400"/>
      <w:bookmarkEnd w:id="6003"/>
      <w:r>
        <w:rPr>
          <w:rFonts w:ascii="Arial" w:eastAsia="Arial" w:hAnsi="Arial" w:cs="Arial"/>
          <w:i/>
          <w:color w:val="000000"/>
          <w:sz w:val="20"/>
        </w:rPr>
        <w:t>Holguin v. Sally Beauty Supply Inc.</w:t>
      </w:r>
      <w:r>
        <w:rPr>
          <w:rFonts w:ascii="Arial" w:eastAsia="Arial" w:hAnsi="Arial" w:cs="Arial"/>
          <w:color w:val="000000"/>
          <w:sz w:val="20"/>
        </w:rPr>
        <w:t xml:space="preserve">, 2011- NMCA 100, 150 N.M. 636, 264 P.3d 732, 736-37 (N.M. Ct. App. 2011). </w:t>
      </w:r>
      <w:bookmarkStart w:id="6004" w:name="Bookmark_I5PV58Y22HM6K10010000400"/>
      <w:bookmarkEnd w:id="6004"/>
      <w:r>
        <w:rPr>
          <w:rFonts w:ascii="Arial" w:eastAsia="Arial" w:hAnsi="Arial" w:cs="Arial"/>
          <w:color w:val="000000"/>
          <w:sz w:val="20"/>
        </w:rPr>
        <w:t xml:space="preserve">There, the court was asked to construe a state statute that provided merchants with a conditional privilege to detain a customer when the merchant had probable cause to believe that the customer "willfully conceal[ed]" merchandise. </w:t>
      </w:r>
      <w:bookmarkStart w:id="6005" w:name="Bookmark_I5PV58Y22HM6K10030000400"/>
      <w:bookmarkStart w:id="6006" w:name="Bookmark_I5PV58Y22N1PMG0030000400"/>
      <w:bookmarkEnd w:id="6005"/>
      <w:bookmarkEnd w:id="6006"/>
      <w:r>
        <w:rPr>
          <w:rFonts w:ascii="Arial" w:eastAsia="Arial" w:hAnsi="Arial" w:cs="Arial"/>
          <w:i/>
          <w:color w:val="000000"/>
          <w:sz w:val="20"/>
        </w:rPr>
        <w:t>Id.</w:t>
      </w:r>
      <w:r>
        <w:rPr>
          <w:rFonts w:ascii="Arial" w:eastAsia="Arial" w:hAnsi="Arial" w:cs="Arial"/>
          <w:color w:val="000000"/>
          <w:sz w:val="20"/>
        </w:rPr>
        <w:t xml:space="preserve"> at 736-37. </w:t>
      </w:r>
      <w:bookmarkStart w:id="6007" w:name="Bookmark_I5PV58Y22HM6K10030000400_2"/>
      <w:bookmarkStart w:id="6008" w:name="Bookmark_I5PV58Y22HM6K10010000400_2"/>
      <w:bookmarkEnd w:id="6007"/>
      <w:bookmarkEnd w:id="6008"/>
      <w:r>
        <w:rPr>
          <w:rFonts w:ascii="Arial" w:eastAsia="Arial" w:hAnsi="Arial" w:cs="Arial"/>
          <w:color w:val="000000"/>
          <w:sz w:val="20"/>
        </w:rPr>
        <w:t xml:space="preserve">The court found that "[t]he term 'willfully' . . . indicates an intent which requires more than merely putting merchandise out of sight." </w:t>
      </w:r>
      <w:bookmarkStart w:id="6009" w:name="Bookmark_I5PV58Y22N1PMG0050000400"/>
      <w:bookmarkEnd w:id="6009"/>
      <w:r>
        <w:rPr>
          <w:rFonts w:ascii="Arial" w:eastAsia="Arial" w:hAnsi="Arial" w:cs="Arial"/>
          <w:i/>
          <w:color w:val="000000"/>
          <w:sz w:val="20"/>
        </w:rPr>
        <w:t>Id.</w:t>
      </w:r>
      <w:r>
        <w:rPr>
          <w:rFonts w:ascii="Arial" w:eastAsia="Arial" w:hAnsi="Arial" w:cs="Arial"/>
          <w:color w:val="000000"/>
          <w:sz w:val="20"/>
        </w:rPr>
        <w:t xml:space="preserve"> at 736. Instead, the court held that probable cause for the conditional privilege exists only when the facts show "that </w:t>
      </w:r>
      <w:r>
        <w:rPr>
          <w:rFonts w:ascii="Arial" w:eastAsia="Arial" w:hAnsi="Arial" w:cs="Arial"/>
          <w:i/>
          <w:color w:val="000000"/>
          <w:sz w:val="20"/>
        </w:rPr>
        <w:t>the purpose</w:t>
      </w:r>
      <w:r>
        <w:rPr>
          <w:rFonts w:ascii="Arial" w:eastAsia="Arial" w:hAnsi="Arial" w:cs="Arial"/>
          <w:color w:val="000000"/>
          <w:sz w:val="20"/>
        </w:rPr>
        <w:t xml:space="preserve"> of the concealment is adverse to the store owner's right to be paid for the merchandise." </w:t>
      </w:r>
      <w:bookmarkStart w:id="6010" w:name="Bookmark_I5PV58Y22HM6K10020000400"/>
      <w:bookmarkEnd w:id="6010"/>
      <w:r>
        <w:rPr>
          <w:rFonts w:ascii="Arial" w:eastAsia="Arial" w:hAnsi="Arial" w:cs="Arial"/>
          <w:i/>
          <w:color w:val="000000"/>
          <w:sz w:val="20"/>
        </w:rPr>
        <w:t>Id.</w:t>
      </w:r>
      <w:r>
        <w:rPr>
          <w:rFonts w:ascii="Arial" w:eastAsia="Arial" w:hAnsi="Arial" w:cs="Arial"/>
          <w:color w:val="000000"/>
          <w:sz w:val="20"/>
        </w:rPr>
        <w:t xml:space="preserve"> at 737 (emphasis  [*877]  added). In other words, probable cause for "willful" concealment required a reasonable belief that the customer hid something </w:t>
      </w:r>
      <w:r>
        <w:rPr>
          <w:rFonts w:ascii="Arial" w:eastAsia="Arial" w:hAnsi="Arial" w:cs="Arial"/>
          <w:i/>
          <w:color w:val="000000"/>
          <w:sz w:val="20"/>
        </w:rPr>
        <w:t>for the purpose of stealing it. Id.</w:t>
      </w:r>
    </w:p>
    <w:p w:rsidR="00E456CD" w:rsidRDefault="00000000">
      <w:pPr>
        <w:pStyle w:val="Normal39"/>
        <w:widowControl w:val="0"/>
        <w:spacing w:before="200" w:line="260" w:lineRule="atLeast"/>
        <w:jc w:val="both"/>
      </w:pPr>
      <w:bookmarkStart w:id="6011" w:name="Bookmark_para_27_19"/>
      <w:bookmarkEnd w:id="6011"/>
      <w:r>
        <w:rPr>
          <w:rFonts w:ascii="Arial" w:eastAsia="Arial" w:hAnsi="Arial" w:cs="Arial"/>
          <w:color w:val="000000"/>
          <w:sz w:val="20"/>
        </w:rPr>
        <w:t xml:space="preserve">This understanding of the term "willful" is consonant with the common understanding of the term. Specifically, "willful" means "intentional" or "deliberate." </w:t>
      </w:r>
      <w:r>
        <w:rPr>
          <w:rFonts w:ascii="Arial" w:eastAsia="Arial" w:hAnsi="Arial" w:cs="Arial"/>
          <w:smallCaps/>
          <w:color w:val="000000"/>
          <w:sz w:val="20"/>
        </w:rPr>
        <w:t>The New Oxford American Dictionary</w:t>
      </w:r>
      <w:r>
        <w:rPr>
          <w:rFonts w:ascii="Arial" w:eastAsia="Arial" w:hAnsi="Arial" w:cs="Arial"/>
          <w:color w:val="000000"/>
          <w:sz w:val="20"/>
        </w:rPr>
        <w:t xml:space="preserve"> 1922 (2d ed. 2005). And, in legal usage, a "willful" act is a "voluntary and intentional" one, "involv[ing] conscious wrong or evil purpose [**12]  on the part of the actor." </w:t>
      </w:r>
      <w:r>
        <w:rPr>
          <w:rFonts w:ascii="Arial" w:eastAsia="Arial" w:hAnsi="Arial" w:cs="Arial"/>
          <w:i/>
          <w:color w:val="000000"/>
          <w:sz w:val="20"/>
        </w:rPr>
        <w:t>Willful</w:t>
      </w:r>
      <w:r>
        <w:rPr>
          <w:rFonts w:ascii="Arial" w:eastAsia="Arial" w:hAnsi="Arial" w:cs="Arial"/>
          <w:color w:val="000000"/>
          <w:sz w:val="20"/>
        </w:rPr>
        <w:t xml:space="preserve">, </w:t>
      </w:r>
      <w:r>
        <w:rPr>
          <w:rFonts w:ascii="Arial" w:eastAsia="Arial" w:hAnsi="Arial" w:cs="Arial"/>
          <w:smallCaps/>
          <w:color w:val="000000"/>
          <w:sz w:val="20"/>
        </w:rPr>
        <w:t>Black's Law Dictionary</w:t>
      </w:r>
      <w:r>
        <w:rPr>
          <w:rFonts w:ascii="Arial" w:eastAsia="Arial" w:hAnsi="Arial" w:cs="Arial"/>
          <w:color w:val="000000"/>
          <w:sz w:val="20"/>
        </w:rPr>
        <w:t xml:space="preserve"> (10th ed. 2009) [hereinafter BLACK'S]; </w:t>
      </w:r>
      <w:r>
        <w:rPr>
          <w:rFonts w:ascii="Arial" w:eastAsia="Arial" w:hAnsi="Arial" w:cs="Arial"/>
          <w:i/>
          <w:color w:val="000000"/>
          <w:sz w:val="20"/>
        </w:rPr>
        <w:t>see also</w:t>
      </w:r>
      <w:r>
        <w:rPr>
          <w:rFonts w:ascii="Arial" w:eastAsia="Arial" w:hAnsi="Arial" w:cs="Arial"/>
          <w:color w:val="000000"/>
          <w:sz w:val="20"/>
        </w:rPr>
        <w:t xml:space="preserve"> Rollin M. Perkins &amp; Ronald N. Boyce, CRIMINAL LAW, 875-76 (3d ed. 1982) ("[T]he requirement added by [the word 'willful'] is not satisfied unless there is a bad purpose or evil intent."). Or, put another way, "'willfulness' involves the voluntary, </w:t>
      </w:r>
      <w:r>
        <w:rPr>
          <w:rFonts w:ascii="Arial" w:eastAsia="Arial" w:hAnsi="Arial" w:cs="Arial"/>
          <w:i/>
          <w:color w:val="000000"/>
          <w:sz w:val="20"/>
        </w:rPr>
        <w:t>intentional violation</w:t>
      </w:r>
      <w:r>
        <w:rPr>
          <w:rFonts w:ascii="Arial" w:eastAsia="Arial" w:hAnsi="Arial" w:cs="Arial"/>
          <w:color w:val="000000"/>
          <w:sz w:val="20"/>
        </w:rPr>
        <w:t xml:space="preserve"> or disregard of a </w:t>
      </w:r>
      <w:r>
        <w:rPr>
          <w:rFonts w:ascii="Arial" w:eastAsia="Arial" w:hAnsi="Arial" w:cs="Arial"/>
          <w:i/>
          <w:color w:val="000000"/>
          <w:sz w:val="20"/>
        </w:rPr>
        <w:t>known</w:t>
      </w:r>
      <w:r>
        <w:rPr>
          <w:rFonts w:ascii="Arial" w:eastAsia="Arial" w:hAnsi="Arial" w:cs="Arial"/>
          <w:color w:val="000000"/>
          <w:sz w:val="20"/>
        </w:rPr>
        <w:t xml:space="preserve"> legal duty." </w:t>
      </w:r>
      <w:r>
        <w:rPr>
          <w:rFonts w:ascii="Arial" w:eastAsia="Arial" w:hAnsi="Arial" w:cs="Arial"/>
          <w:i/>
          <w:color w:val="000000"/>
          <w:sz w:val="20"/>
        </w:rPr>
        <w:t>Willfulness</w:t>
      </w:r>
      <w:r>
        <w:rPr>
          <w:rFonts w:ascii="Arial" w:eastAsia="Arial" w:hAnsi="Arial" w:cs="Arial"/>
          <w:color w:val="000000"/>
          <w:sz w:val="20"/>
        </w:rPr>
        <w:t xml:space="preserve">, BLACK'S, </w:t>
      </w:r>
      <w:r>
        <w:rPr>
          <w:rFonts w:ascii="Arial" w:eastAsia="Arial" w:hAnsi="Arial" w:cs="Arial"/>
          <w:i/>
          <w:color w:val="000000"/>
          <w:sz w:val="20"/>
        </w:rPr>
        <w:t>supra</w:t>
      </w:r>
      <w:r>
        <w:rPr>
          <w:rFonts w:ascii="Arial" w:eastAsia="Arial" w:hAnsi="Arial" w:cs="Arial"/>
          <w:color w:val="000000"/>
          <w:sz w:val="20"/>
        </w:rPr>
        <w:t xml:space="preserve"> (emphasis added).</w:t>
      </w:r>
    </w:p>
    <w:p w:rsidR="00E456CD" w:rsidRDefault="00000000">
      <w:pPr>
        <w:pStyle w:val="Normal39"/>
        <w:widowControl w:val="0"/>
        <w:spacing w:before="200" w:line="260" w:lineRule="atLeast"/>
        <w:jc w:val="both"/>
      </w:pPr>
      <w:bookmarkStart w:id="6012" w:name="Bookmark_para_28_19"/>
      <w:bookmarkStart w:id="6013" w:name="Bookmark_I5PV58Y22HM6K10050000400"/>
      <w:bookmarkEnd w:id="6012"/>
      <w:bookmarkEnd w:id="6013"/>
      <w:r>
        <w:rPr>
          <w:rFonts w:ascii="Arial" w:eastAsia="Arial" w:hAnsi="Arial" w:cs="Arial"/>
          <w:color w:val="000000"/>
          <w:sz w:val="20"/>
        </w:rPr>
        <w:t xml:space="preserve">We read the term "willfully" in section 30-20-13(D) in this manner. More specifically, we conclude that </w:t>
      </w:r>
      <w:bookmarkStart w:id="6014" w:name="Bookmark_LNHNREFclscc10_17"/>
      <w:bookmarkEnd w:id="6014"/>
      <w:r>
        <w:rPr>
          <w:rFonts w:ascii="Arial" w:eastAsia="Arial" w:hAnsi="Arial" w:cs="Arial"/>
          <w:color w:val="000000"/>
          <w:sz w:val="20"/>
        </w:rPr>
        <w:t xml:space="preserve">New Mexico legislature sought to bar conduct that was </w:t>
      </w:r>
      <w:r>
        <w:rPr>
          <w:rFonts w:ascii="Arial" w:eastAsia="Arial" w:hAnsi="Arial" w:cs="Arial"/>
          <w:i/>
          <w:color w:val="000000"/>
          <w:sz w:val="20"/>
        </w:rPr>
        <w:t>designed to</w:t>
      </w:r>
      <w:r>
        <w:rPr>
          <w:rFonts w:ascii="Arial" w:eastAsia="Arial" w:hAnsi="Arial" w:cs="Arial"/>
          <w:color w:val="000000"/>
          <w:sz w:val="20"/>
        </w:rPr>
        <w:t xml:space="preserve"> "interfere with the educational process," rather than conduct that merely happened to have that effect. In our view, the statute is not "genuinely ambiguous," and we are able to reach this conclusion without "hard interpretive work." </w:t>
      </w:r>
      <w:bookmarkStart w:id="6015" w:name="Bookmark_I5PV58Y22HM6K10040000400"/>
      <w:bookmarkEnd w:id="6015"/>
      <w:r>
        <w:rPr>
          <w:rFonts w:ascii="Arial" w:eastAsia="Arial" w:hAnsi="Arial" w:cs="Arial"/>
          <w:i/>
          <w:color w:val="000000"/>
          <w:sz w:val="20"/>
        </w:rPr>
        <w:t>Heien v. North Carolina</w:t>
      </w:r>
      <w:r>
        <w:rPr>
          <w:rFonts w:ascii="Arial" w:eastAsia="Arial" w:hAnsi="Arial" w:cs="Arial"/>
          <w:color w:val="000000"/>
          <w:sz w:val="20"/>
        </w:rPr>
        <w:t xml:space="preserve">, </w:t>
      </w:r>
      <w:r>
        <w:rPr>
          <w:rFonts w:ascii="Arial" w:eastAsia="Arial" w:hAnsi="Arial" w:cs="Arial"/>
          <w:color w:val="000000"/>
          <w:sz w:val="20"/>
          <w:u w:val="single"/>
        </w:rPr>
        <w:t>   </w:t>
      </w:r>
      <w:r>
        <w:rPr>
          <w:rFonts w:ascii="Arial" w:eastAsia="Arial" w:hAnsi="Arial" w:cs="Arial"/>
          <w:color w:val="000000"/>
          <w:sz w:val="20"/>
        </w:rPr>
        <w:t xml:space="preserve"> U.S. </w:t>
      </w:r>
      <w:r>
        <w:rPr>
          <w:rFonts w:ascii="Arial" w:eastAsia="Arial" w:hAnsi="Arial" w:cs="Arial"/>
          <w:color w:val="000000"/>
          <w:sz w:val="20"/>
          <w:u w:val="single"/>
        </w:rPr>
        <w:t>   </w:t>
      </w:r>
      <w:r>
        <w:rPr>
          <w:rFonts w:ascii="Arial" w:eastAsia="Arial" w:hAnsi="Arial" w:cs="Arial"/>
          <w:color w:val="000000"/>
          <w:sz w:val="20"/>
        </w:rPr>
        <w:t>, 135 S. Ct. 530, 541, 190 L. Ed. 2d 475 (2014) (Kagan, J., concurring).</w:t>
      </w:r>
      <w:r>
        <w:rPr>
          <w:rFonts w:ascii="Arial" w:eastAsia="Arial" w:hAnsi="Arial" w:cs="Arial"/>
          <w:vertAlign w:val="superscript"/>
        </w:rPr>
        <w:footnoteReference w:customMarkFollows="1" w:id="266"/>
        <w:t>6</w:t>
      </w:r>
    </w:p>
    <w:p w:rsidR="00E456CD" w:rsidRDefault="00000000">
      <w:pPr>
        <w:pStyle w:val="Normal39"/>
        <w:widowControl w:val="0"/>
        <w:spacing w:before="200" w:line="260" w:lineRule="atLeast"/>
        <w:jc w:val="both"/>
      </w:pPr>
      <w:bookmarkStart w:id="6043" w:name="Bookmark_para_29_18"/>
      <w:bookmarkEnd w:id="6043"/>
      <w:r>
        <w:rPr>
          <w:rFonts w:ascii="Arial" w:eastAsia="Arial" w:hAnsi="Arial" w:cs="Arial"/>
          <w:color w:val="000000"/>
          <w:sz w:val="20"/>
        </w:rPr>
        <w:t xml:space="preserve"> [*878]  Based on the facts of this case, nothing would have given Officer Hensley the reasonable belief that Scott was "willfully" trying to interfere with the educational process at Grant Middle School. True, Scott's absence eventually led to somebody [**13]  pulling Ms. Wiggins from her classroom and Ms. Griego from her desk. Aplt.'s App. at 72 (Officer Hensley testifying that he "got Ms. Wiggins" and "took her out of class"). But no reasonable officer would have believed that Scott went to the janitor's office </w:t>
      </w:r>
      <w:r>
        <w:rPr>
          <w:rFonts w:ascii="Arial" w:eastAsia="Arial" w:hAnsi="Arial" w:cs="Arial"/>
          <w:i/>
          <w:color w:val="000000"/>
          <w:sz w:val="20"/>
        </w:rPr>
        <w:t>with the intent</w:t>
      </w:r>
      <w:r>
        <w:rPr>
          <w:rFonts w:ascii="Arial" w:eastAsia="Arial" w:hAnsi="Arial" w:cs="Arial"/>
          <w:color w:val="000000"/>
          <w:sz w:val="20"/>
        </w:rPr>
        <w:t xml:space="preserve"> of distracting school employees from other tasks. Indeed, Scott gave every indication that he was not trying to cause a disruption or break a rule. He made no disturbance as he left his classroom, and told Officer Hensley and Ms. Wiggins that he believed that he had permission to be outside the classroom at the time. If anything, Scott left the classroom to </w:t>
      </w:r>
      <w:r>
        <w:rPr>
          <w:rFonts w:ascii="Arial" w:eastAsia="Arial" w:hAnsi="Arial" w:cs="Arial"/>
          <w:i/>
          <w:color w:val="000000"/>
          <w:sz w:val="20"/>
        </w:rPr>
        <w:t>avoid</w:t>
      </w:r>
      <w:r>
        <w:rPr>
          <w:rFonts w:ascii="Arial" w:eastAsia="Arial" w:hAnsi="Arial" w:cs="Arial"/>
          <w:color w:val="000000"/>
          <w:sz w:val="20"/>
        </w:rPr>
        <w:t xml:space="preserve"> disrupting his class: he left because he knew that when "[he] would get too antsy or frustrated, . . . it would just be bad if [he] kept on" trying to work through the typing lesson. </w:t>
      </w:r>
      <w:r>
        <w:rPr>
          <w:rFonts w:ascii="Arial" w:eastAsia="Arial" w:hAnsi="Arial" w:cs="Arial"/>
          <w:i/>
          <w:color w:val="000000"/>
          <w:sz w:val="20"/>
        </w:rPr>
        <w:t>Id.</w:t>
      </w:r>
      <w:r>
        <w:rPr>
          <w:rFonts w:ascii="Arial" w:eastAsia="Arial" w:hAnsi="Arial" w:cs="Arial"/>
          <w:color w:val="000000"/>
          <w:sz w:val="20"/>
        </w:rPr>
        <w:t xml:space="preserve"> at 200. That, after all, was the purpose of his IEP accommodations in the first place. </w:t>
      </w:r>
      <w:r>
        <w:rPr>
          <w:rFonts w:ascii="Arial" w:eastAsia="Arial" w:hAnsi="Arial" w:cs="Arial"/>
          <w:i/>
          <w:color w:val="000000"/>
          <w:sz w:val="20"/>
        </w:rPr>
        <w:t>See id.</w:t>
      </w:r>
      <w:r>
        <w:rPr>
          <w:rFonts w:ascii="Arial" w:eastAsia="Arial" w:hAnsi="Arial" w:cs="Arial"/>
          <w:color w:val="000000"/>
          <w:sz w:val="20"/>
        </w:rPr>
        <w:t xml:space="preserve"> at 208 (Test. of Charlotte Scott) (commenting that the IEP accommodations were in place because "th[e teachers and administrators] didn't want [Scott] to explode in the classroom").</w:t>
      </w:r>
    </w:p>
    <w:p w:rsidR="00E456CD" w:rsidRDefault="00000000">
      <w:pPr>
        <w:pStyle w:val="Normal39"/>
        <w:widowControl w:val="0"/>
        <w:spacing w:before="200" w:line="260" w:lineRule="atLeast"/>
        <w:jc w:val="both"/>
      </w:pPr>
      <w:bookmarkStart w:id="6044" w:name="Bookmark_para_30_18"/>
      <w:bookmarkStart w:id="6045" w:name="Bookmark_I3WXY41XC5300079WNY003SY"/>
      <w:bookmarkStart w:id="6046" w:name="Bookmark_I5PV58Y32SF8HT0010000400"/>
      <w:bookmarkEnd w:id="6044"/>
      <w:bookmarkEnd w:id="6045"/>
      <w:bookmarkEnd w:id="6046"/>
      <w:r>
        <w:rPr>
          <w:rFonts w:ascii="Arial" w:eastAsia="Arial" w:hAnsi="Arial" w:cs="Arial"/>
          <w:color w:val="000000"/>
          <w:sz w:val="20"/>
        </w:rPr>
        <w:t xml:space="preserve">None of this would suggest that Scott "willfully interfer[ed] with the educational process" by going to, and sitting in, the janitor's office. </w:t>
      </w:r>
      <w:r>
        <w:rPr>
          <w:rFonts w:ascii="Arial" w:eastAsia="Arial" w:hAnsi="Arial" w:cs="Arial"/>
          <w:i/>
          <w:color w:val="000000"/>
          <w:sz w:val="20"/>
        </w:rPr>
        <w:t xml:space="preserve">Cf. [**14]  </w:t>
      </w:r>
      <w:bookmarkStart w:id="6047" w:name="Bookmark_I5PV58Y228T3VB0050000400"/>
      <w:bookmarkEnd w:id="6047"/>
      <w:r>
        <w:rPr>
          <w:rFonts w:ascii="Arial" w:eastAsia="Arial" w:hAnsi="Arial" w:cs="Arial"/>
          <w:i/>
          <w:color w:val="000000"/>
          <w:sz w:val="20"/>
        </w:rPr>
        <w:t>G.M. ex rel. B.M. v. Casalduc</w:t>
      </w:r>
      <w:r>
        <w:rPr>
          <w:rFonts w:ascii="Arial" w:eastAsia="Arial" w:hAnsi="Arial" w:cs="Arial"/>
          <w:color w:val="000000"/>
          <w:sz w:val="20"/>
        </w:rPr>
        <w:t xml:space="preserve">, 982 F. Supp.2d 1235, 1243 (D.N.M. 2013) ("B.M.'s conduct does not clearly fall outside the conduct prohibited by the plain language of the statute [i.e., section 30-20-13(D)]. B.M. ignored numerous requests to stop texting during class in violation of HMS policy. Unable to continue instruction, her teacher stopped class and eventually summoned Dean O'Gawa. </w:t>
      </w:r>
      <w:bookmarkStart w:id="6048" w:name="Bookmark_I5PV58Y32SF8HT0030000400"/>
      <w:bookmarkEnd w:id="6048"/>
      <w:r>
        <w:rPr>
          <w:rFonts w:ascii="Arial" w:eastAsia="Arial" w:hAnsi="Arial" w:cs="Arial"/>
          <w:color w:val="000000"/>
          <w:sz w:val="20"/>
        </w:rPr>
        <w:t xml:space="preserve">After being removed from class, B.M. continued refusing to hand over her cell phone as required by school procedure."). We conclude, therefore, that Officer Hensley had no probable cause to arrest Scott under section 30-20-13(D). And since a warrantless arrest without probable cause violates the Fourth Amendment, </w:t>
      </w:r>
      <w:bookmarkStart w:id="6049" w:name="Bookmark_I5PV58Y32SF8HT0020000400"/>
      <w:bookmarkEnd w:id="6049"/>
      <w:r>
        <w:rPr>
          <w:rFonts w:ascii="Arial" w:eastAsia="Arial" w:hAnsi="Arial" w:cs="Arial"/>
          <w:i/>
          <w:color w:val="000000"/>
          <w:sz w:val="20"/>
        </w:rPr>
        <w:t>Keylon</w:t>
      </w:r>
      <w:r>
        <w:rPr>
          <w:rFonts w:ascii="Arial" w:eastAsia="Arial" w:hAnsi="Arial" w:cs="Arial"/>
          <w:color w:val="000000"/>
          <w:sz w:val="20"/>
        </w:rPr>
        <w:t>, 535 F.3d at 1216, Scott has shown that Officer Hensley violated Scott's right to be free from unlawful arrest.</w:t>
      </w:r>
    </w:p>
    <w:p w:rsidR="00E456CD" w:rsidRDefault="00000000">
      <w:pPr>
        <w:pStyle w:val="Normal39"/>
        <w:widowControl w:val="0"/>
        <w:spacing w:before="240" w:line="260" w:lineRule="atLeast"/>
      </w:pPr>
      <w:r>
        <w:br/>
      </w:r>
      <w:r>
        <w:rPr>
          <w:rFonts w:ascii="Arial" w:eastAsia="Arial" w:hAnsi="Arial" w:cs="Arial"/>
          <w:b/>
          <w:color w:val="000000"/>
          <w:sz w:val="20"/>
        </w:rPr>
        <w:t>2</w:t>
      </w:r>
      <w:r>
        <w:rPr>
          <w:rFonts w:ascii="Arial" w:eastAsia="Arial" w:hAnsi="Arial" w:cs="Arial"/>
          <w:color w:val="000000"/>
          <w:sz w:val="20"/>
        </w:rPr>
        <w:t>.</w:t>
      </w:r>
    </w:p>
    <w:p w:rsidR="00E456CD" w:rsidRDefault="00000000">
      <w:pPr>
        <w:pStyle w:val="Normal39"/>
        <w:widowControl w:val="0"/>
        <w:spacing w:before="200" w:line="260" w:lineRule="atLeast"/>
        <w:jc w:val="both"/>
      </w:pPr>
      <w:bookmarkStart w:id="6050" w:name="Bookmark_para_31_18"/>
      <w:bookmarkStart w:id="6051" w:name="Bookmark_I5PV58Y32SF8HT0050000400"/>
      <w:bookmarkEnd w:id="6050"/>
      <w:bookmarkEnd w:id="6051"/>
      <w:r>
        <w:rPr>
          <w:rFonts w:ascii="Arial" w:eastAsia="Arial" w:hAnsi="Arial" w:cs="Arial"/>
          <w:color w:val="000000"/>
          <w:sz w:val="20"/>
        </w:rPr>
        <w:t xml:space="preserve">The next question is whether that right was clearly established in January 2009. </w:t>
      </w:r>
      <w:bookmarkStart w:id="6052" w:name="Bookmark_I5PV58Y32N1PMK0020000400"/>
      <w:bookmarkStart w:id="6053" w:name="Bookmark_LNHNREFclscc11_15"/>
      <w:bookmarkEnd w:id="6052"/>
      <w:bookmarkEnd w:id="6053"/>
      <w:r>
        <w:rPr>
          <w:rFonts w:ascii="Arial" w:eastAsia="Arial" w:hAnsi="Arial" w:cs="Arial"/>
          <w:color w:val="000000"/>
          <w:sz w:val="20"/>
        </w:rPr>
        <w:t xml:space="preserve">A plaintiff ordinarily may show that a particular right was clearly established by pointing to an on-point decision from the U.S. Supreme Court or the Tenth Circuit. </w:t>
      </w:r>
      <w:r>
        <w:rPr>
          <w:rFonts w:ascii="Arial" w:eastAsia="Arial" w:hAnsi="Arial" w:cs="Arial"/>
          <w:i/>
          <w:color w:val="000000"/>
          <w:sz w:val="20"/>
        </w:rPr>
        <w:t xml:space="preserve">See, e.g., </w:t>
      </w:r>
      <w:bookmarkStart w:id="6054" w:name="Bookmark_I5PV58Y32SF8HT0040000400"/>
      <w:bookmarkEnd w:id="6054"/>
      <w:r>
        <w:rPr>
          <w:rFonts w:ascii="Arial" w:eastAsia="Arial" w:hAnsi="Arial" w:cs="Arial"/>
          <w:i/>
          <w:color w:val="000000"/>
          <w:sz w:val="20"/>
        </w:rPr>
        <w:t>Quinn</w:t>
      </w:r>
      <w:r>
        <w:rPr>
          <w:rFonts w:ascii="Arial" w:eastAsia="Arial" w:hAnsi="Arial" w:cs="Arial"/>
          <w:color w:val="000000"/>
          <w:sz w:val="20"/>
        </w:rPr>
        <w:t xml:space="preserve">, 780 F.3d at 1005. </w:t>
      </w:r>
      <w:bookmarkStart w:id="6055" w:name="Bookmark_I5PV58Y32N1PMK0020000400_2"/>
      <w:bookmarkEnd w:id="6055"/>
      <w:r>
        <w:rPr>
          <w:rFonts w:ascii="Arial" w:eastAsia="Arial" w:hAnsi="Arial" w:cs="Arial"/>
          <w:color w:val="000000"/>
          <w:sz w:val="20"/>
        </w:rPr>
        <w:t xml:space="preserve">But, as previously noted, we often look to state-court decisions when we are asked to decide a question that "depends on the contours of a state's substantive criminal law." </w:t>
      </w:r>
      <w:bookmarkStart w:id="6056" w:name="Bookmark_I5PV58Y32N1PMK0010000400"/>
      <w:bookmarkEnd w:id="6056"/>
      <w:r>
        <w:rPr>
          <w:rFonts w:ascii="Arial" w:eastAsia="Arial" w:hAnsi="Arial" w:cs="Arial"/>
          <w:i/>
          <w:color w:val="000000"/>
          <w:sz w:val="20"/>
        </w:rPr>
        <w:t>Kaufman</w:t>
      </w:r>
      <w:r>
        <w:rPr>
          <w:rFonts w:ascii="Arial" w:eastAsia="Arial" w:hAnsi="Arial" w:cs="Arial"/>
          <w:color w:val="000000"/>
          <w:sz w:val="20"/>
        </w:rPr>
        <w:t xml:space="preserve">, 697 F.3d at 1300-01; </w:t>
      </w:r>
      <w:r>
        <w:rPr>
          <w:rFonts w:ascii="Arial" w:eastAsia="Arial" w:hAnsi="Arial" w:cs="Arial"/>
          <w:i/>
          <w:color w:val="000000"/>
          <w:sz w:val="20"/>
        </w:rPr>
        <w:t xml:space="preserve">see also </w:t>
      </w:r>
      <w:bookmarkStart w:id="6057" w:name="Bookmark_I5PV58Y32N1PMK0030000400"/>
      <w:bookmarkEnd w:id="6057"/>
      <w:r>
        <w:rPr>
          <w:rFonts w:ascii="Arial" w:eastAsia="Arial" w:hAnsi="Arial" w:cs="Arial"/>
          <w:i/>
          <w:color w:val="000000"/>
          <w:sz w:val="20"/>
        </w:rPr>
        <w:t>A.M.</w:t>
      </w:r>
      <w:r>
        <w:rPr>
          <w:rFonts w:ascii="Arial" w:eastAsia="Arial" w:hAnsi="Arial" w:cs="Arial"/>
          <w:color w:val="000000"/>
          <w:sz w:val="20"/>
        </w:rPr>
        <w:t>, 830 F.3d at 1140-41 (noting that state intermediate appellate courts can provide guidance in a clearly-established-law [**15]  inquiry that involves construing state criminal law).</w:t>
      </w:r>
    </w:p>
    <w:p w:rsidR="00E456CD" w:rsidRDefault="00000000">
      <w:pPr>
        <w:pStyle w:val="Normal39"/>
        <w:widowControl w:val="0"/>
        <w:spacing w:before="200" w:line="260" w:lineRule="atLeast"/>
        <w:jc w:val="both"/>
      </w:pPr>
      <w:bookmarkStart w:id="6058" w:name="Bookmark_para_32_18"/>
      <w:bookmarkEnd w:id="6058"/>
      <w:r>
        <w:rPr>
          <w:rFonts w:ascii="Arial" w:eastAsia="Arial" w:hAnsi="Arial" w:cs="Arial"/>
          <w:color w:val="000000"/>
          <w:sz w:val="20"/>
        </w:rPr>
        <w:t xml:space="preserve"> [*879]  </w:t>
      </w:r>
      <w:bookmarkStart w:id="6059" w:name="Bookmark_I5PV58Y32HM6K30010000400"/>
      <w:bookmarkEnd w:id="6059"/>
      <w:r>
        <w:rPr>
          <w:rFonts w:ascii="Arial" w:eastAsia="Arial" w:hAnsi="Arial" w:cs="Arial"/>
          <w:color w:val="000000"/>
          <w:sz w:val="20"/>
        </w:rPr>
        <w:t xml:space="preserve">In </w:t>
      </w:r>
      <w:r>
        <w:rPr>
          <w:rFonts w:ascii="Arial" w:eastAsia="Arial" w:hAnsi="Arial" w:cs="Arial"/>
          <w:i/>
          <w:color w:val="000000"/>
          <w:sz w:val="20"/>
        </w:rPr>
        <w:t>A.M.</w:t>
      </w:r>
      <w:r>
        <w:rPr>
          <w:rFonts w:ascii="Arial" w:eastAsia="Arial" w:hAnsi="Arial" w:cs="Arial"/>
          <w:color w:val="000000"/>
          <w:sz w:val="20"/>
        </w:rPr>
        <w:t xml:space="preserve">, where an officer arrested a student under section 30-20-13(D) for "repeatedly fake-burping, laughing, and (later) leaning into the classroom," </w:t>
      </w:r>
      <w:bookmarkStart w:id="6060" w:name="Bookmark_I5PV58Y32N1PMK0050000400"/>
      <w:bookmarkEnd w:id="6060"/>
      <w:r>
        <w:rPr>
          <w:rFonts w:ascii="Arial" w:eastAsia="Arial" w:hAnsi="Arial" w:cs="Arial"/>
          <w:color w:val="000000"/>
          <w:sz w:val="20"/>
        </w:rPr>
        <w:t xml:space="preserve">830 F.3d at 1148, we held in analyzing the clearly-established-law question that there were "no Supreme Court or published Tenth Circuit decisions" that squarely addressed 30-20-13(D)'s probable-cause requirements in 2011, </w:t>
      </w:r>
      <w:bookmarkStart w:id="6061" w:name="Bookmark_I5PV58Y32HM6K30020000400"/>
      <w:bookmarkEnd w:id="6061"/>
      <w:r>
        <w:rPr>
          <w:rFonts w:ascii="Arial" w:eastAsia="Arial" w:hAnsi="Arial" w:cs="Arial"/>
          <w:i/>
          <w:color w:val="000000"/>
          <w:sz w:val="20"/>
        </w:rPr>
        <w:t>id.</w:t>
      </w:r>
      <w:r>
        <w:rPr>
          <w:rFonts w:ascii="Arial" w:eastAsia="Arial" w:hAnsi="Arial" w:cs="Arial"/>
          <w:color w:val="000000"/>
          <w:sz w:val="20"/>
        </w:rPr>
        <w:t xml:space="preserve"> at 1140. The same necessarily must be true for Officer Hensley's violation, which occurred almost two years before the challenged conduct in </w:t>
      </w:r>
      <w:r>
        <w:rPr>
          <w:rFonts w:ascii="Arial" w:eastAsia="Arial" w:hAnsi="Arial" w:cs="Arial"/>
          <w:i/>
          <w:color w:val="000000"/>
          <w:sz w:val="20"/>
        </w:rPr>
        <w:t>A.M.</w:t>
      </w:r>
    </w:p>
    <w:p w:rsidR="00E456CD" w:rsidRDefault="00000000">
      <w:pPr>
        <w:pStyle w:val="Normal39"/>
        <w:widowControl w:val="0"/>
        <w:spacing w:before="200" w:line="260" w:lineRule="atLeast"/>
        <w:jc w:val="both"/>
      </w:pPr>
      <w:bookmarkStart w:id="6062" w:name="Bookmark_para_33_17"/>
      <w:bookmarkStart w:id="6063" w:name="Bookmark_I5PV58Y32HM6K30050000400"/>
      <w:bookmarkStart w:id="6064" w:name="Bookmark_I5PV58Y32HM6K40020000400"/>
      <w:bookmarkEnd w:id="6062"/>
      <w:bookmarkEnd w:id="6063"/>
      <w:bookmarkEnd w:id="6064"/>
      <w:r>
        <w:rPr>
          <w:rFonts w:ascii="Arial" w:eastAsia="Arial" w:hAnsi="Arial" w:cs="Arial"/>
          <w:color w:val="000000"/>
          <w:sz w:val="20"/>
        </w:rPr>
        <w:t xml:space="preserve">Without any on-point federal cases, Scott relies instead on </w:t>
      </w:r>
      <w:bookmarkStart w:id="6065" w:name="Bookmark_I5PV58Y32HM6K30040000400"/>
      <w:bookmarkEnd w:id="6065"/>
      <w:r>
        <w:rPr>
          <w:rFonts w:ascii="Arial" w:eastAsia="Arial" w:hAnsi="Arial" w:cs="Arial"/>
          <w:i/>
          <w:color w:val="000000"/>
          <w:sz w:val="20"/>
        </w:rPr>
        <w:t>State v. Silva</w:t>
      </w:r>
      <w:r>
        <w:rPr>
          <w:rFonts w:ascii="Arial" w:eastAsia="Arial" w:hAnsi="Arial" w:cs="Arial"/>
          <w:color w:val="000000"/>
          <w:sz w:val="20"/>
        </w:rPr>
        <w:t xml:space="preserve">, 1974- NMCA 072, 86 N.M. 543, 525 P.2d 903, 903 (N.M. Ct. App. 1974), a 1974 case from the New Mexico Court of Appeals. </w:t>
      </w:r>
      <w:bookmarkStart w:id="6066" w:name="Bookmark_I5PV58Y32HM6K40040000400"/>
      <w:bookmarkEnd w:id="6066"/>
      <w:r>
        <w:rPr>
          <w:rFonts w:ascii="Arial" w:eastAsia="Arial" w:hAnsi="Arial" w:cs="Arial"/>
          <w:color w:val="000000"/>
          <w:sz w:val="20"/>
        </w:rPr>
        <w:t xml:space="preserve">"Silva involved a distant statutory predecessor of N.M. Stat. Ann. § 30-20-13." </w:t>
      </w:r>
      <w:bookmarkStart w:id="6067" w:name="Bookmark_I5PV58Y32HM6K40010000400"/>
      <w:bookmarkEnd w:id="6067"/>
      <w:r>
        <w:rPr>
          <w:rFonts w:ascii="Arial" w:eastAsia="Arial" w:hAnsi="Arial" w:cs="Arial"/>
          <w:i/>
          <w:color w:val="000000"/>
          <w:sz w:val="20"/>
        </w:rPr>
        <w:t>A.M.</w:t>
      </w:r>
      <w:r>
        <w:rPr>
          <w:rFonts w:ascii="Arial" w:eastAsia="Arial" w:hAnsi="Arial" w:cs="Arial"/>
          <w:color w:val="000000"/>
          <w:sz w:val="20"/>
        </w:rPr>
        <w:t xml:space="preserve">, 830 F.3d at 1143. Under that provision, students who staged a sit-in inside a university president's office were charged with interfering with the "mission, processes, procedures or functions" of a university. </w:t>
      </w:r>
      <w:bookmarkStart w:id="6068" w:name="Bookmark_I5PV58Y32HM6K40040000400_2"/>
      <w:bookmarkStart w:id="6069" w:name="Bookmark_I5PV58Y32HM6K40030000400"/>
      <w:bookmarkEnd w:id="6068"/>
      <w:bookmarkEnd w:id="6069"/>
      <w:r>
        <w:rPr>
          <w:rFonts w:ascii="Arial" w:eastAsia="Arial" w:hAnsi="Arial" w:cs="Arial"/>
          <w:i/>
          <w:color w:val="000000"/>
          <w:sz w:val="20"/>
        </w:rPr>
        <w:t>Id.</w:t>
      </w:r>
      <w:r>
        <w:rPr>
          <w:rFonts w:ascii="Arial" w:eastAsia="Arial" w:hAnsi="Arial" w:cs="Arial"/>
          <w:color w:val="000000"/>
          <w:sz w:val="20"/>
        </w:rPr>
        <w:t xml:space="preserve"> at 905 (quoting N.M. Stat. Ann. § 40A-20-10(C) (1974)). </w:t>
      </w:r>
      <w:bookmarkStart w:id="6070" w:name="Bookmark_I3WXY41XH0700079WNY003T0"/>
      <w:bookmarkStart w:id="6071" w:name="Bookmark_I5PV58Y32D6NV70010000400"/>
      <w:bookmarkEnd w:id="6070"/>
      <w:bookmarkEnd w:id="6071"/>
      <w:r>
        <w:rPr>
          <w:rFonts w:ascii="Arial" w:eastAsia="Arial" w:hAnsi="Arial" w:cs="Arial"/>
          <w:color w:val="000000"/>
          <w:sz w:val="20"/>
        </w:rPr>
        <w:t xml:space="preserve">Scott contends that </w:t>
      </w:r>
      <w:r>
        <w:rPr>
          <w:rFonts w:ascii="Arial" w:eastAsia="Arial" w:hAnsi="Arial" w:cs="Arial"/>
          <w:i/>
          <w:color w:val="000000"/>
          <w:sz w:val="20"/>
        </w:rPr>
        <w:t>Silva</w:t>
      </w:r>
      <w:r>
        <w:rPr>
          <w:rFonts w:ascii="Arial" w:eastAsia="Arial" w:hAnsi="Arial" w:cs="Arial"/>
          <w:color w:val="000000"/>
          <w:sz w:val="20"/>
        </w:rPr>
        <w:t xml:space="preserve"> constitutes clearly-established law that defined the contours of probable cause for his arrest. However, in </w:t>
      </w:r>
      <w:r>
        <w:rPr>
          <w:rFonts w:ascii="Arial" w:eastAsia="Arial" w:hAnsi="Arial" w:cs="Arial"/>
          <w:i/>
          <w:color w:val="000000"/>
          <w:sz w:val="20"/>
        </w:rPr>
        <w:t>A.M.</w:t>
      </w:r>
      <w:r>
        <w:rPr>
          <w:rFonts w:ascii="Arial" w:eastAsia="Arial" w:hAnsi="Arial" w:cs="Arial"/>
          <w:color w:val="000000"/>
          <w:sz w:val="20"/>
        </w:rPr>
        <w:t xml:space="preserve">, we rejected an attempt to rely on </w:t>
      </w:r>
      <w:r>
        <w:rPr>
          <w:rFonts w:ascii="Arial" w:eastAsia="Arial" w:hAnsi="Arial" w:cs="Arial"/>
          <w:i/>
          <w:color w:val="000000"/>
          <w:sz w:val="20"/>
        </w:rPr>
        <w:t>Silva</w:t>
      </w:r>
      <w:r>
        <w:rPr>
          <w:rFonts w:ascii="Arial" w:eastAsia="Arial" w:hAnsi="Arial" w:cs="Arial"/>
          <w:color w:val="000000"/>
          <w:sz w:val="20"/>
        </w:rPr>
        <w:t xml:space="preserve"> for clearly-established law in very analogous circumstances. </w:t>
      </w:r>
      <w:r>
        <w:rPr>
          <w:rFonts w:ascii="Arial" w:eastAsia="Arial" w:hAnsi="Arial" w:cs="Arial"/>
          <w:i/>
          <w:color w:val="000000"/>
          <w:sz w:val="20"/>
        </w:rPr>
        <w:t>See</w:t>
      </w:r>
      <w:r>
        <w:rPr>
          <w:rFonts w:ascii="Arial" w:eastAsia="Arial" w:hAnsi="Arial" w:cs="Arial"/>
          <w:color w:val="000000"/>
          <w:sz w:val="20"/>
        </w:rPr>
        <w:t xml:space="preserve"> </w:t>
      </w:r>
      <w:bookmarkStart w:id="6072" w:name="Bookmark_I5PV58Y32HM6K40050000400"/>
      <w:bookmarkEnd w:id="6072"/>
      <w:r>
        <w:rPr>
          <w:rFonts w:ascii="Arial" w:eastAsia="Arial" w:hAnsi="Arial" w:cs="Arial"/>
          <w:color w:val="000000"/>
          <w:sz w:val="20"/>
        </w:rPr>
        <w:t>830 F.3d at 1145. We view that conclusion as controlling here. [**16] </w:t>
      </w:r>
      <w:r>
        <w:rPr>
          <w:rFonts w:ascii="Arial" w:eastAsia="Arial" w:hAnsi="Arial" w:cs="Arial"/>
          <w:vertAlign w:val="superscript"/>
        </w:rPr>
        <w:footnoteReference w:customMarkFollows="1" w:id="267"/>
        <w:t>7</w:t>
      </w:r>
    </w:p>
    <w:p w:rsidR="00E456CD" w:rsidRDefault="00000000">
      <w:pPr>
        <w:pStyle w:val="Normal39"/>
        <w:widowControl w:val="0"/>
        <w:spacing w:before="200" w:line="260" w:lineRule="atLeast"/>
        <w:jc w:val="both"/>
      </w:pPr>
      <w:bookmarkStart w:id="6093" w:name="Bookmark_para_34_16"/>
      <w:bookmarkStart w:id="6094" w:name="Bookmark_I5PV58Y32HM6K50010000400"/>
      <w:bookmarkEnd w:id="6093"/>
      <w:bookmarkEnd w:id="6094"/>
      <w:r>
        <w:rPr>
          <w:rFonts w:ascii="Arial" w:eastAsia="Arial" w:hAnsi="Arial" w:cs="Arial"/>
          <w:color w:val="000000"/>
          <w:sz w:val="20"/>
        </w:rPr>
        <w:t xml:space="preserve">In short, Scott has not identified any clearly-established law that would have given Officer Hensley "fair notice that his conduct would be unlawful in the circumstances he confronted." </w:t>
      </w:r>
      <w:bookmarkStart w:id="6095" w:name="Bookmark_I5PV58Y32N1PMM0050000400"/>
      <w:bookmarkEnd w:id="6095"/>
      <w:r>
        <w:rPr>
          <w:rFonts w:ascii="Arial" w:eastAsia="Arial" w:hAnsi="Arial" w:cs="Arial"/>
          <w:i/>
          <w:color w:val="000000"/>
          <w:sz w:val="20"/>
        </w:rPr>
        <w:t>Id.</w:t>
      </w:r>
      <w:r>
        <w:rPr>
          <w:rFonts w:ascii="Arial" w:eastAsia="Arial" w:hAnsi="Arial" w:cs="Arial"/>
          <w:color w:val="000000"/>
          <w:sz w:val="20"/>
        </w:rPr>
        <w:t xml:space="preserve"> at 1141. Accordingly, Scott cannot satisfy the second prong of the qualified-immunity standard; his Fourth Amendment unlawful-arrest claim necessarily fails.</w:t>
      </w:r>
    </w:p>
    <w:p w:rsidR="00E456CD" w:rsidRDefault="00000000">
      <w:pPr>
        <w:pStyle w:val="Normal39"/>
        <w:widowControl w:val="0"/>
        <w:spacing w:before="240" w:line="260" w:lineRule="atLeast"/>
      </w:pPr>
      <w:r>
        <w:br/>
      </w:r>
      <w:r>
        <w:rPr>
          <w:rFonts w:ascii="Arial" w:eastAsia="Arial" w:hAnsi="Arial" w:cs="Arial"/>
          <w:b/>
          <w:color w:val="000000"/>
          <w:sz w:val="20"/>
        </w:rPr>
        <w:t>B</w:t>
      </w:r>
    </w:p>
    <w:p w:rsidR="00E456CD" w:rsidRDefault="00000000">
      <w:pPr>
        <w:pStyle w:val="Normal39"/>
        <w:widowControl w:val="0"/>
        <w:spacing w:before="200" w:line="260" w:lineRule="atLeast"/>
        <w:jc w:val="both"/>
      </w:pPr>
      <w:bookmarkStart w:id="6096" w:name="Bookmark_para_35_15"/>
      <w:bookmarkEnd w:id="6096"/>
      <w:r>
        <w:rPr>
          <w:rFonts w:ascii="Arial" w:eastAsia="Arial" w:hAnsi="Arial" w:cs="Arial"/>
          <w:color w:val="000000"/>
          <w:sz w:val="20"/>
        </w:rPr>
        <w:t>Scott also challenges the district court's rejection of his excessive-force claim. Scott argues that "the force Officer Hensley used—in parading [Scott] through  [*880]  the school's halls in handcuffs and transporting him to the JDC—[was] excessive." Aplt.'s Opening Br. at 25. He notes that the arrest took place in front of his peers and other students, and that the tight handcuffs left his wrists bruised and swollen for a week after the arrest. The district court ruled that Scott had not demonstrated a constitutional violation. We agree, and conclude that Officer Hensley is entitled to qualified immunity on this claim.</w:t>
      </w:r>
    </w:p>
    <w:p w:rsidR="00E456CD" w:rsidRDefault="00000000">
      <w:pPr>
        <w:pStyle w:val="Normal39"/>
        <w:widowControl w:val="0"/>
        <w:spacing w:before="200" w:line="260" w:lineRule="atLeast"/>
        <w:jc w:val="both"/>
      </w:pPr>
      <w:bookmarkStart w:id="6097" w:name="Bookmark_para_36_14"/>
      <w:bookmarkStart w:id="6098" w:name="Bookmark_I5PV58Y32HM6K50030000400"/>
      <w:bookmarkStart w:id="6099" w:name="Bookmark_I5PV58Y32D6NV80020000400"/>
      <w:bookmarkEnd w:id="6097"/>
      <w:bookmarkEnd w:id="6098"/>
      <w:bookmarkEnd w:id="6099"/>
      <w:r>
        <w:rPr>
          <w:rFonts w:ascii="Arial" w:eastAsia="Arial" w:hAnsi="Arial" w:cs="Arial"/>
          <w:color w:val="000000"/>
          <w:sz w:val="20"/>
        </w:rPr>
        <w:t xml:space="preserve">"Under well-settled Supreme Court precedent, </w:t>
      </w:r>
      <w:bookmarkStart w:id="6100" w:name="Bookmark_LNHNREFclscc13_10"/>
      <w:bookmarkEnd w:id="6100"/>
      <w:r>
        <w:rPr>
          <w:rFonts w:ascii="Arial" w:eastAsia="Arial" w:hAnsi="Arial" w:cs="Arial"/>
          <w:color w:val="000000"/>
          <w:sz w:val="20"/>
        </w:rPr>
        <w:t xml:space="preserve">a law-enforcement officer's 'right to make an arrest . . . necessarily carries with it the right to use some degree of physical coercion . . . to effect it." [**17]  </w:t>
      </w:r>
      <w:bookmarkStart w:id="6101" w:name="Bookmark_I5PV58Y32HM6K50020000400"/>
      <w:bookmarkEnd w:id="6101"/>
      <w:r>
        <w:rPr>
          <w:rFonts w:ascii="Arial" w:eastAsia="Arial" w:hAnsi="Arial" w:cs="Arial"/>
          <w:i/>
          <w:color w:val="000000"/>
          <w:sz w:val="20"/>
        </w:rPr>
        <w:t>A.M.</w:t>
      </w:r>
      <w:r>
        <w:rPr>
          <w:rFonts w:ascii="Arial" w:eastAsia="Arial" w:hAnsi="Arial" w:cs="Arial"/>
          <w:color w:val="000000"/>
          <w:sz w:val="20"/>
        </w:rPr>
        <w:t xml:space="preserve">, 830 F.3d at 1151 (quoting </w:t>
      </w:r>
      <w:bookmarkStart w:id="6102" w:name="Bookmark_I5PV58Y32HM6K50040000400"/>
      <w:bookmarkEnd w:id="6102"/>
      <w:r>
        <w:rPr>
          <w:rFonts w:ascii="Arial" w:eastAsia="Arial" w:hAnsi="Arial" w:cs="Arial"/>
          <w:i/>
          <w:color w:val="000000"/>
          <w:sz w:val="20"/>
        </w:rPr>
        <w:t>Graham v. Connor</w:t>
      </w:r>
      <w:r>
        <w:rPr>
          <w:rFonts w:ascii="Arial" w:eastAsia="Arial" w:hAnsi="Arial" w:cs="Arial"/>
          <w:color w:val="000000"/>
          <w:sz w:val="20"/>
        </w:rPr>
        <w:t xml:space="preserve">, 490 U.S. 386, 396, 109 S. Ct. 1865, 104 L. Ed. 2d 443 (1989)). We evaluate excessive-force claims under an objective-reasonableness standard, using the perspective of a reasonable officer on the scene. </w:t>
      </w:r>
      <w:r>
        <w:rPr>
          <w:rFonts w:ascii="Arial" w:eastAsia="Arial" w:hAnsi="Arial" w:cs="Arial"/>
          <w:i/>
          <w:color w:val="000000"/>
          <w:sz w:val="20"/>
        </w:rPr>
        <w:t xml:space="preserve">See, e.g., </w:t>
      </w:r>
      <w:bookmarkStart w:id="6103" w:name="Bookmark_I5PV58Y32D6NV80010000400"/>
      <w:bookmarkEnd w:id="6103"/>
      <w:r>
        <w:rPr>
          <w:rFonts w:ascii="Arial" w:eastAsia="Arial" w:hAnsi="Arial" w:cs="Arial"/>
          <w:i/>
          <w:color w:val="000000"/>
          <w:sz w:val="20"/>
        </w:rPr>
        <w:t>Graham</w:t>
      </w:r>
      <w:r>
        <w:rPr>
          <w:rFonts w:ascii="Arial" w:eastAsia="Arial" w:hAnsi="Arial" w:cs="Arial"/>
          <w:color w:val="000000"/>
          <w:sz w:val="20"/>
        </w:rPr>
        <w:t xml:space="preserve">, 490 U.S. at 396 ("The 'reasonableness' of a particular use of force must be judged from the perspective of a reasonable officer on the scene, rather than with the 20/20 vision of hindsight."); </w:t>
      </w:r>
      <w:bookmarkStart w:id="6104" w:name="Bookmark_I5PV58Y32D6NV80030000400"/>
      <w:bookmarkEnd w:id="6104"/>
      <w:r>
        <w:rPr>
          <w:rFonts w:ascii="Arial" w:eastAsia="Arial" w:hAnsi="Arial" w:cs="Arial"/>
          <w:i/>
          <w:color w:val="000000"/>
          <w:sz w:val="20"/>
        </w:rPr>
        <w:t>Weigel v. Broad</w:t>
      </w:r>
      <w:r>
        <w:rPr>
          <w:rFonts w:ascii="Arial" w:eastAsia="Arial" w:hAnsi="Arial" w:cs="Arial"/>
          <w:color w:val="000000"/>
          <w:sz w:val="20"/>
        </w:rPr>
        <w:t xml:space="preserve">, 544 F.3d 1143, 1151 (10th Cir. 2008) ("The 'inquiry in an excessive force case is an objective one: the question is whether the officers' actions are objectively reasonable in light of the facts and circumstances confronting them, without regard to underlying intent or motivation.'" (quoting </w:t>
      </w:r>
      <w:bookmarkStart w:id="6105" w:name="Bookmark_I5PV58Y32D6NV80050000400"/>
      <w:bookmarkEnd w:id="6105"/>
      <w:r>
        <w:rPr>
          <w:rFonts w:ascii="Arial" w:eastAsia="Arial" w:hAnsi="Arial" w:cs="Arial"/>
          <w:i/>
          <w:color w:val="000000"/>
          <w:sz w:val="20"/>
        </w:rPr>
        <w:t>Graham</w:t>
      </w:r>
      <w:r>
        <w:rPr>
          <w:rFonts w:ascii="Arial" w:eastAsia="Arial" w:hAnsi="Arial" w:cs="Arial"/>
          <w:color w:val="000000"/>
          <w:sz w:val="20"/>
        </w:rPr>
        <w:t xml:space="preserve">, 490 U.S. at 397)); </w:t>
      </w:r>
      <w:r>
        <w:rPr>
          <w:rFonts w:ascii="Arial" w:eastAsia="Arial" w:hAnsi="Arial" w:cs="Arial"/>
          <w:i/>
          <w:color w:val="000000"/>
          <w:sz w:val="20"/>
        </w:rPr>
        <w:t xml:space="preserve">see also </w:t>
      </w:r>
      <w:bookmarkStart w:id="6106" w:name="Bookmark_I5PV58Y32D6NV90020000400"/>
      <w:bookmarkEnd w:id="6106"/>
      <w:r>
        <w:rPr>
          <w:rFonts w:ascii="Arial" w:eastAsia="Arial" w:hAnsi="Arial" w:cs="Arial"/>
          <w:i/>
          <w:color w:val="000000"/>
          <w:sz w:val="20"/>
        </w:rPr>
        <w:t>Lundstrom v. Romero</w:t>
      </w:r>
      <w:r>
        <w:rPr>
          <w:rFonts w:ascii="Arial" w:eastAsia="Arial" w:hAnsi="Arial" w:cs="Arial"/>
          <w:color w:val="000000"/>
          <w:sz w:val="20"/>
        </w:rPr>
        <w:t>, 616 F.3d 1108, 1120 (10th Cir. 2010) ("The reasonableness of a police officer's actions is evaluated from the perspective of a reasonable officer on the scene, recognizing the police officer may have been forced to make split-second decisions in a stressful, dynamic, and dangerous environment.").</w:t>
      </w:r>
    </w:p>
    <w:p w:rsidR="00E456CD" w:rsidRDefault="00000000">
      <w:pPr>
        <w:pStyle w:val="Normal39"/>
        <w:widowControl w:val="0"/>
        <w:spacing w:before="200" w:line="260" w:lineRule="atLeast"/>
        <w:jc w:val="both"/>
      </w:pPr>
      <w:bookmarkStart w:id="6107" w:name="Bookmark_para_37_13"/>
      <w:bookmarkStart w:id="6108" w:name="Bookmark_I5PV58Y32D6NV90050000400"/>
      <w:bookmarkStart w:id="6109" w:name="Bookmark_I5PV58Y328T3VD0040000400"/>
      <w:bookmarkStart w:id="6110" w:name="Bookmark_LNHNREFclscc14_8"/>
      <w:bookmarkEnd w:id="6107"/>
      <w:bookmarkEnd w:id="6108"/>
      <w:bookmarkEnd w:id="6109"/>
      <w:bookmarkEnd w:id="6110"/>
      <w:r>
        <w:rPr>
          <w:rFonts w:ascii="Arial" w:eastAsia="Arial" w:hAnsi="Arial" w:cs="Arial"/>
          <w:color w:val="000000"/>
          <w:sz w:val="20"/>
        </w:rPr>
        <w:t xml:space="preserve">We consider the totality of the circumstances to determine if an officer's actions were objectively reasonable. </w:t>
      </w:r>
      <w:r>
        <w:rPr>
          <w:rFonts w:ascii="Arial" w:eastAsia="Arial" w:hAnsi="Arial" w:cs="Arial"/>
          <w:i/>
          <w:color w:val="000000"/>
          <w:sz w:val="20"/>
        </w:rPr>
        <w:t xml:space="preserve">See, e.g., </w:t>
      </w:r>
      <w:bookmarkStart w:id="6111" w:name="Bookmark_I5PV58Y32D6NV90040000400"/>
      <w:bookmarkEnd w:id="6111"/>
      <w:r>
        <w:rPr>
          <w:rFonts w:ascii="Arial" w:eastAsia="Arial" w:hAnsi="Arial" w:cs="Arial"/>
          <w:i/>
          <w:color w:val="000000"/>
          <w:sz w:val="20"/>
        </w:rPr>
        <w:t>Thomson</w:t>
      </w:r>
      <w:r>
        <w:rPr>
          <w:rFonts w:ascii="Arial" w:eastAsia="Arial" w:hAnsi="Arial" w:cs="Arial"/>
          <w:color w:val="000000"/>
          <w:sz w:val="20"/>
        </w:rPr>
        <w:t xml:space="preserve">, 584 F.3d at 1313 (noting that "[r]easonableness is evaluated under a totality of the circumstances approach"); </w:t>
      </w:r>
      <w:r>
        <w:rPr>
          <w:rFonts w:ascii="Arial" w:eastAsia="Arial" w:hAnsi="Arial" w:cs="Arial"/>
          <w:i/>
          <w:color w:val="000000"/>
          <w:sz w:val="20"/>
        </w:rPr>
        <w:t xml:space="preserve">accord </w:t>
      </w:r>
      <w:bookmarkStart w:id="6112" w:name="Bookmark_I5PV58Y328T3VD0010000400"/>
      <w:bookmarkEnd w:id="6112"/>
      <w:r>
        <w:rPr>
          <w:rFonts w:ascii="Arial" w:eastAsia="Arial" w:hAnsi="Arial" w:cs="Arial"/>
          <w:i/>
          <w:color w:val="000000"/>
          <w:sz w:val="20"/>
        </w:rPr>
        <w:t>Estate of Larsen ex rel. Sturdivan v. Murr</w:t>
      </w:r>
      <w:r>
        <w:rPr>
          <w:rFonts w:ascii="Arial" w:eastAsia="Arial" w:hAnsi="Arial" w:cs="Arial"/>
          <w:color w:val="000000"/>
          <w:sz w:val="20"/>
        </w:rPr>
        <w:t xml:space="preserve">, 511 F.3d 1255, 1260 (10th Cir. 2008). This involves (but is not limited to) examining "the severity of the crime at issue, whether the suspect poses an immediate [**18]  threat to the safety of the officers or others, and whether he is actively resisting arrest or attempting to evade arrest by flight." </w:t>
      </w:r>
      <w:bookmarkStart w:id="6113" w:name="Bookmark_I5PV58Y328T3VD0030000400"/>
      <w:bookmarkEnd w:id="6113"/>
      <w:r>
        <w:rPr>
          <w:rFonts w:ascii="Arial" w:eastAsia="Arial" w:hAnsi="Arial" w:cs="Arial"/>
          <w:i/>
          <w:color w:val="000000"/>
          <w:sz w:val="20"/>
        </w:rPr>
        <w:t>Graham</w:t>
      </w:r>
      <w:r>
        <w:rPr>
          <w:rFonts w:ascii="Arial" w:eastAsia="Arial" w:hAnsi="Arial" w:cs="Arial"/>
          <w:color w:val="000000"/>
          <w:sz w:val="20"/>
        </w:rPr>
        <w:t>, 490 U.S. at 396.</w:t>
      </w:r>
    </w:p>
    <w:p w:rsidR="00E456CD" w:rsidRDefault="00000000">
      <w:pPr>
        <w:pStyle w:val="Normal39"/>
        <w:widowControl w:val="0"/>
        <w:spacing w:before="200" w:line="260" w:lineRule="atLeast"/>
        <w:jc w:val="both"/>
      </w:pPr>
      <w:bookmarkStart w:id="6114" w:name="Bookmark_para_38_13"/>
      <w:bookmarkStart w:id="6115" w:name="Bookmark_I5PV58Y328T3VF0010000400"/>
      <w:bookmarkStart w:id="6116" w:name="Bookmark_I5PV58Y32SF8HW0020000400"/>
      <w:bookmarkEnd w:id="6114"/>
      <w:bookmarkEnd w:id="6115"/>
      <w:bookmarkEnd w:id="6116"/>
      <w:r>
        <w:rPr>
          <w:rFonts w:ascii="Arial" w:eastAsia="Arial" w:hAnsi="Arial" w:cs="Arial"/>
          <w:color w:val="000000"/>
          <w:sz w:val="20"/>
        </w:rPr>
        <w:t xml:space="preserve">Critically, however, </w:t>
      </w:r>
      <w:bookmarkStart w:id="6117" w:name="Bookmark_LNHNREFclscc15_7"/>
      <w:bookmarkEnd w:id="6117"/>
      <w:r>
        <w:rPr>
          <w:rFonts w:ascii="Arial" w:eastAsia="Arial" w:hAnsi="Arial" w:cs="Arial"/>
          <w:color w:val="000000"/>
          <w:sz w:val="20"/>
        </w:rPr>
        <w:t xml:space="preserve">"our precedent requires a showing in a handcuffing case of an actual, non-de minimis physical, emotional, or dignitary injury to succeed on a claim." </w:t>
      </w:r>
      <w:bookmarkStart w:id="6118" w:name="Bookmark_I5PV58Y328T3VD0050000400"/>
      <w:bookmarkEnd w:id="6118"/>
      <w:r>
        <w:rPr>
          <w:rFonts w:ascii="Arial" w:eastAsia="Arial" w:hAnsi="Arial" w:cs="Arial"/>
          <w:i/>
          <w:color w:val="000000"/>
          <w:sz w:val="20"/>
        </w:rPr>
        <w:t>Fisher v. City of Las Cruces</w:t>
      </w:r>
      <w:r>
        <w:rPr>
          <w:rFonts w:ascii="Arial" w:eastAsia="Arial" w:hAnsi="Arial" w:cs="Arial"/>
          <w:color w:val="000000"/>
          <w:sz w:val="20"/>
        </w:rPr>
        <w:t xml:space="preserve">, 584 F.3d 888, 899 (10th Cir. 2009); </w:t>
      </w:r>
      <w:r>
        <w:rPr>
          <w:rFonts w:ascii="Arial" w:eastAsia="Arial" w:hAnsi="Arial" w:cs="Arial"/>
          <w:i/>
          <w:color w:val="000000"/>
          <w:sz w:val="20"/>
        </w:rPr>
        <w:t xml:space="preserve">accord </w:t>
      </w:r>
      <w:bookmarkStart w:id="6119" w:name="Bookmark_I5PV58Y328T3VF0020000400"/>
      <w:bookmarkEnd w:id="6119"/>
      <w:r>
        <w:rPr>
          <w:rFonts w:ascii="Arial" w:eastAsia="Arial" w:hAnsi="Arial" w:cs="Arial"/>
          <w:i/>
          <w:color w:val="000000"/>
          <w:sz w:val="20"/>
        </w:rPr>
        <w:t>A.M.</w:t>
      </w:r>
      <w:r>
        <w:rPr>
          <w:rFonts w:ascii="Arial" w:eastAsia="Arial" w:hAnsi="Arial" w:cs="Arial"/>
          <w:color w:val="000000"/>
          <w:sz w:val="20"/>
        </w:rPr>
        <w:t xml:space="preserve">, 830 F.3d at 1151-52; </w:t>
      </w:r>
      <w:r>
        <w:rPr>
          <w:rFonts w:ascii="Arial" w:eastAsia="Arial" w:hAnsi="Arial" w:cs="Arial"/>
          <w:i/>
          <w:color w:val="000000"/>
          <w:sz w:val="20"/>
        </w:rPr>
        <w:t xml:space="preserve">see also </w:t>
      </w:r>
      <w:bookmarkStart w:id="6120" w:name="Bookmark_I5PV58Y328T3VF0040000400"/>
      <w:bookmarkEnd w:id="6120"/>
      <w:r>
        <w:rPr>
          <w:rFonts w:ascii="Arial" w:eastAsia="Arial" w:hAnsi="Arial" w:cs="Arial"/>
          <w:i/>
          <w:color w:val="000000"/>
          <w:sz w:val="20"/>
        </w:rPr>
        <w:t>Cortez v. McCauley</w:t>
      </w:r>
      <w:r>
        <w:rPr>
          <w:rFonts w:ascii="Arial" w:eastAsia="Arial" w:hAnsi="Arial" w:cs="Arial"/>
          <w:color w:val="000000"/>
          <w:sz w:val="20"/>
        </w:rPr>
        <w:t xml:space="preserve">, 478 F.3d 1108, 1129 (10th Cir. 2007) (en banc) ("We believe that a claim of excessive force requires some actual injury that is not de minimis, be it physical or emotional."). "This is because '[h]andcuffing claims, in essence, concern the manner or course in which a petitioner is handcuffed,' and '[b]ecause handcuffing itself is not necessarily an excessive use of force in connection with an arrest.'" </w:t>
      </w:r>
      <w:bookmarkStart w:id="6121" w:name="Bookmark_I5PV58Y32SF8HW0010000400"/>
      <w:bookmarkEnd w:id="6121"/>
      <w:r>
        <w:rPr>
          <w:rFonts w:ascii="Arial" w:eastAsia="Arial" w:hAnsi="Arial" w:cs="Arial"/>
          <w:i/>
          <w:color w:val="000000"/>
          <w:sz w:val="20"/>
        </w:rPr>
        <w:t>A.M.</w:t>
      </w:r>
      <w:r>
        <w:rPr>
          <w:rFonts w:ascii="Arial" w:eastAsia="Arial" w:hAnsi="Arial" w:cs="Arial"/>
          <w:color w:val="000000"/>
          <w:sz w:val="20"/>
        </w:rPr>
        <w:t xml:space="preserve">, 830 F.3d at 1152 (alterations in original) (quoting </w:t>
      </w:r>
      <w:bookmarkStart w:id="6122" w:name="Bookmark_I5PV58Y32SF8HW0030000400"/>
      <w:bookmarkEnd w:id="6122"/>
      <w:r>
        <w:rPr>
          <w:rFonts w:ascii="Arial" w:eastAsia="Arial" w:hAnsi="Arial" w:cs="Arial"/>
          <w:i/>
          <w:color w:val="000000"/>
          <w:sz w:val="20"/>
        </w:rPr>
        <w:t>Fisher</w:t>
      </w:r>
      <w:r>
        <w:rPr>
          <w:rFonts w:ascii="Arial" w:eastAsia="Arial" w:hAnsi="Arial" w:cs="Arial"/>
          <w:color w:val="000000"/>
          <w:sz w:val="20"/>
        </w:rPr>
        <w:t xml:space="preserve">, 584 F.3d at 897); </w:t>
      </w:r>
      <w:r>
        <w:rPr>
          <w:rFonts w:ascii="Arial" w:eastAsia="Arial" w:hAnsi="Arial" w:cs="Arial"/>
          <w:i/>
          <w:color w:val="000000"/>
          <w:sz w:val="20"/>
        </w:rPr>
        <w:t xml:space="preserve">cf. </w:t>
      </w:r>
      <w:bookmarkStart w:id="6123" w:name="Bookmark_I5PV58Y32SF8HW0050000400"/>
      <w:bookmarkEnd w:id="6123"/>
      <w:r>
        <w:rPr>
          <w:rFonts w:ascii="Arial" w:eastAsia="Arial" w:hAnsi="Arial" w:cs="Arial"/>
          <w:i/>
          <w:color w:val="000000"/>
          <w:sz w:val="20"/>
        </w:rPr>
        <w:t>United States v. Rodella</w:t>
      </w:r>
      <w:r>
        <w:rPr>
          <w:rFonts w:ascii="Arial" w:eastAsia="Arial" w:hAnsi="Arial" w:cs="Arial"/>
          <w:color w:val="000000"/>
          <w:sz w:val="20"/>
        </w:rPr>
        <w:t xml:space="preserve">, 804 F.3d 1317, 1327 (10th Cir. 2015), </w:t>
      </w:r>
      <w:r>
        <w:rPr>
          <w:rFonts w:ascii="Arial" w:eastAsia="Arial" w:hAnsi="Arial" w:cs="Arial"/>
          <w:i/>
          <w:color w:val="000000"/>
          <w:sz w:val="20"/>
        </w:rPr>
        <w:t>cert. denied</w:t>
      </w:r>
      <w:r>
        <w:rPr>
          <w:rFonts w:ascii="Arial" w:eastAsia="Arial" w:hAnsi="Arial" w:cs="Arial"/>
          <w:color w:val="000000"/>
          <w:sz w:val="20"/>
        </w:rPr>
        <w:t xml:space="preserve">, 137 S. Ct. 37, 196 L. Ed. 2d 26 (2016) (concluding that </w:t>
      </w:r>
      <w:r>
        <w:rPr>
          <w:rFonts w:ascii="Arial" w:eastAsia="Arial" w:hAnsi="Arial" w:cs="Arial"/>
          <w:i/>
          <w:color w:val="000000"/>
          <w:sz w:val="20"/>
        </w:rPr>
        <w:t>Cortez</w:t>
      </w:r>
      <w:r>
        <w:rPr>
          <w:rFonts w:ascii="Arial" w:eastAsia="Arial" w:hAnsi="Arial" w:cs="Arial"/>
          <w:color w:val="000000"/>
          <w:sz w:val="20"/>
        </w:rPr>
        <w:t xml:space="preserve">'s non-de-minimis-injury requirement "is limited to handcuffing cases"). Like the district court, we conclude that Scott's excessive-force claim fails to satisfy this non-de minimis-injury standard. Quite apart from whether one or more of the </w:t>
      </w:r>
      <w:r>
        <w:rPr>
          <w:rFonts w:ascii="Arial" w:eastAsia="Arial" w:hAnsi="Arial" w:cs="Arial"/>
          <w:i/>
          <w:color w:val="000000"/>
          <w:sz w:val="20"/>
        </w:rPr>
        <w:t>Graham</w:t>
      </w:r>
      <w:r>
        <w:rPr>
          <w:rFonts w:ascii="Arial" w:eastAsia="Arial" w:hAnsi="Arial" w:cs="Arial"/>
          <w:color w:val="000000"/>
          <w:sz w:val="20"/>
        </w:rPr>
        <w:t xml:space="preserve"> factors noted above (e.g., severity of the crime) favors him, this failure is determinative.</w:t>
      </w:r>
    </w:p>
    <w:p w:rsidR="00E456CD" w:rsidRDefault="00000000">
      <w:pPr>
        <w:pStyle w:val="Normal39"/>
        <w:widowControl w:val="0"/>
        <w:spacing w:before="200" w:line="260" w:lineRule="atLeast"/>
        <w:jc w:val="both"/>
      </w:pPr>
      <w:bookmarkStart w:id="6124" w:name="Bookmark_para_39_13"/>
      <w:bookmarkEnd w:id="6124"/>
      <w:r>
        <w:rPr>
          <w:rFonts w:ascii="Arial" w:eastAsia="Arial" w:hAnsi="Arial" w:cs="Arial"/>
          <w:color w:val="000000"/>
          <w:sz w:val="20"/>
        </w:rPr>
        <w:t xml:space="preserve"> [*881]  Scott alleges that the cuffs were "uncomfortably tight" when Officer Hensley put them on. Aplt.'s App. at 203. </w:t>
      </w:r>
      <w:bookmarkStart w:id="6125" w:name="Bookmark_I5PV58Y32SF8HX0030000400"/>
      <w:bookmarkEnd w:id="6125"/>
      <w:r>
        <w:rPr>
          <w:rFonts w:ascii="Arial" w:eastAsia="Arial" w:hAnsi="Arial" w:cs="Arial"/>
          <w:color w:val="000000"/>
          <w:sz w:val="20"/>
        </w:rPr>
        <w:t xml:space="preserve">Ms. Wiggins [**19]  loosened the cuffs after about twenty minutes, but Scott testified that he was in pain for the week after the arrest. </w:t>
      </w:r>
      <w:bookmarkStart w:id="6126" w:name="Bookmark_LNHNREFclscc16_7"/>
      <w:bookmarkEnd w:id="6126"/>
      <w:r>
        <w:rPr>
          <w:rFonts w:ascii="Arial" w:eastAsia="Arial" w:hAnsi="Arial" w:cs="Arial"/>
          <w:color w:val="000000"/>
          <w:sz w:val="20"/>
        </w:rPr>
        <w:t xml:space="preserve">Unduly tight handcuffs can, in some cases, amount to excessive force. </w:t>
      </w:r>
      <w:bookmarkStart w:id="6127" w:name="Bookmark_I5PV58Y32SF8HX0050000400"/>
      <w:bookmarkEnd w:id="6127"/>
      <w:r>
        <w:rPr>
          <w:rFonts w:ascii="Arial" w:eastAsia="Arial" w:hAnsi="Arial" w:cs="Arial"/>
          <w:i/>
          <w:color w:val="000000"/>
          <w:sz w:val="20"/>
        </w:rPr>
        <w:t xml:space="preserve">See </w:t>
      </w:r>
      <w:bookmarkStart w:id="6128" w:name="Bookmark_I5PV58Y32SF8HX0020000400"/>
      <w:bookmarkEnd w:id="6128"/>
      <w:r>
        <w:rPr>
          <w:rFonts w:ascii="Arial" w:eastAsia="Arial" w:hAnsi="Arial" w:cs="Arial"/>
          <w:i/>
          <w:color w:val="000000"/>
          <w:sz w:val="20"/>
        </w:rPr>
        <w:t>Cortez</w:t>
      </w:r>
      <w:r>
        <w:rPr>
          <w:rFonts w:ascii="Arial" w:eastAsia="Arial" w:hAnsi="Arial" w:cs="Arial"/>
          <w:color w:val="000000"/>
          <w:sz w:val="20"/>
        </w:rPr>
        <w:t xml:space="preserve">, 478 F.3d at 1128-29 ("In some circumstances, unduly tight handcuffing can constitute excessive force </w:t>
      </w:r>
      <w:r>
        <w:rPr>
          <w:rFonts w:ascii="Arial" w:eastAsia="Arial" w:hAnsi="Arial" w:cs="Arial"/>
          <w:i/>
          <w:color w:val="000000"/>
          <w:sz w:val="20"/>
        </w:rPr>
        <w:t>where a plaintiff alleges some actual injury</w:t>
      </w:r>
      <w:r>
        <w:rPr>
          <w:rFonts w:ascii="Arial" w:eastAsia="Arial" w:hAnsi="Arial" w:cs="Arial"/>
          <w:color w:val="000000"/>
          <w:sz w:val="20"/>
        </w:rPr>
        <w:t xml:space="preserve"> from the handcuffing and alleges that an officer ignored a plaintiff's timely complaints (or was otherwise made aware) that the handcuffs were too tight." (emphasis added)). </w:t>
      </w:r>
      <w:bookmarkStart w:id="6129" w:name="Bookmark_I5PV58Y32SF8HX0050000400_2"/>
      <w:bookmarkEnd w:id="6129"/>
      <w:r>
        <w:rPr>
          <w:rFonts w:ascii="Arial" w:eastAsia="Arial" w:hAnsi="Arial" w:cs="Arial"/>
          <w:color w:val="000000"/>
          <w:sz w:val="20"/>
        </w:rPr>
        <w:t xml:space="preserve">But a plaintiff still must make a showing that the handcuffs caused "some actual injury that is not de minimis" before we can find a constitutional violation. </w:t>
      </w:r>
      <w:bookmarkStart w:id="6130" w:name="Bookmark_I5PV58Y32SF8HX0040000400"/>
      <w:bookmarkEnd w:id="6130"/>
      <w:r>
        <w:rPr>
          <w:rFonts w:ascii="Arial" w:eastAsia="Arial" w:hAnsi="Arial" w:cs="Arial"/>
          <w:i/>
          <w:color w:val="000000"/>
          <w:sz w:val="20"/>
        </w:rPr>
        <w:t>Id.</w:t>
      </w:r>
      <w:r>
        <w:rPr>
          <w:rFonts w:ascii="Arial" w:eastAsia="Arial" w:hAnsi="Arial" w:cs="Arial"/>
          <w:color w:val="000000"/>
          <w:sz w:val="20"/>
        </w:rPr>
        <w:t xml:space="preserve"> at 1129. Scott fails to make this showing.</w:t>
      </w:r>
    </w:p>
    <w:p w:rsidR="00E456CD" w:rsidRDefault="00000000">
      <w:pPr>
        <w:pStyle w:val="Normal39"/>
        <w:widowControl w:val="0"/>
        <w:spacing w:before="200" w:line="260" w:lineRule="atLeast"/>
        <w:jc w:val="both"/>
      </w:pPr>
      <w:bookmarkStart w:id="6131" w:name="Bookmark_para_40_12"/>
      <w:bookmarkEnd w:id="6131"/>
      <w:r>
        <w:rPr>
          <w:rFonts w:ascii="Arial" w:eastAsia="Arial" w:hAnsi="Arial" w:cs="Arial"/>
          <w:color w:val="000000"/>
          <w:sz w:val="20"/>
        </w:rPr>
        <w:t xml:space="preserve">Scott testified that his wrists "were bruised and swollen" for "about a week" after the arrest, and that "anything [he] did [that involved] moving [his] wrists hurt." Aplt.'s App. at 131, 204. He also alleged that the cuffs left "redness, soreness and indentations" on his wrists. </w:t>
      </w:r>
      <w:r>
        <w:rPr>
          <w:rFonts w:ascii="Arial" w:eastAsia="Arial" w:hAnsi="Arial" w:cs="Arial"/>
          <w:i/>
          <w:color w:val="000000"/>
          <w:sz w:val="20"/>
        </w:rPr>
        <w:t>Id.</w:t>
      </w:r>
      <w:r>
        <w:rPr>
          <w:rFonts w:ascii="Arial" w:eastAsia="Arial" w:hAnsi="Arial" w:cs="Arial"/>
          <w:color w:val="000000"/>
          <w:sz w:val="20"/>
        </w:rPr>
        <w:t xml:space="preserve"> at 115 (Pl.s' Interrog. No. 17). Yet, he concedes that he never got any medical treatment for his injuries and that the injuries were gone after about a week.</w:t>
      </w:r>
    </w:p>
    <w:p w:rsidR="00E456CD" w:rsidRDefault="00000000">
      <w:pPr>
        <w:pStyle w:val="Normal39"/>
        <w:widowControl w:val="0"/>
        <w:spacing w:before="200" w:line="260" w:lineRule="atLeast"/>
        <w:jc w:val="both"/>
      </w:pPr>
      <w:bookmarkStart w:id="6132" w:name="Bookmark_para_41_11"/>
      <w:bookmarkStart w:id="6133" w:name="Bookmark_I3WXY41XTX700079WNY003T2"/>
      <w:bookmarkStart w:id="6134" w:name="Bookmark_I5PV58Y32N1PMN0020000400"/>
      <w:bookmarkEnd w:id="6132"/>
      <w:bookmarkEnd w:id="6133"/>
      <w:bookmarkEnd w:id="6134"/>
      <w:r>
        <w:rPr>
          <w:rFonts w:ascii="Arial" w:eastAsia="Arial" w:hAnsi="Arial" w:cs="Arial"/>
          <w:color w:val="000000"/>
          <w:sz w:val="20"/>
        </w:rPr>
        <w:t xml:space="preserve">This is not enough to show a constitutional violation. </w:t>
      </w:r>
      <w:bookmarkStart w:id="6135" w:name="Bookmark_I3WXY41Y11300079WNY003T3"/>
      <w:bookmarkStart w:id="6136" w:name="Bookmark_I5PV58Y32N1PMN0040000400"/>
      <w:bookmarkStart w:id="6137" w:name="Bookmark_LNHNREFclscc17_6"/>
      <w:bookmarkEnd w:id="6135"/>
      <w:bookmarkEnd w:id="6136"/>
      <w:bookmarkEnd w:id="6137"/>
      <w:r>
        <w:rPr>
          <w:rFonts w:ascii="Arial" w:eastAsia="Arial" w:hAnsi="Arial" w:cs="Arial"/>
          <w:color w:val="000000"/>
          <w:sz w:val="20"/>
        </w:rPr>
        <w:t xml:space="preserve">We have rejected minor, temporary injuries—like pain, numbness, or swelling—as [**20]  de minimis in handcuff-related excessive-force cases. </w:t>
      </w:r>
      <w:bookmarkStart w:id="6138" w:name="Bookmark_I3WXY41Y8NC00079WNY003T5"/>
      <w:bookmarkStart w:id="6139" w:name="Bookmark_I5PV58Y32N1PMP0010000400"/>
      <w:bookmarkEnd w:id="6138"/>
      <w:bookmarkEnd w:id="6139"/>
      <w:r>
        <w:rPr>
          <w:rFonts w:ascii="Arial" w:eastAsia="Arial" w:hAnsi="Arial" w:cs="Arial"/>
          <w:color w:val="000000"/>
          <w:sz w:val="20"/>
        </w:rPr>
        <w:t xml:space="preserve">For example, in </w:t>
      </w:r>
      <w:bookmarkStart w:id="6140" w:name="Bookmark_I5PV58Y32N1PMN0010000400"/>
      <w:bookmarkEnd w:id="6140"/>
      <w:r>
        <w:rPr>
          <w:rFonts w:ascii="Arial" w:eastAsia="Arial" w:hAnsi="Arial" w:cs="Arial"/>
          <w:i/>
          <w:color w:val="000000"/>
          <w:sz w:val="20"/>
        </w:rPr>
        <w:t>Koch v. City of Del City</w:t>
      </w:r>
      <w:r>
        <w:rPr>
          <w:rFonts w:ascii="Arial" w:eastAsia="Arial" w:hAnsi="Arial" w:cs="Arial"/>
          <w:color w:val="000000"/>
          <w:sz w:val="20"/>
        </w:rPr>
        <w:t xml:space="preserve">, 660 F.3d 1228, 1247-48 (10th Cir. 2011), we concluded that a plaintiff had failed to show "'actual injury'" when she alleged superficial abrasions and lingering nerve pain in her wrists. </w:t>
      </w:r>
      <w:bookmarkStart w:id="6141" w:name="Bookmark_I5PV58Y32N1PMP0010000400_2"/>
      <w:bookmarkStart w:id="6142" w:name="Bookmark_I5PV58Y32N1PMN0040000400_2"/>
      <w:bookmarkEnd w:id="6141"/>
      <w:bookmarkEnd w:id="6142"/>
      <w:r>
        <w:rPr>
          <w:rFonts w:ascii="Arial" w:eastAsia="Arial" w:hAnsi="Arial" w:cs="Arial"/>
          <w:i/>
          <w:color w:val="000000"/>
          <w:sz w:val="20"/>
        </w:rPr>
        <w:t>Id.</w:t>
      </w:r>
      <w:r>
        <w:rPr>
          <w:rFonts w:ascii="Arial" w:eastAsia="Arial" w:hAnsi="Arial" w:cs="Arial"/>
          <w:color w:val="000000"/>
          <w:sz w:val="20"/>
        </w:rPr>
        <w:t xml:space="preserve"> Similarly, in </w:t>
      </w:r>
      <w:bookmarkStart w:id="6143" w:name="Bookmark_I5PV58Y32N1PMN0030000400"/>
      <w:bookmarkEnd w:id="6143"/>
      <w:r>
        <w:rPr>
          <w:rFonts w:ascii="Arial" w:eastAsia="Arial" w:hAnsi="Arial" w:cs="Arial"/>
          <w:i/>
          <w:color w:val="000000"/>
          <w:sz w:val="20"/>
        </w:rPr>
        <w:t>Segura v. Jones</w:t>
      </w:r>
      <w:r>
        <w:rPr>
          <w:rFonts w:ascii="Arial" w:eastAsia="Arial" w:hAnsi="Arial" w:cs="Arial"/>
          <w:color w:val="000000"/>
          <w:sz w:val="20"/>
        </w:rPr>
        <w:t xml:space="preserve">, 259 F. App'x 95, 103-04 (10th Cir. 2007) (unpublished), a panel of our court found no more than a de minimis injury stemming from tight handcuffs. </w:t>
      </w:r>
      <w:r>
        <w:rPr>
          <w:rFonts w:ascii="Arial" w:eastAsia="Arial" w:hAnsi="Arial" w:cs="Arial"/>
          <w:i/>
          <w:color w:val="000000"/>
          <w:sz w:val="20"/>
        </w:rPr>
        <w:t xml:space="preserve">Id.; cf. </w:t>
      </w:r>
      <w:bookmarkStart w:id="6144" w:name="Bookmark_I5PV58Y32N1PMN0050000400"/>
      <w:bookmarkEnd w:id="6144"/>
      <w:r>
        <w:rPr>
          <w:rFonts w:ascii="Arial" w:eastAsia="Arial" w:hAnsi="Arial" w:cs="Arial"/>
          <w:i/>
          <w:color w:val="000000"/>
          <w:sz w:val="20"/>
        </w:rPr>
        <w:t>Vondrak v. City of Las Cruces</w:t>
      </w:r>
      <w:r>
        <w:rPr>
          <w:rFonts w:ascii="Arial" w:eastAsia="Arial" w:hAnsi="Arial" w:cs="Arial"/>
          <w:color w:val="000000"/>
          <w:sz w:val="20"/>
        </w:rPr>
        <w:t>, 535 F.3d 1198, 1209-10 (10th Cir. 2008) (concluding that a plaintiff established a constitutional violation when tightened handcuffs caused permanent nerve damage in plaintiff's wrist).</w:t>
      </w:r>
    </w:p>
    <w:p w:rsidR="00E456CD" w:rsidRDefault="00000000">
      <w:pPr>
        <w:pStyle w:val="Normal39"/>
        <w:widowControl w:val="0"/>
        <w:spacing w:before="200" w:line="260" w:lineRule="atLeast"/>
        <w:jc w:val="both"/>
      </w:pPr>
      <w:bookmarkStart w:id="6145" w:name="Bookmark_para_42_10"/>
      <w:bookmarkEnd w:id="6145"/>
      <w:r>
        <w:rPr>
          <w:rFonts w:ascii="Arial" w:eastAsia="Arial" w:hAnsi="Arial" w:cs="Arial"/>
          <w:color w:val="000000"/>
          <w:sz w:val="20"/>
        </w:rPr>
        <w:t xml:space="preserve">Scott's injuries are no different. Even though he was in pain for hours while wearing the handcuffs, that pain did not last long. And the handcuffs left no permanent injury: the swelling went down after about a week, and the bruises faded around the same time. </w:t>
      </w:r>
      <w:r>
        <w:rPr>
          <w:rFonts w:ascii="Arial" w:eastAsia="Arial" w:hAnsi="Arial" w:cs="Arial"/>
          <w:i/>
          <w:color w:val="000000"/>
          <w:sz w:val="20"/>
        </w:rPr>
        <w:t>See</w:t>
      </w:r>
      <w:r>
        <w:rPr>
          <w:rFonts w:ascii="Arial" w:eastAsia="Arial" w:hAnsi="Arial" w:cs="Arial"/>
          <w:color w:val="000000"/>
          <w:sz w:val="20"/>
        </w:rPr>
        <w:t xml:space="preserve"> Aplt.'s App. at 204 (Scott testifying that he had no "problems with [his] wrists" on the day he was deposed). Simply put, Scott's injuries were not severe enough to render Officer Hensley's force excessive.</w:t>
      </w:r>
      <w:r>
        <w:rPr>
          <w:rFonts w:ascii="Arial" w:eastAsia="Arial" w:hAnsi="Arial" w:cs="Arial"/>
          <w:vertAlign w:val="superscript"/>
        </w:rPr>
        <w:footnoteReference w:customMarkFollows="1" w:id="268"/>
        <w:t>8</w:t>
      </w:r>
    </w:p>
    <w:p w:rsidR="00E456CD" w:rsidRDefault="00000000">
      <w:pPr>
        <w:pStyle w:val="Normal39"/>
        <w:widowControl w:val="0"/>
        <w:spacing w:before="200" w:line="260" w:lineRule="atLeast"/>
        <w:jc w:val="both"/>
      </w:pPr>
      <w:bookmarkStart w:id="6147" w:name="Bookmark_para_43_8"/>
      <w:bookmarkEnd w:id="6147"/>
      <w:r>
        <w:rPr>
          <w:rFonts w:ascii="Arial" w:eastAsia="Arial" w:hAnsi="Arial" w:cs="Arial"/>
          <w:color w:val="000000"/>
          <w:sz w:val="20"/>
        </w:rPr>
        <w:t xml:space="preserve">The same is true for Scott's emotional injuries. Scott said that he was humiliated when Officer Hensley walked him through the school hallways in handcuffs during a break between classes. </w:t>
      </w:r>
      <w:bookmarkStart w:id="6148" w:name="Bookmark_I5PV58Y32N1PMP0030000400"/>
      <w:bookmarkEnd w:id="6148"/>
      <w:r>
        <w:rPr>
          <w:rFonts w:ascii="Arial" w:eastAsia="Arial" w:hAnsi="Arial" w:cs="Arial"/>
          <w:color w:val="000000"/>
          <w:sz w:val="20"/>
        </w:rPr>
        <w:t xml:space="preserve">Scott felt that Officer Hensley had "made it his mission to embarrass [**21]  [him] and set it in [Scott's] head that [he] was a piece of shit." Aplt.'s App. at 198. However, Officer Hensley's intent cannot factor into our analysis. </w:t>
      </w:r>
      <w:bookmarkStart w:id="6149" w:name="Bookmark_I5PV58Y32HM6K60020000400"/>
      <w:bookmarkEnd w:id="6149"/>
      <w:r>
        <w:rPr>
          <w:rFonts w:ascii="Arial" w:eastAsia="Arial" w:hAnsi="Arial" w:cs="Arial"/>
          <w:i/>
          <w:color w:val="000000"/>
          <w:sz w:val="20"/>
        </w:rPr>
        <w:t xml:space="preserve">See </w:t>
      </w:r>
      <w:bookmarkStart w:id="6150" w:name="Bookmark_I5PV58Y32N1PMP0020000400"/>
      <w:bookmarkEnd w:id="6150"/>
      <w:r>
        <w:rPr>
          <w:rFonts w:ascii="Arial" w:eastAsia="Arial" w:hAnsi="Arial" w:cs="Arial"/>
          <w:i/>
          <w:color w:val="000000"/>
          <w:sz w:val="20"/>
        </w:rPr>
        <w:t>Graham</w:t>
      </w:r>
      <w:r>
        <w:rPr>
          <w:rFonts w:ascii="Arial" w:eastAsia="Arial" w:hAnsi="Arial" w:cs="Arial"/>
          <w:color w:val="000000"/>
          <w:sz w:val="20"/>
        </w:rPr>
        <w:t xml:space="preserve">, 490 U.S. at 396 (noting that the excessive-force analysis should be "without regard to . . . underlying intent  [*882]  or motivation"); </w:t>
      </w:r>
      <w:r>
        <w:rPr>
          <w:rFonts w:ascii="Arial" w:eastAsia="Arial" w:hAnsi="Arial" w:cs="Arial"/>
          <w:i/>
          <w:color w:val="000000"/>
          <w:sz w:val="20"/>
        </w:rPr>
        <w:t xml:space="preserve">accord </w:t>
      </w:r>
      <w:bookmarkStart w:id="6151" w:name="Bookmark_I5PV58Y32N1PMP0040000400"/>
      <w:bookmarkEnd w:id="6151"/>
      <w:r>
        <w:rPr>
          <w:rFonts w:ascii="Arial" w:eastAsia="Arial" w:hAnsi="Arial" w:cs="Arial"/>
          <w:i/>
          <w:color w:val="000000"/>
          <w:sz w:val="20"/>
        </w:rPr>
        <w:t>Weigel v. Broad</w:t>
      </w:r>
      <w:r>
        <w:rPr>
          <w:rFonts w:ascii="Arial" w:eastAsia="Arial" w:hAnsi="Arial" w:cs="Arial"/>
          <w:color w:val="000000"/>
          <w:sz w:val="20"/>
        </w:rPr>
        <w:t xml:space="preserve">, 544 F.3d at 1151. </w:t>
      </w:r>
      <w:bookmarkStart w:id="6152" w:name="Bookmark_I5PV58Y32HM6K60020000400_2"/>
      <w:bookmarkEnd w:id="6152"/>
      <w:r>
        <w:rPr>
          <w:rFonts w:ascii="Arial" w:eastAsia="Arial" w:hAnsi="Arial" w:cs="Arial"/>
          <w:color w:val="000000"/>
          <w:sz w:val="20"/>
        </w:rPr>
        <w:t xml:space="preserve">To be sure, we have recognized that, </w:t>
      </w:r>
      <w:bookmarkStart w:id="6153" w:name="Bookmark_LNHNREFclscc18_6"/>
      <w:bookmarkEnd w:id="6153"/>
      <w:r>
        <w:rPr>
          <w:rFonts w:ascii="Arial" w:eastAsia="Arial" w:hAnsi="Arial" w:cs="Arial"/>
          <w:color w:val="000000"/>
          <w:sz w:val="20"/>
        </w:rPr>
        <w:t xml:space="preserve">in some cases, an excessive-force claim may stand on an emotional injury like humiliation. </w:t>
      </w:r>
      <w:bookmarkStart w:id="6154" w:name="Bookmark_I5PV58Y32HM6K60040000400"/>
      <w:bookmarkEnd w:id="6154"/>
      <w:r>
        <w:rPr>
          <w:rFonts w:ascii="Arial" w:eastAsia="Arial" w:hAnsi="Arial" w:cs="Arial"/>
          <w:i/>
          <w:color w:val="000000"/>
          <w:sz w:val="20"/>
        </w:rPr>
        <w:t xml:space="preserve">See, e.g., </w:t>
      </w:r>
      <w:bookmarkStart w:id="6155" w:name="Bookmark_I5PV58Y32HM6K60010000400"/>
      <w:bookmarkEnd w:id="6155"/>
      <w:r>
        <w:rPr>
          <w:rFonts w:ascii="Arial" w:eastAsia="Arial" w:hAnsi="Arial" w:cs="Arial"/>
          <w:i/>
          <w:color w:val="000000"/>
          <w:sz w:val="20"/>
        </w:rPr>
        <w:t>Fisher</w:t>
      </w:r>
      <w:r>
        <w:rPr>
          <w:rFonts w:ascii="Arial" w:eastAsia="Arial" w:hAnsi="Arial" w:cs="Arial"/>
          <w:color w:val="000000"/>
          <w:sz w:val="20"/>
        </w:rPr>
        <w:t xml:space="preserve">, 584 F.3d at 903. </w:t>
      </w:r>
      <w:bookmarkStart w:id="6156" w:name="Bookmark_I5PV58Y32HM6K60040000400_2"/>
      <w:bookmarkEnd w:id="6156"/>
      <w:r>
        <w:rPr>
          <w:rFonts w:ascii="Arial" w:eastAsia="Arial" w:hAnsi="Arial" w:cs="Arial"/>
          <w:color w:val="000000"/>
          <w:sz w:val="20"/>
        </w:rPr>
        <w:t xml:space="preserve">But, in the context of an arrest, the alleged humiliation must be more harmful than that which accompanies the typical custodial arrest. </w:t>
      </w:r>
      <w:r>
        <w:rPr>
          <w:rFonts w:ascii="Arial" w:eastAsia="Arial" w:hAnsi="Arial" w:cs="Arial"/>
          <w:i/>
          <w:color w:val="000000"/>
          <w:sz w:val="20"/>
        </w:rPr>
        <w:t xml:space="preserve">See </w:t>
      </w:r>
      <w:bookmarkStart w:id="6157" w:name="Bookmark_I5PV58Y32HM6K60030000400"/>
      <w:bookmarkEnd w:id="6157"/>
      <w:r>
        <w:rPr>
          <w:rFonts w:ascii="Arial" w:eastAsia="Arial" w:hAnsi="Arial" w:cs="Arial"/>
          <w:i/>
          <w:color w:val="000000"/>
          <w:sz w:val="20"/>
        </w:rPr>
        <w:t>Atwater v. City of Lago Vista</w:t>
      </w:r>
      <w:r>
        <w:rPr>
          <w:rFonts w:ascii="Arial" w:eastAsia="Arial" w:hAnsi="Arial" w:cs="Arial"/>
          <w:color w:val="000000"/>
          <w:sz w:val="20"/>
        </w:rPr>
        <w:t xml:space="preserve">, 532 U.S. 318, 354, 121 S. Ct. 1536, 149 L. Ed. 2d 549 (2001); </w:t>
      </w:r>
      <w:bookmarkStart w:id="6158" w:name="Bookmark_I5PV58Y32HM6K60050000400"/>
      <w:bookmarkEnd w:id="6158"/>
      <w:r>
        <w:rPr>
          <w:rFonts w:ascii="Arial" w:eastAsia="Arial" w:hAnsi="Arial" w:cs="Arial"/>
          <w:i/>
          <w:color w:val="000000"/>
          <w:sz w:val="20"/>
        </w:rPr>
        <w:t>Petersen v. Farnsworth</w:t>
      </w:r>
      <w:r>
        <w:rPr>
          <w:rFonts w:ascii="Arial" w:eastAsia="Arial" w:hAnsi="Arial" w:cs="Arial"/>
          <w:color w:val="000000"/>
          <w:sz w:val="20"/>
        </w:rPr>
        <w:t>, 371 F.3d 1219, 1223 (10th Cir. 2004).</w:t>
      </w:r>
    </w:p>
    <w:p w:rsidR="00E456CD" w:rsidRDefault="00000000">
      <w:pPr>
        <w:pStyle w:val="Normal39"/>
        <w:widowControl w:val="0"/>
        <w:spacing w:before="200" w:line="260" w:lineRule="atLeast"/>
        <w:jc w:val="both"/>
      </w:pPr>
      <w:bookmarkStart w:id="6159" w:name="Bookmark_para_44_8"/>
      <w:bookmarkStart w:id="6160" w:name="Bookmark_I5PV58Y32D6NVB0030000400"/>
      <w:bookmarkEnd w:id="6159"/>
      <w:bookmarkEnd w:id="6160"/>
      <w:r>
        <w:rPr>
          <w:rFonts w:ascii="Arial" w:eastAsia="Arial" w:hAnsi="Arial" w:cs="Arial"/>
          <w:color w:val="000000"/>
          <w:sz w:val="20"/>
        </w:rPr>
        <w:t xml:space="preserve">Scott's arrest does not fit that description. Though Scott was surely humiliated when his peers saw him walking through the hallways in handcuffs, </w:t>
      </w:r>
      <w:bookmarkStart w:id="6161" w:name="Bookmark_LNHNREFclscc19_4"/>
      <w:bookmarkEnd w:id="6161"/>
      <w:r>
        <w:rPr>
          <w:rFonts w:ascii="Arial" w:eastAsia="Arial" w:hAnsi="Arial" w:cs="Arial"/>
          <w:color w:val="000000"/>
          <w:sz w:val="20"/>
        </w:rPr>
        <w:t xml:space="preserve">a public arrest does not violate the Fourth Amendment simply because it is embarrassing. </w:t>
      </w:r>
      <w:r>
        <w:rPr>
          <w:rFonts w:ascii="Arial" w:eastAsia="Arial" w:hAnsi="Arial" w:cs="Arial"/>
          <w:i/>
          <w:color w:val="000000"/>
          <w:sz w:val="20"/>
        </w:rPr>
        <w:t xml:space="preserve">See </w:t>
      </w:r>
      <w:bookmarkStart w:id="6162" w:name="Bookmark_I5PV58Y32D6NVB0020000400"/>
      <w:bookmarkEnd w:id="6162"/>
      <w:r>
        <w:rPr>
          <w:rFonts w:ascii="Arial" w:eastAsia="Arial" w:hAnsi="Arial" w:cs="Arial"/>
          <w:i/>
          <w:color w:val="000000"/>
          <w:sz w:val="20"/>
        </w:rPr>
        <w:t>Atwater</w:t>
      </w:r>
      <w:r>
        <w:rPr>
          <w:rFonts w:ascii="Arial" w:eastAsia="Arial" w:hAnsi="Arial" w:cs="Arial"/>
          <w:color w:val="000000"/>
          <w:sz w:val="20"/>
        </w:rPr>
        <w:t xml:space="preserve">, 532 U.S. at 354-55; </w:t>
      </w:r>
      <w:bookmarkStart w:id="6163" w:name="Bookmark_I5PV58Y32D6NVB0040000400"/>
      <w:bookmarkEnd w:id="6163"/>
      <w:r>
        <w:rPr>
          <w:rFonts w:ascii="Arial" w:eastAsia="Arial" w:hAnsi="Arial" w:cs="Arial"/>
          <w:i/>
          <w:color w:val="000000"/>
          <w:sz w:val="20"/>
        </w:rPr>
        <w:t>Cortez</w:t>
      </w:r>
      <w:r>
        <w:rPr>
          <w:rFonts w:ascii="Arial" w:eastAsia="Arial" w:hAnsi="Arial" w:cs="Arial"/>
          <w:color w:val="000000"/>
          <w:sz w:val="20"/>
        </w:rPr>
        <w:t>, 478 F.3d at 1128. In short, Officer Hensley's use of force fell short of being "excessive," as the law defines that term. Scott has therefore failed to show a constitutional violation.</w:t>
      </w:r>
      <w:r>
        <w:rPr>
          <w:rFonts w:ascii="Arial" w:eastAsia="Arial" w:hAnsi="Arial" w:cs="Arial"/>
          <w:vertAlign w:val="superscript"/>
        </w:rPr>
        <w:footnoteReference w:customMarkFollows="1" w:id="269"/>
        <w:t>9</w:t>
      </w:r>
    </w:p>
    <w:p w:rsidR="00E456CD" w:rsidRDefault="00000000">
      <w:pPr>
        <w:pStyle w:val="Normal39"/>
        <w:widowControl w:val="0"/>
        <w:spacing w:before="240" w:line="260" w:lineRule="atLeast"/>
      </w:pPr>
      <w:r>
        <w:br/>
      </w:r>
      <w:r>
        <w:rPr>
          <w:rFonts w:ascii="Arial" w:eastAsia="Arial" w:hAnsi="Arial" w:cs="Arial"/>
          <w:b/>
          <w:color w:val="000000"/>
          <w:sz w:val="20"/>
        </w:rPr>
        <w:t>III</w:t>
      </w:r>
    </w:p>
    <w:p w:rsidR="00E456CD" w:rsidRDefault="00000000">
      <w:pPr>
        <w:pStyle w:val="Normal39"/>
        <w:widowControl w:val="0"/>
        <w:spacing w:before="200" w:line="260" w:lineRule="atLeast"/>
        <w:jc w:val="both"/>
      </w:pPr>
      <w:bookmarkStart w:id="6178" w:name="Bookmark_para_45_8"/>
      <w:bookmarkEnd w:id="6178"/>
      <w:r>
        <w:rPr>
          <w:rFonts w:ascii="Arial" w:eastAsia="Arial" w:hAnsi="Arial" w:cs="Arial"/>
          <w:color w:val="000000"/>
          <w:sz w:val="20"/>
        </w:rPr>
        <w:t>Scott also argues that the City employed a "de facto policy" of (1) failing to train SROs "before placement in a school which serves special education students," and (2) giving SROs "unbridled discretion to arrest students [**22]  with special needs." Aplt.'s Opening Br. at 37, 39. These policies, Scott argues, effectively "require[d] the arrest" of Scott for skipping class on January 16, 2009.</w:t>
      </w:r>
      <w:r>
        <w:rPr>
          <w:rFonts w:ascii="Arial" w:eastAsia="Arial" w:hAnsi="Arial" w:cs="Arial"/>
          <w:vertAlign w:val="superscript"/>
        </w:rPr>
        <w:footnoteReference w:customMarkFollows="1" w:id="270"/>
        <w:t>10</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at 37.</w:t>
      </w:r>
    </w:p>
    <w:p w:rsidR="00E456CD" w:rsidRDefault="00000000">
      <w:pPr>
        <w:pStyle w:val="Normal39"/>
        <w:widowControl w:val="0"/>
        <w:spacing w:before="200" w:line="260" w:lineRule="atLeast"/>
        <w:jc w:val="both"/>
      </w:pPr>
      <w:bookmarkStart w:id="6184" w:name="Bookmark_para_46_7"/>
      <w:bookmarkEnd w:id="6184"/>
      <w:r>
        <w:rPr>
          <w:rFonts w:ascii="Arial" w:eastAsia="Arial" w:hAnsi="Arial" w:cs="Arial"/>
          <w:color w:val="000000"/>
          <w:sz w:val="20"/>
        </w:rPr>
        <w:t xml:space="preserve"> [*883]  </w:t>
      </w:r>
      <w:bookmarkStart w:id="6185" w:name="Bookmark_I3WXY41YKKC00079WNY003T7"/>
      <w:bookmarkStart w:id="6186" w:name="Bookmark_I5PV58Y32D6NVC0020000400"/>
      <w:bookmarkStart w:id="6187" w:name="Bookmark_I5PV58Y32D6NVC0040000400"/>
      <w:bookmarkStart w:id="6188" w:name="Bookmark_LNHNREFclscc22_2"/>
      <w:bookmarkEnd w:id="6185"/>
      <w:bookmarkEnd w:id="6186"/>
      <w:bookmarkEnd w:id="6187"/>
      <w:bookmarkEnd w:id="6188"/>
      <w:r>
        <w:rPr>
          <w:rFonts w:ascii="Arial" w:eastAsia="Arial" w:hAnsi="Arial" w:cs="Arial"/>
          <w:color w:val="000000"/>
          <w:sz w:val="20"/>
        </w:rPr>
        <w:t xml:space="preserve">To establish municipal liability, a plaintiff must show (1) the "existence of a municipal custom or policy" and (2) a "direct causal link between the custom or policy and the violation alleged." </w:t>
      </w:r>
      <w:bookmarkStart w:id="6189" w:name="Bookmark_I5PV58Y32D6NVC0010000400"/>
      <w:bookmarkEnd w:id="6189"/>
      <w:r>
        <w:rPr>
          <w:rFonts w:ascii="Arial" w:eastAsia="Arial" w:hAnsi="Arial" w:cs="Arial"/>
          <w:i/>
          <w:color w:val="000000"/>
          <w:sz w:val="20"/>
        </w:rPr>
        <w:t>Jenkins v. Wood</w:t>
      </w:r>
      <w:r>
        <w:rPr>
          <w:rFonts w:ascii="Arial" w:eastAsia="Arial" w:hAnsi="Arial" w:cs="Arial"/>
          <w:color w:val="000000"/>
          <w:sz w:val="20"/>
        </w:rPr>
        <w:t xml:space="preserve">, 81 F.3d 988, 993 (10th Cir. 1996). </w:t>
      </w:r>
      <w:bookmarkStart w:id="6190" w:name="Bookmark_I3WXY41YSP700079WNY003T8"/>
      <w:bookmarkStart w:id="6191" w:name="Bookmark_I5PV58Y328T3VH0030000400"/>
      <w:bookmarkEnd w:id="6190"/>
      <w:bookmarkEnd w:id="6191"/>
      <w:r>
        <w:rPr>
          <w:rFonts w:ascii="Arial" w:eastAsia="Arial" w:hAnsi="Arial" w:cs="Arial"/>
          <w:color w:val="000000"/>
          <w:sz w:val="20"/>
        </w:rPr>
        <w:t xml:space="preserve">"To establish the causation element, the challenged policy or practice must be 'closely related to the violation of the plaintiff's federally protected right.'" </w:t>
      </w:r>
      <w:bookmarkStart w:id="6192" w:name="Bookmark_I5PV58Y32D6NVC0030000400"/>
      <w:bookmarkEnd w:id="6192"/>
      <w:r>
        <w:rPr>
          <w:rFonts w:ascii="Arial" w:eastAsia="Arial" w:hAnsi="Arial" w:cs="Arial"/>
          <w:i/>
          <w:color w:val="000000"/>
          <w:sz w:val="20"/>
        </w:rPr>
        <w:t>Schneider v. City of Grand Junction Police Dep't</w:t>
      </w:r>
      <w:r>
        <w:rPr>
          <w:rFonts w:ascii="Arial" w:eastAsia="Arial" w:hAnsi="Arial" w:cs="Arial"/>
          <w:color w:val="000000"/>
          <w:sz w:val="20"/>
        </w:rPr>
        <w:t xml:space="preserve">, 717 F.3d 760, 770 (10th Cir. 2013) (quoting Martin A. Schwartz, </w:t>
      </w:r>
      <w:r>
        <w:rPr>
          <w:rFonts w:ascii="Arial" w:eastAsia="Arial" w:hAnsi="Arial" w:cs="Arial"/>
          <w:smallCaps/>
          <w:color w:val="000000"/>
          <w:sz w:val="20"/>
        </w:rPr>
        <w:t>Section 1983 Litigation Claims &amp; Defenses</w:t>
      </w:r>
      <w:r>
        <w:rPr>
          <w:rFonts w:ascii="Arial" w:eastAsia="Arial" w:hAnsi="Arial" w:cs="Arial"/>
          <w:color w:val="000000"/>
          <w:sz w:val="20"/>
        </w:rPr>
        <w:t xml:space="preserve">, § 7.12[B] (2013)); </w:t>
      </w:r>
      <w:r>
        <w:rPr>
          <w:rFonts w:ascii="Arial" w:eastAsia="Arial" w:hAnsi="Arial" w:cs="Arial"/>
          <w:i/>
          <w:color w:val="000000"/>
          <w:sz w:val="20"/>
        </w:rPr>
        <w:t xml:space="preserve">accord </w:t>
      </w:r>
      <w:bookmarkStart w:id="6193" w:name="Bookmark_I5PV58Y32D6NVC0050000400"/>
      <w:bookmarkEnd w:id="6193"/>
      <w:r>
        <w:rPr>
          <w:rFonts w:ascii="Arial" w:eastAsia="Arial" w:hAnsi="Arial" w:cs="Arial"/>
          <w:i/>
          <w:color w:val="000000"/>
          <w:sz w:val="20"/>
        </w:rPr>
        <w:t>Cacioppo v. Town of Vail, Colo.</w:t>
      </w:r>
      <w:r>
        <w:rPr>
          <w:rFonts w:ascii="Arial" w:eastAsia="Arial" w:hAnsi="Arial" w:cs="Arial"/>
          <w:color w:val="000000"/>
          <w:sz w:val="20"/>
        </w:rPr>
        <w:t xml:space="preserve">, 528 F. App'x 929, 932 (10th Cir. 2013) (unpublished). In this regard, a "municipality is not liable solely because its employees caused an injury," but rather, because the municipality, "[t]hrough its [own] deliberate conduct, . . . </w:t>
      </w:r>
      <w:bookmarkStart w:id="6194" w:name="Bookmark_I5PV58Y328T3VH0030000400_2"/>
      <w:bookmarkEnd w:id="6194"/>
      <w:r>
        <w:rPr>
          <w:rFonts w:ascii="Arial" w:eastAsia="Arial" w:hAnsi="Arial" w:cs="Arial"/>
          <w:color w:val="000000"/>
          <w:sz w:val="20"/>
        </w:rPr>
        <w:t xml:space="preserve">[was] the 'moving force' behind the injury." </w:t>
      </w:r>
      <w:bookmarkStart w:id="6195" w:name="Bookmark_I5PV58Y328T3VH0020000400"/>
      <w:bookmarkEnd w:id="6195"/>
      <w:r>
        <w:rPr>
          <w:rFonts w:ascii="Arial" w:eastAsia="Arial" w:hAnsi="Arial" w:cs="Arial"/>
          <w:i/>
          <w:color w:val="000000"/>
          <w:sz w:val="20"/>
        </w:rPr>
        <w:t>Mocek v. City of Albuquerque</w:t>
      </w:r>
      <w:r>
        <w:rPr>
          <w:rFonts w:ascii="Arial" w:eastAsia="Arial" w:hAnsi="Arial" w:cs="Arial"/>
          <w:color w:val="000000"/>
          <w:sz w:val="20"/>
        </w:rPr>
        <w:t>, 813 F.3d 912, 933 (10th Cir. 2015).</w:t>
      </w:r>
    </w:p>
    <w:p w:rsidR="00E456CD" w:rsidRDefault="00000000">
      <w:pPr>
        <w:pStyle w:val="Normal39"/>
        <w:widowControl w:val="0"/>
        <w:spacing w:before="200" w:line="260" w:lineRule="atLeast"/>
        <w:jc w:val="both"/>
      </w:pPr>
      <w:bookmarkStart w:id="6196" w:name="Bookmark_para_47_7"/>
      <w:bookmarkStart w:id="6197" w:name="Bookmark_I5PV58Y328T3VH0050000400"/>
      <w:bookmarkEnd w:id="6196"/>
      <w:bookmarkEnd w:id="6197"/>
      <w:r>
        <w:rPr>
          <w:rFonts w:ascii="Arial" w:eastAsia="Arial" w:hAnsi="Arial" w:cs="Arial"/>
          <w:color w:val="000000"/>
          <w:sz w:val="20"/>
        </w:rPr>
        <w:t xml:space="preserve">Scott fails to meet this standard. Specifically, he has not demonstrated that the alleged policies that he has identified—failing to train SROs placed in special-education school settings and giving them free rein in arresting special-needs children—are directly relevant to the constitutional violation—i.e., arresting a student without probable cause that [**23]  the student </w:t>
      </w:r>
      <w:r>
        <w:rPr>
          <w:rFonts w:ascii="Arial" w:eastAsia="Arial" w:hAnsi="Arial" w:cs="Arial"/>
          <w:i/>
          <w:color w:val="000000"/>
          <w:sz w:val="20"/>
        </w:rPr>
        <w:t>willfully</w:t>
      </w:r>
      <w:r>
        <w:rPr>
          <w:rFonts w:ascii="Arial" w:eastAsia="Arial" w:hAnsi="Arial" w:cs="Arial"/>
          <w:color w:val="000000"/>
          <w:sz w:val="20"/>
        </w:rPr>
        <w:t xml:space="preserve"> interfered with the educational process at a school—much less that the policies were the "moving force" behind the violation. </w:t>
      </w:r>
      <w:bookmarkStart w:id="6198" w:name="Bookmark_I5PV58Y328T3VH0040000400"/>
      <w:bookmarkEnd w:id="6198"/>
      <w:r>
        <w:rPr>
          <w:rFonts w:ascii="Arial" w:eastAsia="Arial" w:hAnsi="Arial" w:cs="Arial"/>
          <w:i/>
          <w:color w:val="000000"/>
          <w:sz w:val="20"/>
        </w:rPr>
        <w:t>Mocek</w:t>
      </w:r>
      <w:r>
        <w:rPr>
          <w:rFonts w:ascii="Arial" w:eastAsia="Arial" w:hAnsi="Arial" w:cs="Arial"/>
          <w:color w:val="000000"/>
          <w:sz w:val="20"/>
        </w:rPr>
        <w:t>, 813 F.3d at 933. For example, Scott does not specify what training the officers should have possessed and how the lack of that training was a moving force behind his unlawful arrest. Furthermore, his assertion that the City, as a matter of de facto policy, granted its officers "unbridled discretion" to arrest special-needs students is wholly conclusory. And, even if Scott were able to demonstrate that the City's SROs repeatedly arrested special-needs students under section 30-20-13(D) for willful interference with the educational process, one could not reasonably infer from this proof—without more—that such conduct was the product of an unconstitutional de facto policy. Special-needs students are not immune from arrest under this statute, and section 30-20-13(D) may well reach in certain instances willful conduct committed by such students that amounts to (in Scott's words) no more than "childhood misbehavior."</w:t>
      </w:r>
      <w:r>
        <w:rPr>
          <w:rFonts w:ascii="Arial" w:eastAsia="Arial" w:hAnsi="Arial" w:cs="Arial"/>
          <w:vertAlign w:val="superscript"/>
        </w:rPr>
        <w:footnoteReference w:customMarkFollows="1" w:id="271"/>
        <w:t>11</w:t>
      </w:r>
      <w:r>
        <w:rPr>
          <w:rFonts w:ascii="Arial" w:eastAsia="Arial" w:hAnsi="Arial" w:cs="Arial"/>
          <w:color w:val="000000"/>
          <w:sz w:val="20"/>
        </w:rPr>
        <w:t xml:space="preserve"> Aplt.'s Opening Br. at 41. Accordingly, these two policies cannot sustain Scott's municipal-liability claim.</w:t>
      </w:r>
    </w:p>
    <w:p w:rsidR="00E456CD" w:rsidRDefault="00000000">
      <w:pPr>
        <w:pStyle w:val="Normal39"/>
        <w:widowControl w:val="0"/>
        <w:spacing w:before="200" w:line="260" w:lineRule="atLeast"/>
        <w:jc w:val="both"/>
      </w:pPr>
      <w:bookmarkStart w:id="6200" w:name="Bookmark_para_48_7"/>
      <w:bookmarkEnd w:id="6200"/>
      <w:r>
        <w:rPr>
          <w:rFonts w:ascii="Arial" w:eastAsia="Arial" w:hAnsi="Arial" w:cs="Arial"/>
          <w:color w:val="000000"/>
          <w:sz w:val="20"/>
        </w:rPr>
        <w:t xml:space="preserve">Scott tries again in his reply brief. There, he shifts the focus away [**24]  from special-needs students and simply avers that there was "a pattern of Albuquerque police officers enforcing [section 30-20-13(D)] in an over broad manner." Aplt.'s Reply Br. at 7. </w:t>
      </w:r>
      <w:bookmarkStart w:id="6201" w:name="Bookmark_I5PV58Y32SF8J00020000400"/>
      <w:bookmarkEnd w:id="6201"/>
      <w:r>
        <w:rPr>
          <w:rFonts w:ascii="Arial" w:eastAsia="Arial" w:hAnsi="Arial" w:cs="Arial"/>
          <w:color w:val="000000"/>
          <w:sz w:val="20"/>
        </w:rPr>
        <w:t xml:space="preserve">But that argument also fails to establish municipal liability. First, the argument  [*884]  was never raised in his opening brief, so we consider it waived. </w:t>
      </w:r>
      <w:bookmarkStart w:id="6202" w:name="Bookmark_I5PV58Y32SF8J00010000400"/>
      <w:bookmarkEnd w:id="6202"/>
      <w:r>
        <w:rPr>
          <w:rFonts w:ascii="Arial" w:eastAsia="Arial" w:hAnsi="Arial" w:cs="Arial"/>
          <w:i/>
          <w:color w:val="000000"/>
          <w:sz w:val="20"/>
        </w:rPr>
        <w:t>United States v. Wayne</w:t>
      </w:r>
      <w:r>
        <w:rPr>
          <w:rFonts w:ascii="Arial" w:eastAsia="Arial" w:hAnsi="Arial" w:cs="Arial"/>
          <w:color w:val="000000"/>
          <w:sz w:val="20"/>
        </w:rPr>
        <w:t>, 591 F.3d 1326, 1332 n.4 (10th Cir. 2010) ("Because [the appellant] raised this argument for the first time in her reply brief, she has waived it on appeal.").</w:t>
      </w:r>
    </w:p>
    <w:p w:rsidR="00E456CD" w:rsidRDefault="00000000">
      <w:pPr>
        <w:pStyle w:val="Normal39"/>
        <w:widowControl w:val="0"/>
        <w:spacing w:before="200" w:line="260" w:lineRule="atLeast"/>
        <w:jc w:val="both"/>
      </w:pPr>
      <w:bookmarkStart w:id="6203" w:name="Bookmark_para_49_6"/>
      <w:bookmarkStart w:id="6204" w:name="Bookmark_I5PV58Y32SF8J00040000400"/>
      <w:bookmarkEnd w:id="6203"/>
      <w:bookmarkEnd w:id="6204"/>
      <w:r>
        <w:rPr>
          <w:rFonts w:ascii="Arial" w:eastAsia="Arial" w:hAnsi="Arial" w:cs="Arial"/>
          <w:color w:val="000000"/>
          <w:sz w:val="20"/>
        </w:rPr>
        <w:t xml:space="preserve">And second, even if we did consider the argument, it still fails to show municipal liability. </w:t>
      </w:r>
      <w:bookmarkStart w:id="6205" w:name="Bookmark_I3WXY4202BH00079WNY003TB"/>
      <w:bookmarkStart w:id="6206" w:name="Bookmark_I5PV58Y32HM6K80010000400"/>
      <w:bookmarkEnd w:id="6205"/>
      <w:bookmarkEnd w:id="6206"/>
      <w:r>
        <w:rPr>
          <w:rFonts w:ascii="Arial" w:eastAsia="Arial" w:hAnsi="Arial" w:cs="Arial"/>
          <w:color w:val="000000"/>
          <w:sz w:val="20"/>
        </w:rPr>
        <w:t xml:space="preserve">The policy articulated in Scott's reply brief concerns officers' practice of arresting students for "disruptions that were not the result of 'physical intrusions.'" Aplt.'s Reply Br. at 6-7. Scott's argument on this point seems derived from his reading of </w:t>
      </w:r>
      <w:bookmarkStart w:id="6207" w:name="Bookmark_I5PV58Y32SF8J00030000400"/>
      <w:bookmarkEnd w:id="6207"/>
      <w:r>
        <w:rPr>
          <w:rFonts w:ascii="Arial" w:eastAsia="Arial" w:hAnsi="Arial" w:cs="Arial"/>
          <w:i/>
          <w:color w:val="000000"/>
          <w:sz w:val="20"/>
        </w:rPr>
        <w:t>Silva</w:t>
      </w:r>
      <w:r>
        <w:rPr>
          <w:rFonts w:ascii="Arial" w:eastAsia="Arial" w:hAnsi="Arial" w:cs="Arial"/>
          <w:color w:val="000000"/>
          <w:sz w:val="20"/>
        </w:rPr>
        <w:t xml:space="preserve">, 525 P.2d at 907, in which the New Mexico Court of Appeals found that the statute at issue required a "more physical invasion" than a simple disturbance of the peace. </w:t>
      </w:r>
      <w:bookmarkStart w:id="6208" w:name="Bookmark_I5PV58Y32HM6K80010000400_2"/>
      <w:bookmarkEnd w:id="6208"/>
      <w:r>
        <w:rPr>
          <w:rFonts w:ascii="Arial" w:eastAsia="Arial" w:hAnsi="Arial" w:cs="Arial"/>
          <w:color w:val="000000"/>
          <w:sz w:val="20"/>
        </w:rPr>
        <w:t xml:space="preserve">But we rejected this analogy in </w:t>
      </w:r>
      <w:bookmarkStart w:id="6209" w:name="Bookmark_I5PV58Y32SF8J00050000400"/>
      <w:bookmarkEnd w:id="6209"/>
      <w:r>
        <w:rPr>
          <w:rFonts w:ascii="Arial" w:eastAsia="Arial" w:hAnsi="Arial" w:cs="Arial"/>
          <w:i/>
          <w:color w:val="000000"/>
          <w:sz w:val="20"/>
        </w:rPr>
        <w:t>A.M.</w:t>
      </w:r>
      <w:r>
        <w:rPr>
          <w:rFonts w:ascii="Arial" w:eastAsia="Arial" w:hAnsi="Arial" w:cs="Arial"/>
          <w:color w:val="000000"/>
          <w:sz w:val="20"/>
        </w:rPr>
        <w:t xml:space="preserve">, 830 F.3d at 1144-48 (declining to use </w:t>
      </w:r>
      <w:r>
        <w:rPr>
          <w:rFonts w:ascii="Arial" w:eastAsia="Arial" w:hAnsi="Arial" w:cs="Arial"/>
          <w:i/>
          <w:color w:val="000000"/>
          <w:sz w:val="20"/>
        </w:rPr>
        <w:t>Silva</w:t>
      </w:r>
      <w:r>
        <w:rPr>
          <w:rFonts w:ascii="Arial" w:eastAsia="Arial" w:hAnsi="Arial" w:cs="Arial"/>
          <w:color w:val="000000"/>
          <w:sz w:val="20"/>
        </w:rPr>
        <w:t xml:space="preserve"> to guide our construction of section 30-20-13(D)). Simply put, an officer </w:t>
      </w:r>
      <w:r>
        <w:rPr>
          <w:rFonts w:ascii="Arial" w:eastAsia="Arial" w:hAnsi="Arial" w:cs="Arial"/>
          <w:i/>
          <w:color w:val="000000"/>
          <w:sz w:val="20"/>
        </w:rPr>
        <w:t>may</w:t>
      </w:r>
      <w:r>
        <w:rPr>
          <w:rFonts w:ascii="Arial" w:eastAsia="Arial" w:hAnsi="Arial" w:cs="Arial"/>
          <w:color w:val="000000"/>
          <w:sz w:val="20"/>
        </w:rPr>
        <w:t xml:space="preserve"> arrest a student under section 30-20-13(D), even when the student's conduct does not involve a physical intrusion. Thus, even if the City had a policy that authorized officers [**25]  to make such non-physical-intrusion arrests when supported by probable cause, that policy would not run afoul of the Constitution. Accordingly, it ineluctably follows that such a policy could not have directly caused (i.e., been the moving force behind) the constitutional violation here.</w:t>
      </w:r>
    </w:p>
    <w:p w:rsidR="00E456CD" w:rsidRDefault="00000000">
      <w:pPr>
        <w:pStyle w:val="Normal39"/>
        <w:widowControl w:val="0"/>
        <w:spacing w:before="200" w:line="260" w:lineRule="atLeast"/>
        <w:jc w:val="both"/>
      </w:pPr>
      <w:bookmarkStart w:id="6210" w:name="Bookmark_para_50_6"/>
      <w:bookmarkEnd w:id="6210"/>
      <w:r>
        <w:rPr>
          <w:rFonts w:ascii="Arial" w:eastAsia="Arial" w:hAnsi="Arial" w:cs="Arial"/>
          <w:color w:val="000000"/>
          <w:sz w:val="20"/>
        </w:rPr>
        <w:t>In sum, for the foregoing reasons, Scott's municipal-liability claim is without merit.</w:t>
      </w:r>
    </w:p>
    <w:p w:rsidR="00E456CD" w:rsidRDefault="00000000">
      <w:pPr>
        <w:pStyle w:val="Normal39"/>
        <w:widowControl w:val="0"/>
        <w:spacing w:before="240" w:line="260" w:lineRule="atLeast"/>
      </w:pPr>
      <w:r>
        <w:br/>
      </w:r>
      <w:r>
        <w:rPr>
          <w:rFonts w:ascii="Arial" w:eastAsia="Arial" w:hAnsi="Arial" w:cs="Arial"/>
          <w:b/>
          <w:color w:val="000000"/>
          <w:sz w:val="20"/>
        </w:rPr>
        <w:t>IV</w:t>
      </w:r>
    </w:p>
    <w:p w:rsidR="00E456CD" w:rsidRDefault="00000000">
      <w:pPr>
        <w:pStyle w:val="Normal39"/>
        <w:widowControl w:val="0"/>
        <w:spacing w:before="200" w:line="260" w:lineRule="atLeast"/>
        <w:jc w:val="both"/>
      </w:pPr>
      <w:bookmarkStart w:id="6211" w:name="Bookmark_para_51_6"/>
      <w:bookmarkEnd w:id="6211"/>
      <w:r>
        <w:rPr>
          <w:rFonts w:ascii="Arial" w:eastAsia="Arial" w:hAnsi="Arial" w:cs="Arial"/>
          <w:color w:val="000000"/>
          <w:sz w:val="20"/>
        </w:rPr>
        <w:t>Finally, Scott argues that the district court erred in granting summary judgment to the defendants on his ADA claim. We disagree.</w:t>
      </w:r>
    </w:p>
    <w:p w:rsidR="00E456CD" w:rsidRDefault="00000000">
      <w:pPr>
        <w:pStyle w:val="Normal39"/>
        <w:widowControl w:val="0"/>
        <w:spacing w:before="200" w:line="260" w:lineRule="atLeast"/>
        <w:jc w:val="both"/>
      </w:pPr>
      <w:bookmarkStart w:id="6212" w:name="Bookmark_para_52_6"/>
      <w:bookmarkStart w:id="6213" w:name="Bookmark_I5PV58Y32HM6K80030000400"/>
      <w:bookmarkStart w:id="6214" w:name="Bookmark_LNHNREFclscc23_2"/>
      <w:bookmarkEnd w:id="6212"/>
      <w:bookmarkEnd w:id="6213"/>
      <w:bookmarkEnd w:id="6214"/>
      <w:r>
        <w:rPr>
          <w:rFonts w:ascii="Arial" w:eastAsia="Arial" w:hAnsi="Arial" w:cs="Arial"/>
          <w:color w:val="000000"/>
          <w:sz w:val="20"/>
        </w:rPr>
        <w:t xml:space="preserve">Title II of the ADA states that "no qualified individual with a disability shall, by reason of such disability, be excluded from participation in or be denied the benefits of the services, programs, or activities of a public entity, or be subject to discrimination by any such entity." 42 U.S.C. § 12132. To make out his ADA claim, Scott has to show that he (1) has a disability; (2) was discriminated against by a public entity; and (3) the discrimination was "by reason of [his] disability." </w:t>
      </w:r>
      <w:bookmarkStart w:id="6215" w:name="Bookmark_I5PV58Y32HM6K80020000400"/>
      <w:bookmarkEnd w:id="6215"/>
      <w:r>
        <w:rPr>
          <w:rFonts w:ascii="Arial" w:eastAsia="Arial" w:hAnsi="Arial" w:cs="Arial"/>
          <w:i/>
          <w:color w:val="000000"/>
          <w:sz w:val="20"/>
        </w:rPr>
        <w:t>Gohier v. Enright</w:t>
      </w:r>
      <w:r>
        <w:rPr>
          <w:rFonts w:ascii="Arial" w:eastAsia="Arial" w:hAnsi="Arial" w:cs="Arial"/>
          <w:color w:val="000000"/>
          <w:sz w:val="20"/>
        </w:rPr>
        <w:t>, 186 F.3d 1216, 1219 (10th Cir. 1999).</w:t>
      </w:r>
    </w:p>
    <w:p w:rsidR="00E456CD" w:rsidRDefault="00000000">
      <w:pPr>
        <w:pStyle w:val="Normal39"/>
        <w:widowControl w:val="0"/>
        <w:spacing w:before="200" w:line="260" w:lineRule="atLeast"/>
        <w:jc w:val="both"/>
      </w:pPr>
      <w:bookmarkStart w:id="6216" w:name="Bookmark_para_53_6"/>
      <w:bookmarkEnd w:id="6216"/>
      <w:r>
        <w:rPr>
          <w:rFonts w:ascii="Arial" w:eastAsia="Arial" w:hAnsi="Arial" w:cs="Arial"/>
          <w:color w:val="000000"/>
          <w:sz w:val="20"/>
        </w:rPr>
        <w:t>Scott argues that "[i]f [he] had not been disabled, he would have had no need to leave class." Aplt.'s Opening Br. at 33. When "Officer Hensley handcuffed, arrested, transported and charged Scott," he continues, Officer Hensley [**26]  did so "</w:t>
      </w:r>
      <w:r>
        <w:rPr>
          <w:rFonts w:ascii="Arial" w:eastAsia="Arial" w:hAnsi="Arial" w:cs="Arial"/>
          <w:i/>
          <w:color w:val="000000"/>
          <w:sz w:val="20"/>
        </w:rPr>
        <w:t>because</w:t>
      </w:r>
      <w:r>
        <w:rPr>
          <w:rFonts w:ascii="Arial" w:eastAsia="Arial" w:hAnsi="Arial" w:cs="Arial"/>
          <w:color w:val="000000"/>
          <w:sz w:val="20"/>
        </w:rPr>
        <w:t xml:space="preserve"> [Scott] was disabled." </w:t>
      </w:r>
      <w:r>
        <w:rPr>
          <w:rFonts w:ascii="Arial" w:eastAsia="Arial" w:hAnsi="Arial" w:cs="Arial"/>
          <w:i/>
          <w:color w:val="000000"/>
          <w:sz w:val="20"/>
        </w:rPr>
        <w:t>Id.</w:t>
      </w:r>
      <w:r>
        <w:rPr>
          <w:rFonts w:ascii="Arial" w:eastAsia="Arial" w:hAnsi="Arial" w:cs="Arial"/>
          <w:color w:val="000000"/>
          <w:sz w:val="20"/>
        </w:rPr>
        <w:t xml:space="preserve"> (emphasis added).</w:t>
      </w:r>
    </w:p>
    <w:p w:rsidR="00E456CD" w:rsidRDefault="00000000">
      <w:pPr>
        <w:pStyle w:val="Normal39"/>
        <w:widowControl w:val="0"/>
        <w:spacing w:before="200" w:line="260" w:lineRule="atLeast"/>
        <w:jc w:val="both"/>
      </w:pPr>
      <w:bookmarkStart w:id="6217" w:name="Bookmark_para_54_6"/>
      <w:bookmarkStart w:id="6218" w:name="Bookmark_I5PV58Y32HM6K80050000400"/>
      <w:bookmarkEnd w:id="6217"/>
      <w:bookmarkEnd w:id="6218"/>
      <w:r>
        <w:rPr>
          <w:rFonts w:ascii="Arial" w:eastAsia="Arial" w:hAnsi="Arial" w:cs="Arial"/>
          <w:color w:val="000000"/>
          <w:sz w:val="20"/>
        </w:rPr>
        <w:t xml:space="preserve">Not so. In some cases, a plaintiff's "disability might cause the police to incorrectly suspect that an individual committed a crime." </w:t>
      </w:r>
      <w:bookmarkStart w:id="6219" w:name="Bookmark_I5PV58Y32HM6K80040000400"/>
      <w:bookmarkEnd w:id="6219"/>
      <w:r>
        <w:rPr>
          <w:rFonts w:ascii="Arial" w:eastAsia="Arial" w:hAnsi="Arial" w:cs="Arial"/>
          <w:i/>
          <w:color w:val="000000"/>
          <w:sz w:val="20"/>
        </w:rPr>
        <w:t>J.H. ex rel. J.P. v. Bernalillo Cty.</w:t>
      </w:r>
      <w:r>
        <w:rPr>
          <w:rFonts w:ascii="Arial" w:eastAsia="Arial" w:hAnsi="Arial" w:cs="Arial"/>
          <w:color w:val="000000"/>
          <w:sz w:val="20"/>
        </w:rPr>
        <w:t xml:space="preserve">, 806 F.3d 1255, 1260 (10th Cir. 2015). But Scott is not arguing that Officer Hensley mistook his disability itself for illegal conduct. Instead, he argues that Officer Hensley arrested Scott because of the </w:t>
      </w:r>
      <w:r>
        <w:rPr>
          <w:rFonts w:ascii="Arial" w:eastAsia="Arial" w:hAnsi="Arial" w:cs="Arial"/>
          <w:i/>
          <w:color w:val="000000"/>
          <w:sz w:val="20"/>
        </w:rPr>
        <w:t>manifestations</w:t>
      </w:r>
      <w:r>
        <w:rPr>
          <w:rFonts w:ascii="Arial" w:eastAsia="Arial" w:hAnsi="Arial" w:cs="Arial"/>
          <w:color w:val="000000"/>
          <w:sz w:val="20"/>
        </w:rPr>
        <w:t xml:space="preserve"> of his disability. </w:t>
      </w:r>
      <w:r>
        <w:rPr>
          <w:rFonts w:ascii="Arial" w:eastAsia="Arial" w:hAnsi="Arial" w:cs="Arial"/>
          <w:i/>
          <w:color w:val="000000"/>
          <w:sz w:val="20"/>
        </w:rPr>
        <w:t>See</w:t>
      </w:r>
      <w:r>
        <w:rPr>
          <w:rFonts w:ascii="Arial" w:eastAsia="Arial" w:hAnsi="Arial" w:cs="Arial"/>
          <w:color w:val="000000"/>
          <w:sz w:val="20"/>
        </w:rPr>
        <w:t xml:space="preserve"> Aplt.'s Opening Br. at 21 ("Officer Hensley violated the ADA by arresting [Scott] for a manifestation of his disability.")</w:t>
      </w:r>
    </w:p>
    <w:p w:rsidR="00E456CD" w:rsidRDefault="00000000">
      <w:pPr>
        <w:pStyle w:val="Normal39"/>
        <w:widowControl w:val="0"/>
        <w:spacing w:before="200" w:line="260" w:lineRule="atLeast"/>
        <w:jc w:val="both"/>
      </w:pPr>
      <w:bookmarkStart w:id="6220" w:name="Bookmark_para_55_6"/>
      <w:bookmarkStart w:id="6221" w:name="Bookmark_I3WXY420C8H00079WNY003TD"/>
      <w:bookmarkStart w:id="6222" w:name="Bookmark_I5PV58Y32N1PMS0020000400"/>
      <w:bookmarkStart w:id="6223" w:name="Bookmark_I3WXY420H3N00079WNY003TF"/>
      <w:bookmarkStart w:id="6224" w:name="Bookmark_I5PV58Y32N1PMS0040000400"/>
      <w:bookmarkEnd w:id="6220"/>
      <w:bookmarkEnd w:id="6221"/>
      <w:bookmarkEnd w:id="6222"/>
      <w:bookmarkEnd w:id="6223"/>
      <w:bookmarkEnd w:id="6224"/>
      <w:r>
        <w:rPr>
          <w:rFonts w:ascii="Arial" w:eastAsia="Arial" w:hAnsi="Arial" w:cs="Arial"/>
          <w:color w:val="000000"/>
          <w:sz w:val="20"/>
        </w:rPr>
        <w:t xml:space="preserve">And we have repeatedly rejected such arguments. For instance, </w:t>
      </w:r>
      <w:bookmarkStart w:id="6225" w:name="Bookmark_I5PV58Y32N1PMS0010000400"/>
      <w:bookmarkEnd w:id="6225"/>
      <w:r>
        <w:rPr>
          <w:rFonts w:ascii="Arial" w:eastAsia="Arial" w:hAnsi="Arial" w:cs="Arial"/>
          <w:i/>
          <w:color w:val="000000"/>
          <w:sz w:val="20"/>
        </w:rPr>
        <w:t>J.H. ex rel. J.P. v. Bernalillo Cty.</w:t>
      </w:r>
      <w:r>
        <w:rPr>
          <w:rFonts w:ascii="Arial" w:eastAsia="Arial" w:hAnsi="Arial" w:cs="Arial"/>
          <w:color w:val="000000"/>
          <w:sz w:val="20"/>
        </w:rPr>
        <w:t xml:space="preserve">, 806 F.3d at 1260, we held that an SRO did not arrest a student "because of [his] disability" when the student kicked a teacher; we expressly held that an arrest based on the manifestation of a student's disability was not equivalent to an arrest </w:t>
      </w:r>
      <w:r>
        <w:rPr>
          <w:rFonts w:ascii="Arial" w:eastAsia="Arial" w:hAnsi="Arial" w:cs="Arial"/>
          <w:i/>
          <w:color w:val="000000"/>
          <w:sz w:val="20"/>
        </w:rPr>
        <w:t>because</w:t>
      </w:r>
      <w:r>
        <w:rPr>
          <w:rFonts w:ascii="Arial" w:eastAsia="Arial" w:hAnsi="Arial" w:cs="Arial"/>
          <w:color w:val="000000"/>
          <w:sz w:val="20"/>
        </w:rPr>
        <w:t xml:space="preserve"> of that disability. And, in </w:t>
      </w:r>
      <w:bookmarkStart w:id="6226" w:name="Bookmark_I5PV58Y32N1PMS0030000400"/>
      <w:bookmarkEnd w:id="6226"/>
      <w:r>
        <w:rPr>
          <w:rFonts w:ascii="Arial" w:eastAsia="Arial" w:hAnsi="Arial" w:cs="Arial"/>
          <w:i/>
          <w:color w:val="000000"/>
          <w:sz w:val="20"/>
        </w:rPr>
        <w:t>J.V. v. Albuquerque Public Schools</w:t>
      </w:r>
      <w:r>
        <w:rPr>
          <w:rFonts w:ascii="Arial" w:eastAsia="Arial" w:hAnsi="Arial" w:cs="Arial"/>
          <w:color w:val="000000"/>
          <w:sz w:val="20"/>
        </w:rPr>
        <w:t xml:space="preserve">, 813 F.3d 1289, 1296 (10th Cir. 2016), we held that a SRO did not arrest a student "by reason of disability" when the student was disruptive for two hours. </w:t>
      </w:r>
      <w:r>
        <w:rPr>
          <w:rFonts w:ascii="Arial" w:eastAsia="Arial" w:hAnsi="Arial" w:cs="Arial"/>
          <w:i/>
          <w:color w:val="000000"/>
          <w:sz w:val="20"/>
        </w:rPr>
        <w:t>Id.</w:t>
      </w:r>
      <w:r>
        <w:rPr>
          <w:rFonts w:ascii="Arial" w:eastAsia="Arial" w:hAnsi="Arial" w:cs="Arial"/>
          <w:color w:val="000000"/>
          <w:sz w:val="20"/>
        </w:rPr>
        <w:t xml:space="preserve"> In doing so,  [*885]  we noted that </w:t>
      </w:r>
      <w:bookmarkStart w:id="6227" w:name="Bookmark_LNHNREFclscc24_2"/>
      <w:bookmarkEnd w:id="6227"/>
      <w:r>
        <w:rPr>
          <w:rFonts w:ascii="Arial" w:eastAsia="Arial" w:hAnsi="Arial" w:cs="Arial"/>
          <w:color w:val="000000"/>
          <w:sz w:val="20"/>
        </w:rPr>
        <w:t xml:space="preserve">there was "no authority suggesting [that] a school may not regulate a student's conduct if that conduct is a manifestation of a disability." </w:t>
      </w:r>
      <w:r>
        <w:rPr>
          <w:rFonts w:ascii="Arial" w:eastAsia="Arial" w:hAnsi="Arial" w:cs="Arial"/>
          <w:i/>
          <w:color w:val="000000"/>
          <w:sz w:val="20"/>
        </w:rPr>
        <w:t>Id.</w:t>
      </w:r>
      <w:r>
        <w:rPr>
          <w:rFonts w:ascii="Arial" w:eastAsia="Arial" w:hAnsi="Arial" w:cs="Arial"/>
          <w:color w:val="000000"/>
          <w:sz w:val="20"/>
        </w:rPr>
        <w:t xml:space="preserve"> This case is no different from </w:t>
      </w:r>
      <w:r>
        <w:rPr>
          <w:rFonts w:ascii="Arial" w:eastAsia="Arial" w:hAnsi="Arial" w:cs="Arial"/>
          <w:i/>
          <w:color w:val="000000"/>
          <w:sz w:val="20"/>
        </w:rPr>
        <w:t>J.H.</w:t>
      </w:r>
      <w:r>
        <w:rPr>
          <w:rFonts w:ascii="Arial" w:eastAsia="Arial" w:hAnsi="Arial" w:cs="Arial"/>
          <w:color w:val="000000"/>
          <w:sz w:val="20"/>
        </w:rPr>
        <w:t xml:space="preserve"> or </w:t>
      </w:r>
      <w:r>
        <w:rPr>
          <w:rFonts w:ascii="Arial" w:eastAsia="Arial" w:hAnsi="Arial" w:cs="Arial"/>
          <w:i/>
          <w:color w:val="000000"/>
          <w:sz w:val="20"/>
        </w:rPr>
        <w:t>J.V.</w:t>
      </w:r>
      <w:r>
        <w:rPr>
          <w:rFonts w:ascii="Arial" w:eastAsia="Arial" w:hAnsi="Arial" w:cs="Arial"/>
          <w:color w:val="000000"/>
          <w:sz w:val="20"/>
        </w:rPr>
        <w:t xml:space="preserve"> Officer Hensley [**27]  did not arrest Scott because Scott was disabled; he arrested Scott because he thought that Scott was "interfer[ing] with the educational process." § 30-20-13(D).</w:t>
      </w:r>
    </w:p>
    <w:p w:rsidR="00E456CD" w:rsidRDefault="00000000">
      <w:pPr>
        <w:pStyle w:val="Normal39"/>
        <w:widowControl w:val="0"/>
        <w:spacing w:before="200" w:line="260" w:lineRule="atLeast"/>
        <w:jc w:val="both"/>
      </w:pPr>
      <w:bookmarkStart w:id="6228" w:name="Bookmark_para_56_6"/>
      <w:bookmarkEnd w:id="6228"/>
      <w:r>
        <w:rPr>
          <w:rFonts w:ascii="Arial" w:eastAsia="Arial" w:hAnsi="Arial" w:cs="Arial"/>
          <w:color w:val="000000"/>
          <w:sz w:val="20"/>
        </w:rPr>
        <w:t xml:space="preserve">Scott also argues that the City, through Officer Hensley, failed to provide reasonable accommodations to Scott during the arrest. Specifically, he alleges that "the City established no meaningful policies to accommodate disabled children" and "require[d] that all children . . . be transported by an officer [while] handcuffed," regardless of "the child's age or health status." </w:t>
      </w:r>
      <w:r>
        <w:rPr>
          <w:rFonts w:ascii="Arial" w:eastAsia="Arial" w:hAnsi="Arial" w:cs="Arial"/>
          <w:i/>
          <w:color w:val="000000"/>
          <w:sz w:val="20"/>
        </w:rPr>
        <w:t>Id.</w:t>
      </w:r>
      <w:r>
        <w:rPr>
          <w:rFonts w:ascii="Arial" w:eastAsia="Arial" w:hAnsi="Arial" w:cs="Arial"/>
          <w:color w:val="000000"/>
          <w:sz w:val="20"/>
        </w:rPr>
        <w:t xml:space="preserve"> at 36. Scott contends that this policy violated his rights under the ADA.</w:t>
      </w:r>
    </w:p>
    <w:p w:rsidR="00E456CD" w:rsidRDefault="00000000">
      <w:pPr>
        <w:pStyle w:val="Normal39"/>
        <w:widowControl w:val="0"/>
        <w:spacing w:before="200" w:line="260" w:lineRule="atLeast"/>
        <w:jc w:val="both"/>
      </w:pPr>
      <w:bookmarkStart w:id="6229" w:name="Bookmark_para_57_6"/>
      <w:bookmarkStart w:id="6230" w:name="Bookmark_I5PV58Y32HM6K90010000400"/>
      <w:bookmarkStart w:id="6231" w:name="Bookmark_LNHNREFclscc25_1"/>
      <w:bookmarkEnd w:id="6229"/>
      <w:bookmarkEnd w:id="6230"/>
      <w:bookmarkEnd w:id="6231"/>
      <w:r>
        <w:rPr>
          <w:rFonts w:ascii="Arial" w:eastAsia="Arial" w:hAnsi="Arial" w:cs="Arial"/>
          <w:color w:val="000000"/>
          <w:sz w:val="20"/>
        </w:rPr>
        <w:t xml:space="preserve">We have never adopted a failure-to-train claim of discrimination under the ADA in the context of an arrest. </w:t>
      </w:r>
      <w:r>
        <w:rPr>
          <w:rFonts w:ascii="Arial" w:eastAsia="Arial" w:hAnsi="Arial" w:cs="Arial"/>
          <w:i/>
          <w:color w:val="000000"/>
          <w:sz w:val="20"/>
        </w:rPr>
        <w:t xml:space="preserve">See, e.g., </w:t>
      </w:r>
      <w:bookmarkStart w:id="6232" w:name="Bookmark_I5PV58Y32N1PMS0050000400"/>
      <w:bookmarkEnd w:id="6232"/>
      <w:r>
        <w:rPr>
          <w:rFonts w:ascii="Arial" w:eastAsia="Arial" w:hAnsi="Arial" w:cs="Arial"/>
          <w:i/>
          <w:color w:val="000000"/>
          <w:sz w:val="20"/>
        </w:rPr>
        <w:t>J.V.</w:t>
      </w:r>
      <w:r>
        <w:rPr>
          <w:rFonts w:ascii="Arial" w:eastAsia="Arial" w:hAnsi="Arial" w:cs="Arial"/>
          <w:color w:val="000000"/>
          <w:sz w:val="20"/>
        </w:rPr>
        <w:t xml:space="preserve">, 813 F.3d at 1297 ("This circuit has not recognized a failure-to-train claim of discrimination under the ADA, but we have not foreclosed the possibility."); </w:t>
      </w:r>
      <w:bookmarkStart w:id="6233" w:name="Bookmark_I5PV58Y32HM6K90020000400"/>
      <w:bookmarkEnd w:id="6233"/>
      <w:r>
        <w:rPr>
          <w:rFonts w:ascii="Arial" w:eastAsia="Arial" w:hAnsi="Arial" w:cs="Arial"/>
          <w:i/>
          <w:color w:val="000000"/>
          <w:sz w:val="20"/>
        </w:rPr>
        <w:t>Gohier</w:t>
      </w:r>
      <w:r>
        <w:rPr>
          <w:rFonts w:ascii="Arial" w:eastAsia="Arial" w:hAnsi="Arial" w:cs="Arial"/>
          <w:color w:val="000000"/>
          <w:sz w:val="20"/>
        </w:rPr>
        <w:t xml:space="preserve">, 186 F.3d at 1221. But, even assuming </w:t>
      </w:r>
      <w:r>
        <w:rPr>
          <w:rFonts w:ascii="Arial" w:eastAsia="Arial" w:hAnsi="Arial" w:cs="Arial"/>
          <w:i/>
          <w:color w:val="000000"/>
          <w:sz w:val="20"/>
        </w:rPr>
        <w:t>arguendo</w:t>
      </w:r>
      <w:r>
        <w:rPr>
          <w:rFonts w:ascii="Arial" w:eastAsia="Arial" w:hAnsi="Arial" w:cs="Arial"/>
          <w:color w:val="000000"/>
          <w:sz w:val="20"/>
        </w:rPr>
        <w:t xml:space="preserve"> this was the law here, Scott's claim would still fail.</w:t>
      </w:r>
    </w:p>
    <w:p w:rsidR="00E456CD" w:rsidRDefault="00000000">
      <w:pPr>
        <w:pStyle w:val="Normal39"/>
        <w:widowControl w:val="0"/>
        <w:spacing w:before="200" w:line="260" w:lineRule="atLeast"/>
        <w:jc w:val="both"/>
      </w:pPr>
      <w:bookmarkStart w:id="6234" w:name="Bookmark_para_58_6"/>
      <w:bookmarkEnd w:id="6234"/>
      <w:r>
        <w:rPr>
          <w:rFonts w:ascii="Arial" w:eastAsia="Arial" w:hAnsi="Arial" w:cs="Arial"/>
          <w:color w:val="000000"/>
          <w:sz w:val="20"/>
        </w:rPr>
        <w:t xml:space="preserve">Crucially, Scott never points to any evidence of (1) a request for an accommodation; or (2) a reason that Officer Hensley should have known that he needed an accommodation. Instead, he points only to the fact that Officer Hensley knew about Scott's diagnosis of bipolar disorder. (The [**28]  record bears this out. In his deposition, Officer Hensley was asked if Scott had been "diagnosed with bipolar disorder[.]" Aplt.'s App. at 67. He replied that Scott's "parents had told [Officer Hensley] that" during a meeting with Officer Hensley. </w:t>
      </w:r>
      <w:r>
        <w:rPr>
          <w:rFonts w:ascii="Arial" w:eastAsia="Arial" w:hAnsi="Arial" w:cs="Arial"/>
          <w:i/>
          <w:color w:val="000000"/>
          <w:sz w:val="20"/>
        </w:rPr>
        <w:t>Id.</w:t>
      </w:r>
      <w:r>
        <w:rPr>
          <w:rFonts w:ascii="Arial" w:eastAsia="Arial" w:hAnsi="Arial" w:cs="Arial"/>
          <w:color w:val="000000"/>
          <w:sz w:val="20"/>
        </w:rPr>
        <w:t xml:space="preserve"> That meeting was "probably the week prior to [Scott's] arrest." </w:t>
      </w:r>
      <w:r>
        <w:rPr>
          <w:rFonts w:ascii="Arial" w:eastAsia="Arial" w:hAnsi="Arial" w:cs="Arial"/>
          <w:i/>
          <w:color w:val="000000"/>
          <w:sz w:val="20"/>
        </w:rPr>
        <w:t>Id.</w:t>
      </w:r>
      <w:r>
        <w:rPr>
          <w:rFonts w:ascii="Arial" w:eastAsia="Arial" w:hAnsi="Arial" w:cs="Arial"/>
          <w:color w:val="000000"/>
          <w:sz w:val="20"/>
        </w:rPr>
        <w:t>)</w:t>
      </w:r>
    </w:p>
    <w:p w:rsidR="00E456CD" w:rsidRDefault="00000000">
      <w:pPr>
        <w:pStyle w:val="Normal39"/>
        <w:widowControl w:val="0"/>
        <w:spacing w:before="200" w:line="260" w:lineRule="atLeast"/>
        <w:jc w:val="both"/>
      </w:pPr>
      <w:bookmarkStart w:id="6235" w:name="Bookmark_para_59_6"/>
      <w:bookmarkStart w:id="6236" w:name="Bookmark_I5PV58Y32HM6K90050000400"/>
      <w:bookmarkEnd w:id="6235"/>
      <w:bookmarkEnd w:id="6236"/>
      <w:r>
        <w:rPr>
          <w:rFonts w:ascii="Arial" w:eastAsia="Arial" w:hAnsi="Arial" w:cs="Arial"/>
          <w:color w:val="000000"/>
          <w:sz w:val="20"/>
        </w:rPr>
        <w:t xml:space="preserve">But knowledge of that diagnosis, without more, would not necessarily make Officer Hensley aware that Scott needed an accommodation. </w:t>
      </w:r>
      <w:r>
        <w:rPr>
          <w:rFonts w:ascii="Arial" w:eastAsia="Arial" w:hAnsi="Arial" w:cs="Arial"/>
          <w:i/>
          <w:color w:val="000000"/>
          <w:sz w:val="20"/>
        </w:rPr>
        <w:t xml:space="preserve">See </w:t>
      </w:r>
      <w:bookmarkStart w:id="6237" w:name="Bookmark_I5PV58Y32HM6K90040000400"/>
      <w:bookmarkEnd w:id="6237"/>
      <w:r>
        <w:rPr>
          <w:rFonts w:ascii="Arial" w:eastAsia="Arial" w:hAnsi="Arial" w:cs="Arial"/>
          <w:i/>
          <w:color w:val="000000"/>
          <w:sz w:val="20"/>
        </w:rPr>
        <w:t>J.V.</w:t>
      </w:r>
      <w:r>
        <w:rPr>
          <w:rFonts w:ascii="Arial" w:eastAsia="Arial" w:hAnsi="Arial" w:cs="Arial"/>
          <w:color w:val="000000"/>
          <w:sz w:val="20"/>
        </w:rPr>
        <w:t>, 813 F.3d at 1299 (</w:t>
      </w:r>
      <w:bookmarkStart w:id="6238" w:name="Bookmark_LNHNREFclscc26_1"/>
      <w:bookmarkEnd w:id="6238"/>
      <w:r>
        <w:rPr>
          <w:rFonts w:ascii="Arial" w:eastAsia="Arial" w:hAnsi="Arial" w:cs="Arial"/>
          <w:color w:val="000000"/>
          <w:sz w:val="20"/>
        </w:rPr>
        <w:t xml:space="preserve">"[A]n ADA plaintiff must show an obvious need for an accommodation."); </w:t>
      </w:r>
      <w:bookmarkStart w:id="6239" w:name="Bookmark_I5PV58Y32D6NVD0010000400"/>
      <w:bookmarkEnd w:id="6239"/>
      <w:r>
        <w:rPr>
          <w:rFonts w:ascii="Arial" w:eastAsia="Arial" w:hAnsi="Arial" w:cs="Arial"/>
          <w:i/>
          <w:color w:val="000000"/>
          <w:sz w:val="20"/>
        </w:rPr>
        <w:t>J.H.</w:t>
      </w:r>
      <w:r>
        <w:rPr>
          <w:rFonts w:ascii="Arial" w:eastAsia="Arial" w:hAnsi="Arial" w:cs="Arial"/>
          <w:color w:val="000000"/>
          <w:sz w:val="20"/>
        </w:rPr>
        <w:t>, 806 F.3d at 1261 (concluding that it would "conflate[] a disability with a need for an accommodation" to expect an accommodation whenever an official is aware of a diagnosis).</w:t>
      </w:r>
    </w:p>
    <w:p w:rsidR="00E456CD" w:rsidRDefault="00000000">
      <w:pPr>
        <w:pStyle w:val="Normal39"/>
        <w:widowControl w:val="0"/>
        <w:spacing w:before="200" w:line="260" w:lineRule="atLeast"/>
        <w:jc w:val="both"/>
      </w:pPr>
      <w:bookmarkStart w:id="6240" w:name="Bookmark_para_60_6"/>
      <w:bookmarkStart w:id="6241" w:name="Bookmark_I5PV58Y32D6NVD0040000400"/>
      <w:bookmarkEnd w:id="6240"/>
      <w:bookmarkEnd w:id="6241"/>
      <w:r>
        <w:rPr>
          <w:rFonts w:ascii="Arial" w:eastAsia="Arial" w:hAnsi="Arial" w:cs="Arial"/>
          <w:color w:val="000000"/>
          <w:sz w:val="20"/>
        </w:rPr>
        <w:t xml:space="preserve">And though Scott argues that the City's failure to train amounted to a failure to accommodate his disability, he never explains why. His claim fails without that explanation. </w:t>
      </w:r>
      <w:r>
        <w:rPr>
          <w:rFonts w:ascii="Arial" w:eastAsia="Arial" w:hAnsi="Arial" w:cs="Arial"/>
          <w:i/>
          <w:color w:val="000000"/>
          <w:sz w:val="20"/>
        </w:rPr>
        <w:t xml:space="preserve">See, e.g., </w:t>
      </w:r>
      <w:bookmarkStart w:id="6242" w:name="Bookmark_I5PV58Y32D6NVD0030000400"/>
      <w:bookmarkEnd w:id="6242"/>
      <w:r>
        <w:rPr>
          <w:rFonts w:ascii="Arial" w:eastAsia="Arial" w:hAnsi="Arial" w:cs="Arial"/>
          <w:i/>
          <w:color w:val="000000"/>
          <w:sz w:val="20"/>
        </w:rPr>
        <w:t>J.V.</w:t>
      </w:r>
      <w:r>
        <w:rPr>
          <w:rFonts w:ascii="Arial" w:eastAsia="Arial" w:hAnsi="Arial" w:cs="Arial"/>
          <w:color w:val="000000"/>
          <w:sz w:val="20"/>
        </w:rPr>
        <w:t xml:space="preserve">, 813 F.3d at 1300 n.8 ("While plaintiff attempts to pose training in dealing with those with mental health problems a an 'accommodation,' it is well-settled that </w:t>
      </w:r>
      <w:bookmarkStart w:id="6243" w:name="Bookmark_LNHNREFclscc27_0"/>
      <w:bookmarkEnd w:id="6243"/>
      <w:r>
        <w:rPr>
          <w:rFonts w:ascii="Arial" w:eastAsia="Arial" w:hAnsi="Arial" w:cs="Arial"/>
          <w:color w:val="000000"/>
          <w:sz w:val="20"/>
        </w:rPr>
        <w:t xml:space="preserve">the failure to train must have caused some violation of law for an action against a municipality to lie." (quoting </w:t>
      </w:r>
      <w:bookmarkStart w:id="6244" w:name="Bookmark_I5PV58Y32D6NVD0050000400"/>
      <w:bookmarkEnd w:id="6244"/>
      <w:r>
        <w:rPr>
          <w:rFonts w:ascii="Arial" w:eastAsia="Arial" w:hAnsi="Arial" w:cs="Arial"/>
          <w:i/>
          <w:color w:val="000000"/>
          <w:sz w:val="20"/>
        </w:rPr>
        <w:t>Waller ex. rel. Estate of Hunt v. Danville, Va.</w:t>
      </w:r>
      <w:r>
        <w:rPr>
          <w:rFonts w:ascii="Arial" w:eastAsia="Arial" w:hAnsi="Arial" w:cs="Arial"/>
          <w:color w:val="000000"/>
          <w:sz w:val="20"/>
        </w:rPr>
        <w:t>, 556 F.3d 171, 177 n.3 (4th Cir. 2009))).</w:t>
      </w:r>
    </w:p>
    <w:p w:rsidR="00E456CD" w:rsidRDefault="00000000">
      <w:pPr>
        <w:pStyle w:val="Normal39"/>
        <w:widowControl w:val="0"/>
        <w:spacing w:before="240" w:line="260" w:lineRule="atLeast"/>
      </w:pPr>
      <w:r>
        <w:br/>
      </w:r>
      <w:r>
        <w:rPr>
          <w:rFonts w:ascii="Arial" w:eastAsia="Arial" w:hAnsi="Arial" w:cs="Arial"/>
          <w:b/>
          <w:color w:val="000000"/>
          <w:sz w:val="20"/>
        </w:rPr>
        <w:t>V</w:t>
      </w:r>
    </w:p>
    <w:p w:rsidR="00E456CD" w:rsidRDefault="00000000">
      <w:pPr>
        <w:pStyle w:val="Normal39"/>
        <w:widowControl w:val="0"/>
        <w:spacing w:before="200" w:line="260" w:lineRule="atLeast"/>
        <w:jc w:val="both"/>
      </w:pPr>
      <w:bookmarkStart w:id="6245" w:name="Bookmark_para_61_6"/>
      <w:bookmarkEnd w:id="6245"/>
      <w:r>
        <w:rPr>
          <w:rFonts w:ascii="Arial" w:eastAsia="Arial" w:hAnsi="Arial" w:cs="Arial"/>
          <w:color w:val="000000"/>
          <w:sz w:val="20"/>
        </w:rPr>
        <w:t xml:space="preserve">We </w:t>
      </w:r>
      <w:r>
        <w:rPr>
          <w:rFonts w:ascii="Arial" w:eastAsia="Arial" w:hAnsi="Arial" w:cs="Arial"/>
          <w:b/>
          <w:color w:val="000000"/>
          <w:sz w:val="20"/>
        </w:rPr>
        <w:t>AFFIRM</w:t>
      </w:r>
      <w:r>
        <w:rPr>
          <w:rFonts w:ascii="Arial" w:eastAsia="Arial" w:hAnsi="Arial" w:cs="Arial"/>
          <w:color w:val="000000"/>
          <w:sz w:val="20"/>
        </w:rPr>
        <w:t xml:space="preserve"> the district court's judgment.</w:t>
      </w:r>
    </w:p>
    <w:p w:rsidR="00E456CD" w:rsidRDefault="00000000">
      <w:pPr>
        <w:pStyle w:val="Normal39"/>
        <w:widowControl w:val="0"/>
        <w:spacing w:before="200" w:line="260" w:lineRule="atLeast"/>
        <w:jc w:val="both"/>
      </w:pPr>
      <w:bookmarkStart w:id="6246" w:name="Bookmark_para_62_6"/>
      <w:bookmarkEnd w:id="6246"/>
      <w:r>
        <w:rPr>
          <w:rFonts w:ascii="Arial" w:eastAsia="Arial" w:hAnsi="Arial" w:cs="Arial"/>
          <w:color w:val="000000"/>
          <w:sz w:val="20"/>
        </w:rPr>
        <w:t>Entered for the Court</w:t>
      </w:r>
    </w:p>
    <w:p w:rsidR="00E456CD" w:rsidRDefault="00000000">
      <w:pPr>
        <w:pStyle w:val="Normal39"/>
        <w:widowControl w:val="0"/>
        <w:spacing w:before="200" w:line="260" w:lineRule="atLeast"/>
        <w:jc w:val="both"/>
      </w:pPr>
      <w:bookmarkStart w:id="6247" w:name="Bookmark_para_63_6"/>
      <w:bookmarkEnd w:id="6247"/>
      <w:r>
        <w:rPr>
          <w:rFonts w:ascii="Arial" w:eastAsia="Arial" w:hAnsi="Arial" w:cs="Arial"/>
          <w:color w:val="000000"/>
          <w:sz w:val="20"/>
        </w:rPr>
        <w:t>JEROME A. HOLMES</w:t>
      </w:r>
    </w:p>
    <w:p w:rsidR="00E456CD" w:rsidRDefault="00000000">
      <w:pPr>
        <w:pStyle w:val="Normal39"/>
        <w:widowControl w:val="0"/>
        <w:spacing w:before="200" w:line="260" w:lineRule="atLeast"/>
        <w:jc w:val="both"/>
      </w:pPr>
      <w:bookmarkStart w:id="6248" w:name="Bookmark_para_64_6"/>
      <w:bookmarkEnd w:id="6248"/>
      <w:r>
        <w:rPr>
          <w:rFonts w:ascii="Arial" w:eastAsia="Arial" w:hAnsi="Arial" w:cs="Arial"/>
          <w:color w:val="000000"/>
          <w:sz w:val="20"/>
        </w:rPr>
        <w:t>Circuit Judge [**29] </w:t>
      </w:r>
    </w:p>
    <w:p w:rsidR="00E456CD" w:rsidRDefault="00E456CD">
      <w:pPr>
        <w:pStyle w:val="Normal39"/>
      </w:pPr>
    </w:p>
    <w:p w:rsidR="00E456CD" w:rsidRDefault="00000000">
      <w:pPr>
        <w:pStyle w:val="Normal39"/>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4323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530791048"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50DBF" id="Line 86"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0"/>
        <w:sectPr w:rsidR="00E456CD">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gutter="0"/>
          <w:cols w:space="720"/>
          <w:titlePg/>
        </w:sectPr>
      </w:pPr>
    </w:p>
    <w:p w:rsidR="00E456CD" w:rsidRDefault="00E456CD">
      <w:pPr>
        <w:pStyle w:val="Normal40"/>
      </w:pPr>
    </w:p>
    <w:p w:rsidR="00E456CD" w:rsidRDefault="00000000">
      <w:pPr>
        <w:pStyle w:val="Heading139"/>
        <w:keepNext w:val="0"/>
        <w:widowControl w:val="0"/>
        <w:spacing w:after="200" w:line="340" w:lineRule="atLeast"/>
        <w:jc w:val="center"/>
      </w:pPr>
      <w:r>
        <w:rPr>
          <w:rFonts w:eastAsia="Arial"/>
          <w:color w:val="000000"/>
          <w:sz w:val="28"/>
        </w:rPr>
        <w:t>Justice v. Renasant Bank</w:t>
      </w:r>
    </w:p>
    <w:p w:rsidR="00E456CD" w:rsidRDefault="00000000">
      <w:pPr>
        <w:pStyle w:val="Normal40"/>
        <w:widowControl w:val="0"/>
        <w:spacing w:before="120" w:line="260" w:lineRule="atLeast"/>
        <w:jc w:val="center"/>
      </w:pPr>
      <w:r>
        <w:rPr>
          <w:rFonts w:ascii="Arial" w:eastAsia="Arial" w:hAnsi="Arial" w:cs="Arial"/>
          <w:color w:val="000000"/>
          <w:sz w:val="20"/>
        </w:rPr>
        <w:t>United States Court of Appeals for the Fifth Circuit</w:t>
      </w:r>
    </w:p>
    <w:p w:rsidR="00E456CD" w:rsidRDefault="00000000">
      <w:pPr>
        <w:pStyle w:val="Normal40"/>
        <w:widowControl w:val="0"/>
        <w:spacing w:before="120" w:line="260" w:lineRule="atLeast"/>
        <w:jc w:val="center"/>
      </w:pPr>
      <w:r>
        <w:rPr>
          <w:rFonts w:ascii="Arial" w:eastAsia="Arial" w:hAnsi="Arial" w:cs="Arial"/>
          <w:color w:val="000000"/>
          <w:sz w:val="20"/>
        </w:rPr>
        <w:t>September 11, 2017, Filed</w:t>
      </w:r>
    </w:p>
    <w:p w:rsidR="00E456CD" w:rsidRDefault="00000000">
      <w:pPr>
        <w:pStyle w:val="Normal40"/>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16-60778</w:t>
      </w:r>
    </w:p>
    <w:p w:rsidR="00E456CD" w:rsidRDefault="00E456CD">
      <w:pPr>
        <w:pStyle w:val="Normal40"/>
        <w:widowControl w:val="0"/>
        <w:spacing w:line="240" w:lineRule="atLeast"/>
        <w:jc w:val="both"/>
      </w:pPr>
      <w:bookmarkStart w:id="6249" w:name="Bookmark_41"/>
      <w:bookmarkEnd w:id="6249"/>
    </w:p>
    <w:p w:rsidR="00E456CD" w:rsidRDefault="00000000">
      <w:pPr>
        <w:pStyle w:val="Normal40"/>
        <w:widowControl w:val="0"/>
        <w:spacing w:before="200" w:line="240" w:lineRule="atLeast"/>
      </w:pPr>
      <w:bookmarkStart w:id="6250" w:name="Reporter_39"/>
      <w:bookmarkEnd w:id="6250"/>
      <w:r>
        <w:rPr>
          <w:rFonts w:ascii="Arial" w:eastAsia="Arial" w:hAnsi="Arial" w:cs="Arial"/>
          <w:b/>
          <w:color w:val="000000"/>
          <w:sz w:val="18"/>
        </w:rPr>
        <w:t>Reporter</w:t>
      </w:r>
    </w:p>
    <w:p w:rsidR="00E456CD" w:rsidRDefault="00000000">
      <w:pPr>
        <w:pStyle w:val="Normal40"/>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697 Fed. Appx. 357 *; 2017 U.S. App. LEXIS 17533 **; 2017 WL 4005110</w:t>
      </w:r>
    </w:p>
    <w:p w:rsidR="00E456CD" w:rsidRDefault="00000000">
      <w:pPr>
        <w:pStyle w:val="Normal40"/>
        <w:widowControl w:val="0"/>
        <w:spacing w:before="120" w:line="260" w:lineRule="atLeast"/>
      </w:pPr>
      <w:r>
        <w:rPr>
          <w:rFonts w:ascii="Arial" w:eastAsia="Arial" w:hAnsi="Arial" w:cs="Arial"/>
          <w:color w:val="000000"/>
          <w:sz w:val="20"/>
        </w:rPr>
        <w:t>DIANNE S. JUSTICE, Plaintiff - Appellant v. RENASANT BANK, also known as Renasant Corporation, Defendant - Appellee</w:t>
      </w:r>
    </w:p>
    <w:p w:rsidR="00E456CD" w:rsidRDefault="00000000">
      <w:pPr>
        <w:pStyle w:val="Normal40"/>
        <w:widowControl w:val="0"/>
        <w:spacing w:before="240" w:line="260" w:lineRule="atLeast"/>
        <w:jc w:val="both"/>
      </w:pPr>
      <w:bookmarkStart w:id="6251" w:name="Notice_20"/>
      <w:bookmarkEnd w:id="6251"/>
      <w:r>
        <w:rPr>
          <w:rFonts w:ascii="Arial" w:eastAsia="Arial" w:hAnsi="Arial" w:cs="Arial"/>
          <w:b/>
          <w:color w:val="000000"/>
          <w:sz w:val="20"/>
        </w:rPr>
        <w:t>Notice:</w:t>
      </w:r>
      <w:r>
        <w:rPr>
          <w:rFonts w:ascii="Arial" w:eastAsia="Arial" w:hAnsi="Arial" w:cs="Arial"/>
          <w:color w:val="000000"/>
          <w:sz w:val="20"/>
        </w:rPr>
        <w:t> </w:t>
      </w:r>
      <w:bookmarkStart w:id="6252" w:name="Bookmark_para_1_39"/>
      <w:bookmarkEnd w:id="6252"/>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40"/>
        <w:widowControl w:val="0"/>
        <w:spacing w:before="240" w:line="260" w:lineRule="atLeast"/>
        <w:jc w:val="both"/>
      </w:pPr>
      <w:bookmarkStart w:id="6253" w:name="Prior_History_39"/>
      <w:bookmarkEnd w:id="6253"/>
      <w:r>
        <w:rPr>
          <w:rFonts w:ascii="Arial" w:eastAsia="Arial" w:hAnsi="Arial" w:cs="Arial"/>
          <w:b/>
          <w:color w:val="000000"/>
          <w:sz w:val="20"/>
        </w:rPr>
        <w:t>Prior History:</w:t>
      </w:r>
      <w:r>
        <w:rPr>
          <w:rFonts w:ascii="Arial" w:eastAsia="Arial" w:hAnsi="Arial" w:cs="Arial"/>
          <w:color w:val="000000"/>
          <w:sz w:val="20"/>
        </w:rPr>
        <w:t> </w:t>
      </w:r>
      <w:bookmarkStart w:id="6254" w:name="Bookmark_para_2_39"/>
      <w:bookmarkEnd w:id="6254"/>
      <w:r>
        <w:rPr>
          <w:rFonts w:ascii="Arial" w:eastAsia="Arial" w:hAnsi="Arial" w:cs="Arial"/>
          <w:color w:val="000000"/>
          <w:sz w:val="20"/>
        </w:rPr>
        <w:t> [**1] Appeal from the United States District Court for the Northern District of Mississippi. USDC No. 1:15-CV-136.</w:t>
      </w:r>
    </w:p>
    <w:p w:rsidR="00E456CD" w:rsidRDefault="00000000">
      <w:pPr>
        <w:pStyle w:val="Normal40"/>
        <w:widowControl w:val="0"/>
        <w:spacing w:before="120" w:line="260" w:lineRule="atLeast"/>
      </w:pPr>
      <w:r>
        <w:rPr>
          <w:rFonts w:ascii="Arial" w:eastAsia="Arial" w:hAnsi="Arial" w:cs="Arial"/>
          <w:color w:val="000000"/>
          <w:sz w:val="20"/>
        </w:rPr>
        <w:t>Justice v. Renasant Bank, 2016 U.S. Dist. LEXIS 155459 (N.D. Miss., Nov. 8, 2016)</w:t>
      </w:r>
    </w:p>
    <w:p w:rsidR="00E456CD" w:rsidRDefault="00000000">
      <w:pPr>
        <w:pStyle w:val="Normal40"/>
        <w:widowControl w:val="0"/>
        <w:spacing w:before="240" w:line="260" w:lineRule="atLeast"/>
      </w:pPr>
      <w:bookmarkStart w:id="6255" w:name="Counsel_39"/>
      <w:bookmarkEnd w:id="6255"/>
      <w:r>
        <w:rPr>
          <w:rFonts w:ascii="Arial" w:eastAsia="Arial" w:hAnsi="Arial" w:cs="Arial"/>
          <w:b/>
          <w:color w:val="000000"/>
          <w:sz w:val="20"/>
        </w:rPr>
        <w:t>Counsel:</w:t>
      </w:r>
      <w:r>
        <w:rPr>
          <w:rFonts w:ascii="Arial" w:eastAsia="Arial" w:hAnsi="Arial" w:cs="Arial"/>
          <w:color w:val="000000"/>
          <w:sz w:val="20"/>
        </w:rPr>
        <w:t> For DIANNE S. JUSTICE, Plaintiff - Appellant: Jim D. Waide, III, Esq., Ronnie Lee Woodruff, Esq., Waide &amp; Associates, P.A., Tupelo, MS.</w:t>
      </w:r>
    </w:p>
    <w:p w:rsidR="00E456CD" w:rsidRDefault="00000000">
      <w:pPr>
        <w:pStyle w:val="Normal40"/>
        <w:widowControl w:val="0"/>
        <w:spacing w:before="120" w:line="260" w:lineRule="atLeast"/>
      </w:pPr>
      <w:r>
        <w:rPr>
          <w:rFonts w:ascii="Arial" w:eastAsia="Arial" w:hAnsi="Arial" w:cs="Arial"/>
          <w:color w:val="000000"/>
          <w:sz w:val="20"/>
        </w:rPr>
        <w:t>For RENASANT BANK, also known as Renasant Corporation, Defendant - Appellee: William Thomas Siler, Jr., Esq., Howard David Clark, III, Esq., Phelps Dunbar, L.L.P., Jackson, MS.</w:t>
      </w:r>
    </w:p>
    <w:p w:rsidR="00E456CD" w:rsidRDefault="00000000">
      <w:pPr>
        <w:pStyle w:val="Normal40"/>
        <w:widowControl w:val="0"/>
        <w:spacing w:before="240" w:line="260" w:lineRule="atLeast"/>
      </w:pPr>
      <w:bookmarkStart w:id="6256" w:name="Judges_39"/>
      <w:bookmarkEnd w:id="6256"/>
      <w:r>
        <w:rPr>
          <w:rFonts w:ascii="Arial" w:eastAsia="Arial" w:hAnsi="Arial" w:cs="Arial"/>
          <w:b/>
          <w:color w:val="000000"/>
          <w:sz w:val="20"/>
        </w:rPr>
        <w:t>Judges:</w:t>
      </w:r>
      <w:r>
        <w:rPr>
          <w:rFonts w:ascii="Arial" w:eastAsia="Arial" w:hAnsi="Arial" w:cs="Arial"/>
          <w:color w:val="000000"/>
          <w:sz w:val="20"/>
        </w:rPr>
        <w:t> Before STEWART, Chief Judge, and KING and JONES, Circuit Judges.</w:t>
      </w:r>
    </w:p>
    <w:p w:rsidR="00E456CD" w:rsidRDefault="00000000">
      <w:pPr>
        <w:pStyle w:val="Normal40"/>
        <w:keepNext/>
        <w:widowControl w:val="0"/>
        <w:spacing w:before="240" w:line="340" w:lineRule="atLeast"/>
      </w:pPr>
      <w:bookmarkStart w:id="6257" w:name="Opinion_39"/>
      <w:bookmarkEnd w:id="6257"/>
      <w:r>
        <w:rPr>
          <w:rFonts w:ascii="Arial" w:eastAsia="Arial" w:hAnsi="Arial" w:cs="Arial"/>
          <w:b/>
          <w:color w:val="000000"/>
          <w:sz w:val="28"/>
        </w:rPr>
        <w:t>Opinion</w:t>
      </w:r>
    </w:p>
    <w:p w:rsidR="00E456CD" w:rsidRDefault="00E22289">
      <w:pPr>
        <w:pStyle w:val="Normal40"/>
        <w:spacing w:line="60" w:lineRule="exact"/>
      </w:pPr>
      <w:r>
        <w:rPr>
          <w:noProof/>
        </w:rPr>
        <mc:AlternateContent>
          <mc:Choice Requires="wps">
            <w:drawing>
              <wp:anchor distT="0" distB="0" distL="114300" distR="114300" simplePos="0" relativeHeight="25174425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93486976"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C3456" id="Line 87"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0"/>
      </w:pPr>
    </w:p>
    <w:p w:rsidR="00E456CD" w:rsidRDefault="00000000">
      <w:pPr>
        <w:pStyle w:val="Normal40"/>
        <w:widowControl w:val="0"/>
        <w:spacing w:before="200" w:line="260" w:lineRule="atLeast"/>
        <w:jc w:val="both"/>
      </w:pPr>
      <w:bookmarkStart w:id="6258" w:name="Bookmark_para_3_39"/>
      <w:bookmarkEnd w:id="6258"/>
      <w:r>
        <w:rPr>
          <w:rFonts w:ascii="Arial" w:eastAsia="Arial" w:hAnsi="Arial" w:cs="Arial"/>
          <w:color w:val="000000"/>
          <w:sz w:val="20"/>
        </w:rPr>
        <w:t> [*357]  PER CURIAM:</w:t>
      </w:r>
      <w:r>
        <w:rPr>
          <w:rFonts w:ascii="Arial" w:eastAsia="Arial" w:hAnsi="Arial" w:cs="Arial"/>
          <w:vertAlign w:val="superscript"/>
        </w:rPr>
        <w:footnoteReference w:customMarkFollows="1" w:id="272"/>
        <w:t>*</w:t>
      </w:r>
    </w:p>
    <w:p w:rsidR="00E456CD" w:rsidRDefault="00000000">
      <w:pPr>
        <w:pStyle w:val="Normal40"/>
        <w:widowControl w:val="0"/>
        <w:spacing w:before="200" w:line="260" w:lineRule="atLeast"/>
        <w:jc w:val="both"/>
      </w:pPr>
      <w:bookmarkStart w:id="6260" w:name="Bookmark_para_4_39"/>
      <w:bookmarkEnd w:id="6260"/>
      <w:r>
        <w:rPr>
          <w:rFonts w:ascii="Arial" w:eastAsia="Arial" w:hAnsi="Arial" w:cs="Arial"/>
          <w:color w:val="000000"/>
          <w:sz w:val="20"/>
        </w:rPr>
        <w:t>Dianne Justice ("Justice") was terminated from her job at Renasant Bank ("Renasant") in February 2015. She filed a complaint against Renasant and her supervisor, Hozay Hausley, alleging state law claims and claims under the Americans with Disabilities Act ("ADA"), as amended, and the Family and Medical Leave Act ("FMLA"). The district court granted Renasant's and Hausley's motion for summary judgment. The district court  [*358]  held in relevant part that although Justice had raised a disputed fact issue whether her occasional migraine headaches constitute a disability, she was not qualified for her job because she was unable to work when she had a migraine. The district court also noted that Renasant allowed [**2]  Justice to take time off work each time she requested it, thereby accommodating her requests for ADA purposes. The court rejected her FMLA claim.</w:t>
      </w:r>
    </w:p>
    <w:p w:rsidR="00E456CD" w:rsidRDefault="00000000">
      <w:pPr>
        <w:pStyle w:val="Normal40"/>
        <w:widowControl w:val="0"/>
        <w:spacing w:before="200" w:line="260" w:lineRule="atLeast"/>
        <w:jc w:val="both"/>
      </w:pPr>
      <w:bookmarkStart w:id="6261" w:name="Bookmark_para_5_39"/>
      <w:bookmarkEnd w:id="6261"/>
      <w:r>
        <w:rPr>
          <w:rFonts w:ascii="Arial" w:eastAsia="Arial" w:hAnsi="Arial" w:cs="Arial"/>
          <w:color w:val="000000"/>
          <w:sz w:val="20"/>
        </w:rPr>
        <w:t>On appeal, Justice challenges only the dismissal of her ADA claim against Renasant, asserting that she was terminated in violation of 42 U.S.C. § 12112(a) because of her migraine headache disability. Justice reasons that the close timing between a negative evaluation of her work performance and the fact that she was fired a day after taking off work because of a migraine suggest that Renasant retaliated against her.</w:t>
      </w:r>
    </w:p>
    <w:p w:rsidR="00E456CD" w:rsidRDefault="00000000">
      <w:pPr>
        <w:pStyle w:val="Normal40"/>
        <w:widowControl w:val="0"/>
        <w:spacing w:before="200" w:line="260" w:lineRule="atLeast"/>
        <w:jc w:val="both"/>
      </w:pPr>
      <w:bookmarkStart w:id="6262" w:name="Bookmark_para_6_39"/>
      <w:bookmarkStart w:id="6263" w:name="Bookmark_I5PN1S2C2D6N8B0020000400"/>
      <w:bookmarkEnd w:id="6262"/>
      <w:bookmarkEnd w:id="6263"/>
      <w:r>
        <w:rPr>
          <w:rFonts w:ascii="Arial" w:eastAsia="Arial" w:hAnsi="Arial" w:cs="Arial"/>
          <w:color w:val="000000"/>
          <w:sz w:val="20"/>
        </w:rPr>
        <w:t xml:space="preserve">We review a district court's grant of summary judgment </w:t>
      </w:r>
      <w:r>
        <w:rPr>
          <w:rFonts w:ascii="Arial" w:eastAsia="Arial" w:hAnsi="Arial" w:cs="Arial"/>
          <w:i/>
          <w:color w:val="000000"/>
          <w:sz w:val="20"/>
        </w:rPr>
        <w:t xml:space="preserve">de novo. </w:t>
      </w:r>
      <w:bookmarkStart w:id="6264" w:name="Bookmark_I5PN1S2C2D6N8B0010000400"/>
      <w:bookmarkEnd w:id="6264"/>
      <w:r>
        <w:rPr>
          <w:rFonts w:ascii="Arial" w:eastAsia="Arial" w:hAnsi="Arial" w:cs="Arial"/>
          <w:i/>
          <w:color w:val="000000"/>
          <w:sz w:val="20"/>
        </w:rPr>
        <w:t>Kemp v. Holder</w:t>
      </w:r>
      <w:r>
        <w:rPr>
          <w:rFonts w:ascii="Arial" w:eastAsia="Arial" w:hAnsi="Arial" w:cs="Arial"/>
          <w:color w:val="000000"/>
          <w:sz w:val="20"/>
        </w:rPr>
        <w:t xml:space="preserve">, 610 F.3d 231, 234 (5th Cir. 2010). </w:t>
      </w:r>
      <w:bookmarkStart w:id="6265" w:name="Bookmark_I5PN1S2C2D6N8B0040000400"/>
      <w:bookmarkEnd w:id="6265"/>
      <w:r>
        <w:rPr>
          <w:rFonts w:ascii="Arial" w:eastAsia="Arial" w:hAnsi="Arial" w:cs="Arial"/>
          <w:color w:val="000000"/>
          <w:sz w:val="20"/>
        </w:rPr>
        <w:t xml:space="preserve">A party is entitled to summary judgment if there is no genuine dispute as to any material fact and the movant is entitled to judgment as a matter of law. Fed. R. Civ. P. 56(a)). We may affirm a grant of summary judgment on any grounds supported by the record and presented to the district court. </w:t>
      </w:r>
      <w:bookmarkStart w:id="6266" w:name="Bookmark_I5PN1S2C2D6N8B0040000400_2"/>
      <w:bookmarkStart w:id="6267" w:name="Bookmark_I5PN1S2C2HM6030010000400"/>
      <w:bookmarkStart w:id="6268" w:name="Bookmark_I5PN1S2C2D6N8B0030000400"/>
      <w:bookmarkEnd w:id="6266"/>
      <w:bookmarkEnd w:id="6267"/>
      <w:bookmarkEnd w:id="6268"/>
      <w:r>
        <w:rPr>
          <w:rFonts w:ascii="Arial" w:eastAsia="Arial" w:hAnsi="Arial" w:cs="Arial"/>
          <w:i/>
          <w:color w:val="000000"/>
          <w:sz w:val="20"/>
        </w:rPr>
        <w:t>Campbell v. Lamar Inst. of Tech.</w:t>
      </w:r>
      <w:r>
        <w:rPr>
          <w:rFonts w:ascii="Arial" w:eastAsia="Arial" w:hAnsi="Arial" w:cs="Arial"/>
          <w:color w:val="000000"/>
          <w:sz w:val="20"/>
        </w:rPr>
        <w:t xml:space="preserve">, 842 F.3d 375, 379 (5th Cir. 2016). </w:t>
      </w:r>
      <w:bookmarkStart w:id="6269" w:name="Bookmark_I5PN1S2C2HM6030010000400_2"/>
      <w:bookmarkEnd w:id="6269"/>
      <w:r>
        <w:rPr>
          <w:rFonts w:ascii="Arial" w:eastAsia="Arial" w:hAnsi="Arial" w:cs="Arial"/>
          <w:color w:val="000000"/>
          <w:sz w:val="20"/>
        </w:rPr>
        <w:t xml:space="preserve">To make out a prima facie case of discrimination under the ADA, an employee must demonstrate that the employer subjected her to adverse employment decisions on account of her disability. </w:t>
      </w:r>
      <w:bookmarkStart w:id="6270" w:name="Bookmark_I5PN1S2C2D6N8B0050000400"/>
      <w:bookmarkEnd w:id="6270"/>
      <w:r>
        <w:rPr>
          <w:rFonts w:ascii="Arial" w:eastAsia="Arial" w:hAnsi="Arial" w:cs="Arial"/>
          <w:i/>
          <w:color w:val="000000"/>
          <w:sz w:val="20"/>
        </w:rPr>
        <w:t>E.E.O.C. v. LHC Grp., Inc.</w:t>
      </w:r>
      <w:r>
        <w:rPr>
          <w:rFonts w:ascii="Arial" w:eastAsia="Arial" w:hAnsi="Arial" w:cs="Arial"/>
          <w:color w:val="000000"/>
          <w:sz w:val="20"/>
        </w:rPr>
        <w:t xml:space="preserve">, 773 F.3d 688, 695 (5th Cir. 2014). Termination is an adverse employment decision. </w:t>
      </w:r>
      <w:r>
        <w:rPr>
          <w:rFonts w:ascii="Arial" w:eastAsia="Arial" w:hAnsi="Arial" w:cs="Arial"/>
          <w:i/>
          <w:color w:val="000000"/>
          <w:sz w:val="20"/>
        </w:rPr>
        <w:t>See id.</w:t>
      </w:r>
    </w:p>
    <w:p w:rsidR="00E456CD" w:rsidRDefault="00000000">
      <w:pPr>
        <w:pStyle w:val="Normal40"/>
        <w:widowControl w:val="0"/>
        <w:spacing w:before="200" w:line="260" w:lineRule="atLeast"/>
        <w:jc w:val="both"/>
      </w:pPr>
      <w:bookmarkStart w:id="6271" w:name="Bookmark_para_7_38"/>
      <w:bookmarkEnd w:id="6271"/>
      <w:r>
        <w:rPr>
          <w:rFonts w:ascii="Arial" w:eastAsia="Arial" w:hAnsi="Arial" w:cs="Arial"/>
          <w:color w:val="000000"/>
          <w:sz w:val="20"/>
        </w:rPr>
        <w:t>Justice was not terminated because of her migraines but because she violated [**3]  company policy by signing a loan agreement falsely made out to her sister. In December of 2013, Justice generated, processed, and signed a loan for $3,140 in her sister's name. Justice then used the loan money to pay her own mortgage. In January 2015, Hausley reviewed the past due loan report and discovered Justice's sister's delinquent loan. He mentioned the loan to Justice and asked her to notify her sister of the delinquent status of her loan. Upon reviewing the next week's report, however, Hausley learned that Justice had paid off the delinquent loan from her personal account. Hausley referred the matter to Human Resources, which conducted an investigation and concluded that Justice had created the loan for her personal benefit and had deviated from safe banking practices against the bank's loan policy. In an exchange of emails on February 2, 2015, management subsequently recommended that Justice be terminated. Justice was fired later that day.</w:t>
      </w:r>
    </w:p>
    <w:p w:rsidR="00E456CD" w:rsidRDefault="00000000">
      <w:pPr>
        <w:pStyle w:val="Normal40"/>
        <w:widowControl w:val="0"/>
        <w:spacing w:before="200" w:line="260" w:lineRule="atLeast"/>
        <w:jc w:val="both"/>
      </w:pPr>
      <w:bookmarkStart w:id="6272" w:name="Bookmark_para_8_38"/>
      <w:bookmarkEnd w:id="6272"/>
      <w:r>
        <w:rPr>
          <w:rFonts w:ascii="Arial" w:eastAsia="Arial" w:hAnsi="Arial" w:cs="Arial"/>
          <w:color w:val="000000"/>
          <w:sz w:val="20"/>
        </w:rPr>
        <w:t xml:space="preserve">Renasant therefore did not fire Justice because of absences allegedly due to migraines, but because she violated company policy. Although her performance evaluation was close in time to the company's investigation into her sister's loan, [**4]  Hausley expressly stated in her evaluation that "[Justice] and I have talked and we are expecting 2015 to be much better," demonstrating that Hausley had no intention of firing her based on her absences. We do not endorse the district court's finding that there was a genuine issue of material fact whether migraine headaches, especially Justice's migraine headaches, may constitute a disability under the ADA. We nevertheless </w:t>
      </w:r>
      <w:r>
        <w:rPr>
          <w:rFonts w:ascii="Arial" w:eastAsia="Arial" w:hAnsi="Arial" w:cs="Arial"/>
          <w:b/>
          <w:color w:val="000000"/>
          <w:sz w:val="20"/>
        </w:rPr>
        <w:t>AFFIRM</w:t>
      </w:r>
      <w:r>
        <w:rPr>
          <w:rFonts w:ascii="Arial" w:eastAsia="Arial" w:hAnsi="Arial" w:cs="Arial"/>
          <w:color w:val="000000"/>
          <w:sz w:val="20"/>
        </w:rPr>
        <w:t xml:space="preserve"> the district court's grant of summary judgment in favor of Renasant for the foregoing reasons.</w:t>
      </w:r>
    </w:p>
    <w:p w:rsidR="00E456CD" w:rsidRDefault="00E456CD">
      <w:pPr>
        <w:pStyle w:val="Normal40"/>
      </w:pPr>
    </w:p>
    <w:p w:rsidR="00E456CD" w:rsidRDefault="00000000">
      <w:pPr>
        <w:pStyle w:val="Normal40"/>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4528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724890964"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72762" id="Line 88"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1"/>
        <w:sectPr w:rsidR="00E456CD">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gutter="0"/>
          <w:cols w:space="720"/>
          <w:titlePg/>
        </w:sectPr>
      </w:pPr>
    </w:p>
    <w:p w:rsidR="00E456CD" w:rsidRDefault="00E456CD">
      <w:pPr>
        <w:pStyle w:val="Normal41"/>
      </w:pPr>
    </w:p>
    <w:p w:rsidR="00E456CD" w:rsidRDefault="00000000">
      <w:pPr>
        <w:pStyle w:val="Heading140"/>
        <w:keepNext w:val="0"/>
        <w:widowControl w:val="0"/>
        <w:spacing w:after="200" w:line="340" w:lineRule="atLeast"/>
        <w:jc w:val="center"/>
      </w:pPr>
      <w:r>
        <w:rPr>
          <w:rFonts w:eastAsia="Arial"/>
          <w:color w:val="000000"/>
          <w:sz w:val="28"/>
        </w:rPr>
        <w:t>Updike v. Multnomah Cty.</w:t>
      </w:r>
    </w:p>
    <w:p w:rsidR="00E456CD" w:rsidRDefault="00000000">
      <w:pPr>
        <w:pStyle w:val="Normal41"/>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41"/>
        <w:widowControl w:val="0"/>
        <w:spacing w:before="120" w:line="260" w:lineRule="atLeast"/>
        <w:jc w:val="center"/>
      </w:pPr>
      <w:r>
        <w:rPr>
          <w:rFonts w:ascii="Arial" w:eastAsia="Arial" w:hAnsi="Arial" w:cs="Arial"/>
          <w:color w:val="000000"/>
          <w:sz w:val="20"/>
        </w:rPr>
        <w:t>June 7, 2017, Argued and Submitted, Portland, Oregon; August 31, 2017, Filed</w:t>
      </w:r>
    </w:p>
    <w:p w:rsidR="00E456CD" w:rsidRDefault="00000000">
      <w:pPr>
        <w:pStyle w:val="Normal41"/>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15-35254</w:t>
      </w:r>
    </w:p>
    <w:p w:rsidR="00E456CD" w:rsidRDefault="00E456CD">
      <w:pPr>
        <w:pStyle w:val="Normal41"/>
        <w:widowControl w:val="0"/>
        <w:spacing w:line="240" w:lineRule="atLeast"/>
        <w:jc w:val="both"/>
      </w:pPr>
      <w:bookmarkStart w:id="6273" w:name="Bookmark_42"/>
      <w:bookmarkEnd w:id="6273"/>
    </w:p>
    <w:p w:rsidR="00E456CD" w:rsidRDefault="00000000">
      <w:pPr>
        <w:pStyle w:val="Normal41"/>
        <w:widowControl w:val="0"/>
        <w:spacing w:before="200" w:line="240" w:lineRule="atLeast"/>
      </w:pPr>
      <w:bookmarkStart w:id="6274" w:name="Reporter_40"/>
      <w:bookmarkEnd w:id="6274"/>
      <w:r>
        <w:rPr>
          <w:rFonts w:ascii="Arial" w:eastAsia="Arial" w:hAnsi="Arial" w:cs="Arial"/>
          <w:b/>
          <w:color w:val="000000"/>
          <w:sz w:val="18"/>
        </w:rPr>
        <w:t>Reporter</w:t>
      </w:r>
    </w:p>
    <w:p w:rsidR="00E456CD" w:rsidRDefault="00000000">
      <w:pPr>
        <w:pStyle w:val="Normal41"/>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870 F.3d 939 *; 2017 U.S. App. LEXIS 16761 **</w:t>
      </w:r>
    </w:p>
    <w:p w:rsidR="00E456CD" w:rsidRDefault="00000000">
      <w:pPr>
        <w:pStyle w:val="Normal41"/>
        <w:widowControl w:val="0"/>
        <w:spacing w:before="120" w:line="260" w:lineRule="atLeast"/>
      </w:pPr>
      <w:r>
        <w:rPr>
          <w:rFonts w:ascii="Arial" w:eastAsia="Arial" w:hAnsi="Arial" w:cs="Arial"/>
          <w:color w:val="000000"/>
          <w:sz w:val="20"/>
        </w:rPr>
        <w:t>DAVID UPDIKE, Plaintiff-Appellant, v. MULTNOMAH COUNTY, a municipal corporation; STATE OF OREGON, Defendants-Appellees, and CITY OF GRESHAM, Defendant.</w:t>
      </w:r>
    </w:p>
    <w:p w:rsidR="00E456CD" w:rsidRDefault="00000000">
      <w:pPr>
        <w:pStyle w:val="Normal41"/>
        <w:widowControl w:val="0"/>
        <w:spacing w:before="240" w:line="260" w:lineRule="atLeast"/>
      </w:pPr>
      <w:bookmarkStart w:id="6275" w:name="Subsequent_History_15"/>
      <w:bookmarkEnd w:id="6275"/>
      <w:r>
        <w:rPr>
          <w:rFonts w:ascii="Arial" w:eastAsia="Arial" w:hAnsi="Arial" w:cs="Arial"/>
          <w:b/>
          <w:color w:val="000000"/>
          <w:sz w:val="20"/>
        </w:rPr>
        <w:t>Subsequent History:</w:t>
      </w:r>
      <w:r>
        <w:rPr>
          <w:rFonts w:ascii="Arial" w:eastAsia="Arial" w:hAnsi="Arial" w:cs="Arial"/>
          <w:color w:val="000000"/>
          <w:sz w:val="20"/>
        </w:rPr>
        <w:t> Request granted, Costs and fees proceeding at Updike v. Multnomah Cty., 2018 U.S. App. LEXIS 564 (9th Cir. Or., Jan. 9, 2018)</w:t>
      </w:r>
    </w:p>
    <w:p w:rsidR="00E456CD" w:rsidRDefault="00000000">
      <w:pPr>
        <w:pStyle w:val="Normal41"/>
        <w:widowControl w:val="0"/>
        <w:spacing w:before="120" w:line="260" w:lineRule="atLeast"/>
      </w:pPr>
      <w:r>
        <w:rPr>
          <w:rFonts w:ascii="Arial" w:eastAsia="Arial" w:hAnsi="Arial" w:cs="Arial"/>
          <w:color w:val="000000"/>
          <w:sz w:val="20"/>
        </w:rPr>
        <w:t>US Supreme Court certiorari denied by Multnomah Cty. v. Updike, 2018 U.S. LEXIS 5523 (U.S., Oct. 1, 2018)</w:t>
      </w:r>
    </w:p>
    <w:p w:rsidR="00E456CD" w:rsidRDefault="00000000">
      <w:pPr>
        <w:pStyle w:val="Normal41"/>
        <w:widowControl w:val="0"/>
        <w:spacing w:before="240" w:line="260" w:lineRule="atLeast"/>
        <w:jc w:val="both"/>
      </w:pPr>
      <w:bookmarkStart w:id="6276" w:name="Prior_History_40"/>
      <w:bookmarkEnd w:id="6276"/>
      <w:r>
        <w:rPr>
          <w:rFonts w:ascii="Arial" w:eastAsia="Arial" w:hAnsi="Arial" w:cs="Arial"/>
          <w:b/>
          <w:color w:val="000000"/>
          <w:sz w:val="20"/>
        </w:rPr>
        <w:t>Prior History:</w:t>
      </w:r>
      <w:r>
        <w:rPr>
          <w:rFonts w:ascii="Arial" w:eastAsia="Arial" w:hAnsi="Arial" w:cs="Arial"/>
          <w:color w:val="000000"/>
          <w:sz w:val="20"/>
        </w:rPr>
        <w:t> </w:t>
      </w:r>
      <w:bookmarkStart w:id="6277" w:name="Bookmark_para_1_40"/>
      <w:bookmarkEnd w:id="6277"/>
      <w:r>
        <w:rPr>
          <w:rFonts w:ascii="Arial" w:eastAsia="Arial" w:hAnsi="Arial" w:cs="Arial"/>
          <w:color w:val="000000"/>
          <w:sz w:val="20"/>
        </w:rPr>
        <w:t> [**1] Appeal from the United States District Court for the District of Oregon. D.C. No. 3:13-cv-01619-SI. Michael H. Simon, District Judge, Presiding.</w:t>
      </w:r>
    </w:p>
    <w:p w:rsidR="00E456CD" w:rsidRDefault="00000000">
      <w:pPr>
        <w:pStyle w:val="Normal41"/>
        <w:widowControl w:val="0"/>
        <w:spacing w:before="120" w:line="260" w:lineRule="atLeast"/>
      </w:pPr>
      <w:r>
        <w:rPr>
          <w:rFonts w:ascii="Arial" w:eastAsia="Arial" w:hAnsi="Arial" w:cs="Arial"/>
          <w:color w:val="000000"/>
          <w:sz w:val="20"/>
        </w:rPr>
        <w:t>Updike v. City of Gresham, 99 F. Supp. 3d 1279, 2015 U.S. Dist. LEXIS 36628 (D. Or., Mar. 24, 2015)</w:t>
      </w:r>
    </w:p>
    <w:p w:rsidR="00E456CD" w:rsidRDefault="00000000">
      <w:pPr>
        <w:pStyle w:val="Normal41"/>
        <w:widowControl w:val="0"/>
        <w:spacing w:before="240" w:line="260" w:lineRule="atLeast"/>
        <w:jc w:val="both"/>
      </w:pPr>
      <w:bookmarkStart w:id="6278" w:name="Disposition_10"/>
      <w:bookmarkEnd w:id="6278"/>
      <w:r>
        <w:rPr>
          <w:rFonts w:ascii="Arial" w:eastAsia="Arial" w:hAnsi="Arial" w:cs="Arial"/>
          <w:b/>
          <w:color w:val="000000"/>
          <w:sz w:val="20"/>
        </w:rPr>
        <w:t>Disposition:</w:t>
      </w:r>
      <w:r>
        <w:rPr>
          <w:rFonts w:ascii="Arial" w:eastAsia="Arial" w:hAnsi="Arial" w:cs="Arial"/>
          <w:color w:val="000000"/>
          <w:sz w:val="20"/>
        </w:rPr>
        <w:t> </w:t>
      </w:r>
      <w:bookmarkStart w:id="6279" w:name="Bookmark_clspara_4_8"/>
      <w:bookmarkEnd w:id="6279"/>
      <w:r>
        <w:rPr>
          <w:rFonts w:ascii="Arial" w:eastAsia="Arial" w:hAnsi="Arial" w:cs="Arial"/>
          <w:color w:val="000000"/>
          <w:sz w:val="20"/>
        </w:rPr>
        <w:t>AFFIRMED in part; REVERSED in part; and REMANDED.</w:t>
      </w:r>
    </w:p>
    <w:p w:rsidR="00E456CD" w:rsidRDefault="00000000">
      <w:pPr>
        <w:pStyle w:val="Normal41"/>
        <w:widowControl w:val="0"/>
        <w:spacing w:before="240" w:line="260" w:lineRule="atLeast"/>
      </w:pPr>
      <w:bookmarkStart w:id="6280" w:name="Summary_1"/>
      <w:bookmarkEnd w:id="6280"/>
      <w:r>
        <w:rPr>
          <w:rFonts w:ascii="Arial" w:eastAsia="Arial" w:hAnsi="Arial" w:cs="Arial"/>
          <w:b/>
          <w:color w:val="000000"/>
          <w:sz w:val="20"/>
        </w:rPr>
        <w:t>Summary:</w:t>
      </w:r>
    </w:p>
    <w:p w:rsidR="00E456CD" w:rsidRDefault="00000000">
      <w:pPr>
        <w:pStyle w:val="Normal41"/>
        <w:widowControl w:val="0"/>
        <w:spacing w:before="240" w:line="260" w:lineRule="atLeast"/>
        <w:jc w:val="both"/>
      </w:pPr>
      <w:bookmarkStart w:id="6281" w:name="Bookmark_clspara_5_1"/>
      <w:bookmarkEnd w:id="6281"/>
      <w:r>
        <w:rPr>
          <w:rFonts w:ascii="Arial" w:eastAsia="Arial" w:hAnsi="Arial" w:cs="Arial"/>
          <w:b/>
          <w:color w:val="000000"/>
          <w:sz w:val="20"/>
        </w:rPr>
        <w:t>SUMMARY</w:t>
      </w:r>
      <w:r>
        <w:rPr>
          <w:rFonts w:ascii="Arial" w:eastAsia="Arial" w:hAnsi="Arial" w:cs="Arial"/>
          <w:vertAlign w:val="superscript"/>
        </w:rPr>
        <w:footnoteReference w:customMarkFollows="1" w:id="273"/>
        <w:t>*</w:t>
      </w:r>
    </w:p>
    <w:p w:rsidR="00E456CD" w:rsidRDefault="00000000">
      <w:pPr>
        <w:pStyle w:val="Normal41"/>
        <w:widowControl w:val="0"/>
        <w:spacing w:before="240" w:line="260" w:lineRule="atLeast"/>
        <w:jc w:val="both"/>
      </w:pPr>
      <w:bookmarkStart w:id="6283" w:name="Bookmark_clspara_6_1"/>
      <w:bookmarkEnd w:id="6283"/>
      <w:r>
        <w:rPr>
          <w:rFonts w:ascii="Arial" w:eastAsia="Arial" w:hAnsi="Arial" w:cs="Arial"/>
          <w:b/>
          <w:color w:val="000000"/>
          <w:sz w:val="20"/>
        </w:rPr>
        <w:t>Americans With Disabilities Act / Rehabilitation Act</w:t>
      </w:r>
    </w:p>
    <w:p w:rsidR="00E456CD" w:rsidRDefault="00000000">
      <w:pPr>
        <w:pStyle w:val="Normal41"/>
        <w:widowControl w:val="0"/>
        <w:spacing w:before="240" w:line="260" w:lineRule="atLeast"/>
        <w:jc w:val="both"/>
      </w:pPr>
      <w:bookmarkStart w:id="6284" w:name="Bookmark_clspara_7_1"/>
      <w:bookmarkEnd w:id="6284"/>
      <w:r>
        <w:rPr>
          <w:rFonts w:ascii="Arial" w:eastAsia="Arial" w:hAnsi="Arial" w:cs="Arial"/>
          <w:color w:val="000000"/>
          <w:sz w:val="20"/>
        </w:rPr>
        <w:t>The panel affirmed in part and reversed in part the district court's summary judgment orders, and remanded, in a case in which David Updike, who has been deaf since birth, alleged that the State of Oregon and Multnomah County did not provide him with an American Sign Language interpreter at his arraignment on criminal charges, and that the County did not provide him with an ASL interpreter and other auxiliary aids in order for Updike to effectively communicate while he was in pretrial detainment and under pretrial supervision, in violation of Title II of the Americans with Disabilities Act and § 504 of the Rehabilitation Act.</w:t>
      </w:r>
    </w:p>
    <w:p w:rsidR="00E456CD" w:rsidRDefault="00000000">
      <w:pPr>
        <w:pStyle w:val="Normal41"/>
        <w:widowControl w:val="0"/>
        <w:spacing w:before="240" w:line="260" w:lineRule="atLeast"/>
        <w:jc w:val="both"/>
      </w:pPr>
      <w:bookmarkStart w:id="6285" w:name="Bookmark_clspara_8_0"/>
      <w:bookmarkEnd w:id="6285"/>
      <w:r>
        <w:rPr>
          <w:rFonts w:ascii="Arial" w:eastAsia="Arial" w:hAnsi="Arial" w:cs="Arial"/>
          <w:color w:val="000000"/>
          <w:sz w:val="20"/>
        </w:rPr>
        <w:t>The panel held that Updike lacks standing to pursue his claims for injunctive relief against the State because it is no more than speculation and conjecture that the State will not provide an ASL interpreter and auxiliary aids if Updike makes an appearance as a pretrial detainee again, and lacks standing to pursue his claims [**2]  for injunctive relief against the County because the possibility of recurring injury remains speculative.</w:t>
      </w:r>
    </w:p>
    <w:p w:rsidR="00E456CD" w:rsidRDefault="00000000">
      <w:pPr>
        <w:pStyle w:val="Normal41"/>
        <w:widowControl w:val="0"/>
        <w:spacing w:before="240" w:line="260" w:lineRule="atLeast"/>
        <w:jc w:val="both"/>
      </w:pPr>
      <w:bookmarkStart w:id="6286" w:name="Bookmark_clspara_9_0"/>
      <w:bookmarkEnd w:id="6286"/>
      <w:r>
        <w:rPr>
          <w:rFonts w:ascii="Arial" w:eastAsia="Arial" w:hAnsi="Arial" w:cs="Arial"/>
          <w:color w:val="000000"/>
          <w:sz w:val="20"/>
        </w:rPr>
        <w:t>The panel affirmed the district court's summary judgment in favor of the State on Updike's claims under the ADA and § 504 because there is no evidence that the State's failure to provide an ASL interpreter was the result of deliberate indifference.</w:t>
      </w:r>
    </w:p>
    <w:p w:rsidR="00E456CD" w:rsidRDefault="00000000">
      <w:pPr>
        <w:pStyle w:val="Normal41"/>
        <w:widowControl w:val="0"/>
        <w:spacing w:before="240" w:line="260" w:lineRule="atLeast"/>
        <w:jc w:val="both"/>
      </w:pPr>
      <w:bookmarkStart w:id="6287" w:name="Bookmark_clspara_10_0"/>
      <w:bookmarkEnd w:id="6287"/>
      <w:r>
        <w:rPr>
          <w:rFonts w:ascii="Arial" w:eastAsia="Arial" w:hAnsi="Arial" w:cs="Arial"/>
          <w:color w:val="000000"/>
          <w:sz w:val="20"/>
        </w:rPr>
        <w:t>The panel reversed the district court's summary judgment in favor of the County on Updike's ADA and § 504 claims for damages. The panel held that a reasonable jury could find that the County was deliberately indifferent and violated Title II and § 504 when it did not conduct an informed assessment of Updike's accommodation needs and did not give primary deference to Updike's requests or context-specific consideration to his requests; and when County employees failed to provide Updike with an ASL interpreter in a multitude of interactions with County employees, did not offer use of a TTD, and did not turn on closed captioning.</w:t>
      </w:r>
    </w:p>
    <w:p w:rsidR="00E456CD" w:rsidRDefault="00000000">
      <w:pPr>
        <w:pStyle w:val="Normal41"/>
        <w:widowControl w:val="0"/>
        <w:spacing w:before="240" w:line="260" w:lineRule="atLeast"/>
      </w:pPr>
      <w:bookmarkStart w:id="6288" w:name="Counsel_40"/>
      <w:bookmarkEnd w:id="6288"/>
      <w:r>
        <w:rPr>
          <w:rFonts w:ascii="Arial" w:eastAsia="Arial" w:hAnsi="Arial" w:cs="Arial"/>
          <w:b/>
          <w:color w:val="000000"/>
          <w:sz w:val="20"/>
        </w:rPr>
        <w:t>Counsel:</w:t>
      </w:r>
      <w:r>
        <w:rPr>
          <w:rFonts w:ascii="Arial" w:eastAsia="Arial" w:hAnsi="Arial" w:cs="Arial"/>
          <w:color w:val="000000"/>
          <w:sz w:val="20"/>
        </w:rPr>
        <w:t> Carl L. Post (argued), John Burgess, and Daniel Snyder, Law Offices of Daniel J. Snyder, Portland, Oregon, for Plaintiff-Appellant.</w:t>
      </w:r>
    </w:p>
    <w:p w:rsidR="00E456CD" w:rsidRDefault="00000000">
      <w:pPr>
        <w:pStyle w:val="Normal41"/>
        <w:widowControl w:val="0"/>
        <w:spacing w:before="120" w:line="260" w:lineRule="atLeast"/>
      </w:pPr>
      <w:r>
        <w:rPr>
          <w:rFonts w:ascii="Arial" w:eastAsia="Arial" w:hAnsi="Arial" w:cs="Arial"/>
          <w:color w:val="000000"/>
          <w:sz w:val="20"/>
        </w:rPr>
        <w:t>Jacqueline Kamins (argued), Assistant County Attorney; David N. Blankfeld, Multnomah County Attorney; Office of Multnomah County [**3]  Attorney, Portland, Oregon; for Defendant-Appellee Multnomah County.</w:t>
      </w:r>
    </w:p>
    <w:p w:rsidR="00E456CD" w:rsidRDefault="00000000">
      <w:pPr>
        <w:pStyle w:val="Normal41"/>
        <w:widowControl w:val="0"/>
        <w:spacing w:before="120" w:line="260" w:lineRule="atLeast"/>
      </w:pPr>
      <w:r>
        <w:rPr>
          <w:rFonts w:ascii="Arial" w:eastAsia="Arial" w:hAnsi="Arial" w:cs="Arial"/>
          <w:color w:val="000000"/>
          <w:sz w:val="20"/>
        </w:rPr>
        <w:t>Peenesh Shah (argued), Assistant Attorney General; Benjamin Gutman, Solicitor General; Ellen F. Rosenblum, Attorney General; Oregon Department of Justice, Salem, Oregon; for Defendant-Appellee State of Oregon.</w:t>
      </w:r>
    </w:p>
    <w:p w:rsidR="00E456CD" w:rsidRDefault="00000000">
      <w:pPr>
        <w:pStyle w:val="Normal41"/>
        <w:widowControl w:val="0"/>
        <w:spacing w:before="240" w:line="260" w:lineRule="atLeast"/>
      </w:pPr>
      <w:bookmarkStart w:id="6289" w:name="Judges_40"/>
      <w:bookmarkEnd w:id="6289"/>
      <w:r>
        <w:rPr>
          <w:rFonts w:ascii="Arial" w:eastAsia="Arial" w:hAnsi="Arial" w:cs="Arial"/>
          <w:b/>
          <w:color w:val="000000"/>
          <w:sz w:val="20"/>
        </w:rPr>
        <w:t>Judges:</w:t>
      </w:r>
      <w:r>
        <w:rPr>
          <w:rFonts w:ascii="Arial" w:eastAsia="Arial" w:hAnsi="Arial" w:cs="Arial"/>
          <w:color w:val="000000"/>
          <w:sz w:val="20"/>
        </w:rPr>
        <w:t> Before: A. Wallace Tashima, Ronald M. Gould, and Johnnie B. Rawlinson, Circuit Judges. Opinion by Judge Gould.</w:t>
      </w:r>
    </w:p>
    <w:p w:rsidR="00E456CD" w:rsidRDefault="00000000">
      <w:pPr>
        <w:pStyle w:val="Normal41"/>
        <w:widowControl w:val="0"/>
        <w:spacing w:before="240" w:line="260" w:lineRule="atLeast"/>
      </w:pPr>
      <w:bookmarkStart w:id="6290" w:name="Opinion_by_25"/>
      <w:bookmarkEnd w:id="6290"/>
      <w:r>
        <w:rPr>
          <w:rFonts w:ascii="Arial" w:eastAsia="Arial" w:hAnsi="Arial" w:cs="Arial"/>
          <w:b/>
          <w:color w:val="000000"/>
          <w:sz w:val="20"/>
        </w:rPr>
        <w:t>Opinion by:</w:t>
      </w:r>
      <w:r>
        <w:rPr>
          <w:rFonts w:ascii="Arial" w:eastAsia="Arial" w:hAnsi="Arial" w:cs="Arial"/>
          <w:color w:val="000000"/>
          <w:sz w:val="20"/>
        </w:rPr>
        <w:t> Ronald M. Gould</w:t>
      </w:r>
    </w:p>
    <w:p w:rsidR="00E456CD" w:rsidRDefault="00000000">
      <w:pPr>
        <w:pStyle w:val="Normal41"/>
        <w:keepNext/>
        <w:widowControl w:val="0"/>
        <w:spacing w:before="240" w:line="340" w:lineRule="atLeast"/>
      </w:pPr>
      <w:bookmarkStart w:id="6291" w:name="Opinion_40"/>
      <w:bookmarkEnd w:id="6291"/>
      <w:r>
        <w:rPr>
          <w:rFonts w:ascii="Arial" w:eastAsia="Arial" w:hAnsi="Arial" w:cs="Arial"/>
          <w:b/>
          <w:color w:val="000000"/>
          <w:sz w:val="28"/>
        </w:rPr>
        <w:t>Opinion</w:t>
      </w:r>
    </w:p>
    <w:p w:rsidR="00E456CD" w:rsidRDefault="00E22289">
      <w:pPr>
        <w:pStyle w:val="Normal41"/>
        <w:spacing w:line="60" w:lineRule="exact"/>
      </w:pPr>
      <w:r>
        <w:rPr>
          <w:noProof/>
        </w:rPr>
        <mc:AlternateContent>
          <mc:Choice Requires="wps">
            <w:drawing>
              <wp:anchor distT="0" distB="0" distL="114300" distR="114300" simplePos="0" relativeHeight="25174630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882621796"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C7B9B" id="Line 89"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1"/>
      </w:pPr>
    </w:p>
    <w:p w:rsidR="00E456CD" w:rsidRDefault="00000000">
      <w:pPr>
        <w:pStyle w:val="Normal41"/>
        <w:widowControl w:val="0"/>
        <w:spacing w:before="200" w:line="260" w:lineRule="atLeast"/>
        <w:jc w:val="both"/>
      </w:pPr>
      <w:bookmarkStart w:id="6292" w:name="Bookmark_para_2_40"/>
      <w:bookmarkEnd w:id="6292"/>
      <w:r>
        <w:rPr>
          <w:rFonts w:ascii="Arial" w:eastAsia="Arial" w:hAnsi="Arial" w:cs="Arial"/>
          <w:color w:val="000000"/>
          <w:sz w:val="20"/>
        </w:rPr>
        <w:t> [*943]  GOULD, Circuit Judge:</w:t>
      </w:r>
    </w:p>
    <w:p w:rsidR="00E456CD" w:rsidRDefault="00000000">
      <w:pPr>
        <w:pStyle w:val="Normal41"/>
        <w:widowControl w:val="0"/>
        <w:spacing w:before="200" w:line="260" w:lineRule="atLeast"/>
        <w:jc w:val="both"/>
      </w:pPr>
      <w:bookmarkStart w:id="6293" w:name="Bookmark_para_3_40"/>
      <w:bookmarkEnd w:id="6293"/>
      <w:r>
        <w:rPr>
          <w:rFonts w:ascii="Arial" w:eastAsia="Arial" w:hAnsi="Arial" w:cs="Arial"/>
          <w:color w:val="000000"/>
          <w:sz w:val="20"/>
        </w:rPr>
        <w:t>David Updike, who has been deaf since birth, uses American Sign Language ("ASL") as his primary language. He brings this action against Defendants the State of Oregon ("State") and Multnomah County ("County"), alleging that the State and the County did not provide him with an ASL interpreter at his arraignment on criminal charges, and that the County did not provide him with an ASL interpreter and other auxiliary aids in order for Updike to effectively communicate while he was in pretrial detainment and under pretrial supervision. Updike brings claims for violations of Title II of the Americans with Disabilities Act ("ADA"), 42 U.S.C. §§ 12101-12213, and § 504 of the Rehabilitation Act, 42 U.S.C. §§ 701-796l, negligence, and false arrest. Updike appeals the district court's grant of summary judgment to Defendants on [**4]  all claims. We affirm in part, reverse in part, and remand this case for further proceedings.</w:t>
      </w:r>
    </w:p>
    <w:p w:rsidR="00E456CD" w:rsidRDefault="00000000">
      <w:pPr>
        <w:pStyle w:val="Normal41"/>
        <w:widowControl w:val="0"/>
        <w:spacing w:before="240" w:line="260" w:lineRule="atLeast"/>
      </w:pPr>
      <w:r>
        <w:br/>
      </w:r>
      <w:r>
        <w:rPr>
          <w:rFonts w:ascii="Arial" w:eastAsia="Arial" w:hAnsi="Arial" w:cs="Arial"/>
          <w:b/>
          <w:color w:val="000000"/>
          <w:sz w:val="20"/>
        </w:rPr>
        <w:t>I</w:t>
      </w:r>
    </w:p>
    <w:p w:rsidR="00E456CD" w:rsidRDefault="00000000">
      <w:pPr>
        <w:pStyle w:val="Normal41"/>
        <w:widowControl w:val="0"/>
        <w:spacing w:before="240" w:line="260" w:lineRule="atLeast"/>
      </w:pPr>
      <w:r>
        <w:br/>
      </w:r>
      <w:r>
        <w:rPr>
          <w:rFonts w:ascii="Arial" w:eastAsia="Arial" w:hAnsi="Arial" w:cs="Arial"/>
          <w:b/>
          <w:color w:val="000000"/>
          <w:sz w:val="20"/>
        </w:rPr>
        <w:t>A</w:t>
      </w:r>
    </w:p>
    <w:p w:rsidR="00E456CD" w:rsidRDefault="00000000">
      <w:pPr>
        <w:pStyle w:val="Normal41"/>
        <w:widowControl w:val="0"/>
        <w:spacing w:before="200" w:line="260" w:lineRule="atLeast"/>
        <w:jc w:val="both"/>
      </w:pPr>
      <w:bookmarkStart w:id="6294" w:name="Bookmark_para_4_40"/>
      <w:bookmarkEnd w:id="6294"/>
      <w:r>
        <w:rPr>
          <w:rFonts w:ascii="Arial" w:eastAsia="Arial" w:hAnsi="Arial" w:cs="Arial"/>
          <w:color w:val="000000"/>
          <w:sz w:val="20"/>
        </w:rPr>
        <w:t>David Updike has been deaf since birth and communicates primarily through ASL, which is his native language and preferred method of communication. Updike does not consider himself to be bilingual in English and does not read or speak English well. Updike is not proficient at reading lips because he has never heard English words—in these circumstances, it is difficult to know the shape that lips make to produce certain words. All of Updike's friends are deaf and Updike's ex-wife is deaf. Updike explains that he "live[s] in the deaf world."</w:t>
      </w:r>
    </w:p>
    <w:p w:rsidR="00E456CD" w:rsidRDefault="00000000">
      <w:pPr>
        <w:pStyle w:val="Normal41"/>
        <w:widowControl w:val="0"/>
        <w:spacing w:before="200" w:line="260" w:lineRule="atLeast"/>
        <w:jc w:val="both"/>
      </w:pPr>
      <w:bookmarkStart w:id="6295" w:name="Bookmark_para_5_40"/>
      <w:bookmarkEnd w:id="6295"/>
      <w:r>
        <w:rPr>
          <w:rFonts w:ascii="Arial" w:eastAsia="Arial" w:hAnsi="Arial" w:cs="Arial"/>
          <w:color w:val="000000"/>
          <w:sz w:val="20"/>
        </w:rPr>
        <w:t>In the early afternoon of January 14, 2013, officers from the Gresham Police Department arrived at Updike's home to respond to a 911 call reporting a disturbance. The 911 caller told the operator that the disturbance</w:t>
      </w:r>
      <w:r>
        <w:rPr>
          <w:rFonts w:ascii="Arial" w:eastAsia="Arial" w:hAnsi="Arial" w:cs="Arial"/>
          <w:vertAlign w:val="superscript"/>
        </w:rPr>
        <w:footnoteReference w:customMarkFollows="1" w:id="274"/>
        <w:t>1</w:t>
      </w:r>
      <w:r>
        <w:rPr>
          <w:rFonts w:ascii="Arial" w:eastAsia="Arial" w:hAnsi="Arial" w:cs="Arial"/>
          <w:color w:val="000000"/>
          <w:sz w:val="20"/>
        </w:rPr>
        <w:t xml:space="preserve"> involved deaf individuals, but the officers did not bring an ASL interpreter with them. The officers arrested Updike and took him to Multnomah County Detention Center ("MCDC") for booking.</w:t>
      </w:r>
    </w:p>
    <w:p w:rsidR="00E456CD" w:rsidRDefault="00000000">
      <w:pPr>
        <w:pStyle w:val="Normal41"/>
        <w:widowControl w:val="0"/>
        <w:spacing w:before="200" w:line="260" w:lineRule="atLeast"/>
        <w:jc w:val="both"/>
      </w:pPr>
      <w:bookmarkStart w:id="6297" w:name="Bookmark_para_6_40"/>
      <w:bookmarkEnd w:id="6297"/>
      <w:r>
        <w:rPr>
          <w:rFonts w:ascii="Arial" w:eastAsia="Arial" w:hAnsi="Arial" w:cs="Arial"/>
          <w:color w:val="000000"/>
          <w:sz w:val="20"/>
        </w:rPr>
        <w:t>MCDC has a telecommunications device for the deaf ("TDD") available. MCDC staff, including corrections deputies and medical providers, can request an ASL interpreter [**5]  as needed. The County has a contract with Columbia Language Services, Inc. to provide interpreting services, including "Interpretation for the Deaf," "Interpretation for the Deaf/After Hours," "Remote/Electronic Interpretation," "Interpreter [Services]/Normal Hours/ASL," and "Interpreter Services/After Hours/ASL."</w:t>
      </w:r>
    </w:p>
    <w:p w:rsidR="00E456CD" w:rsidRDefault="00000000">
      <w:pPr>
        <w:pStyle w:val="Normal41"/>
        <w:widowControl w:val="0"/>
        <w:spacing w:before="200" w:line="260" w:lineRule="atLeast"/>
        <w:jc w:val="both"/>
      </w:pPr>
      <w:bookmarkStart w:id="6298" w:name="Bookmark_para_7_39"/>
      <w:bookmarkEnd w:id="6298"/>
      <w:r>
        <w:rPr>
          <w:rFonts w:ascii="Arial" w:eastAsia="Arial" w:hAnsi="Arial" w:cs="Arial"/>
          <w:color w:val="000000"/>
          <w:sz w:val="20"/>
        </w:rPr>
        <w:t> [*944]  At MCDC, Updike signed for an ASL interpreter and a teletypewriter ("TTY")</w:t>
      </w:r>
      <w:r>
        <w:rPr>
          <w:rFonts w:ascii="Arial" w:eastAsia="Arial" w:hAnsi="Arial" w:cs="Arial"/>
          <w:vertAlign w:val="superscript"/>
        </w:rPr>
        <w:footnoteReference w:customMarkFollows="1" w:id="275"/>
        <w:t>2</w:t>
      </w:r>
      <w:r>
        <w:rPr>
          <w:rFonts w:ascii="Arial" w:eastAsia="Arial" w:hAnsi="Arial" w:cs="Arial"/>
          <w:color w:val="000000"/>
          <w:sz w:val="20"/>
        </w:rPr>
        <w:t xml:space="preserve"> and tried to speak the word "interpreter," but was denied these requests. Instead, Officer Ozeroff showed Updike statements written by the other person involved in the disturbance and a witness, and wrote Updike a note asking Updike to write down what happened. Updike had trouble writing down what happened because written English is not his preferred form of communication. No ASL interpreter was provided.</w:t>
      </w:r>
    </w:p>
    <w:p w:rsidR="00E456CD" w:rsidRDefault="00000000">
      <w:pPr>
        <w:pStyle w:val="Normal41"/>
        <w:widowControl w:val="0"/>
        <w:spacing w:before="200" w:line="260" w:lineRule="atLeast"/>
        <w:jc w:val="both"/>
      </w:pPr>
      <w:bookmarkStart w:id="6300" w:name="Bookmark_para_8_39"/>
      <w:bookmarkEnd w:id="6300"/>
      <w:r>
        <w:rPr>
          <w:rFonts w:ascii="Arial" w:eastAsia="Arial" w:hAnsi="Arial" w:cs="Arial"/>
          <w:color w:val="000000"/>
          <w:sz w:val="20"/>
        </w:rPr>
        <w:t>At booking, a female corrections office removed Updike's handcuffs and spoke to Updike. Updike tried to read her lips and could not understand her statements. Deputy Kessinger, a booking deputy, completed Updike's intake. Updike was also photographed and fingerprinted. Updike requested an ASL interpreter during the booking process but was not given one.</w:t>
      </w:r>
    </w:p>
    <w:p w:rsidR="00E456CD" w:rsidRDefault="00000000">
      <w:pPr>
        <w:pStyle w:val="Normal41"/>
        <w:widowControl w:val="0"/>
        <w:spacing w:before="200" w:line="260" w:lineRule="atLeast"/>
        <w:jc w:val="both"/>
      </w:pPr>
      <w:bookmarkStart w:id="6301" w:name="Bookmark_para_9_38"/>
      <w:bookmarkEnd w:id="6301"/>
      <w:r>
        <w:rPr>
          <w:rFonts w:ascii="Arial" w:eastAsia="Arial" w:hAnsi="Arial" w:cs="Arial"/>
          <w:color w:val="000000"/>
          <w:sz w:val="20"/>
        </w:rPr>
        <w:t>After booking, Updike was placed in a holding room. [**6]  Updike saw other inmates making telephone phone calls, and he wanted to call an attorney and his mother. He asked a corrections officer for a TTY, by saying "TTY," and motioned his hand to his ear to mime a telephone. The officer instructed Updike to sit down and gestured for Updike to sit down. Updike stated and signed "I need an interpreter," but the officer did not respond to this request. Updike then spoke the word "paper" and made a writing gesture. The officer denied the request for paper and a writing instrument, and told Updike to sit down.</w:t>
      </w:r>
    </w:p>
    <w:p w:rsidR="00E456CD" w:rsidRDefault="00000000">
      <w:pPr>
        <w:pStyle w:val="Normal41"/>
        <w:widowControl w:val="0"/>
        <w:spacing w:before="200" w:line="260" w:lineRule="atLeast"/>
        <w:jc w:val="both"/>
      </w:pPr>
      <w:bookmarkStart w:id="6302" w:name="Bookmark_para_10_36"/>
      <w:bookmarkEnd w:id="6302"/>
      <w:r>
        <w:rPr>
          <w:rFonts w:ascii="Arial" w:eastAsia="Arial" w:hAnsi="Arial" w:cs="Arial"/>
          <w:color w:val="000000"/>
          <w:sz w:val="20"/>
        </w:rPr>
        <w:t>After the booking process, Updike again asked to use a TTY by gesturing typing and by making a verbal request to a different corrections officer. The officer denied the requests and instructed Updike to sit down and wait.</w:t>
      </w:r>
    </w:p>
    <w:p w:rsidR="00E456CD" w:rsidRDefault="00000000">
      <w:pPr>
        <w:pStyle w:val="Normal41"/>
        <w:widowControl w:val="0"/>
        <w:spacing w:before="200" w:line="260" w:lineRule="atLeast"/>
        <w:jc w:val="both"/>
      </w:pPr>
      <w:bookmarkStart w:id="6303" w:name="Bookmark_para_11_35"/>
      <w:bookmarkEnd w:id="6303"/>
      <w:r>
        <w:rPr>
          <w:rFonts w:ascii="Arial" w:eastAsia="Arial" w:hAnsi="Arial" w:cs="Arial"/>
          <w:color w:val="000000"/>
          <w:sz w:val="20"/>
        </w:rPr>
        <w:t>Still at MCDC, Updike met with Nurse Nielsen and asked for an ASL interpreter. Updike wanted to communicate that officers hurt his neck and back during the course of his arrest, but the nurse did not request or provide an interpreter despite his request. The nurse pointed to questions on a health intake form, but Updike could not read the form very well and used body language to answer the questions the best he could. The [**7]  nurse did not examine his neck and back, and Updike could not communicate that those areas hurt.</w:t>
      </w:r>
    </w:p>
    <w:p w:rsidR="00E456CD" w:rsidRDefault="00000000">
      <w:pPr>
        <w:pStyle w:val="Normal41"/>
        <w:widowControl w:val="0"/>
        <w:spacing w:before="200" w:line="260" w:lineRule="atLeast"/>
        <w:jc w:val="both"/>
      </w:pPr>
      <w:bookmarkStart w:id="6304" w:name="Bookmark_para_12_34"/>
      <w:bookmarkEnd w:id="6304"/>
      <w:r>
        <w:rPr>
          <w:rFonts w:ascii="Arial" w:eastAsia="Arial" w:hAnsi="Arial" w:cs="Arial"/>
          <w:color w:val="000000"/>
          <w:sz w:val="20"/>
        </w:rPr>
        <w:t>Updike met with Recognizance Officer Iwamoto from Multnomah County Pretrial Services Program. Updike had trouble reading the officer's lips and requested an ASL interpreter. The officer did not provide one. Updike also requested a TTY, but was not given one. Updike then learned that he would be held overnight and would appear in court the next day. Officer Iwamoto assured Updike that Iwamoto would notify the court that Updike would require an interpreter at his arraignment.</w:t>
      </w:r>
    </w:p>
    <w:p w:rsidR="00E456CD" w:rsidRDefault="00000000">
      <w:pPr>
        <w:pStyle w:val="Normal41"/>
        <w:widowControl w:val="0"/>
        <w:spacing w:before="200" w:line="260" w:lineRule="atLeast"/>
        <w:jc w:val="both"/>
      </w:pPr>
      <w:bookmarkStart w:id="6305" w:name="Bookmark_para_13_32"/>
      <w:bookmarkEnd w:id="6305"/>
      <w:r>
        <w:rPr>
          <w:rFonts w:ascii="Arial" w:eastAsia="Arial" w:hAnsi="Arial" w:cs="Arial"/>
          <w:color w:val="000000"/>
          <w:sz w:val="20"/>
        </w:rPr>
        <w:t>Officer Iwamoto's practice is to communicate with deaf people in custody by writing notes. Officer Iwamoto testified that if Updike was again arrested, he would likely not be given an ASL interpreter for his recognizance interview, and that he believed this practice needed to change. Iwamoto stated that he felt that written communication was sufficient to complete Updike's recognizance interview in order to make a release determination. Iwamoto's summary of his interview with Updike noted that the interview was conducted by writing, but that Updike would "need a sign language interpreter for court." This information became [**8]  part of the court's records, and went to the judge, the district attorney's office, and the defense attorney. The information was also made available to  [*945]  pretrial release services. Iwamoto stated that he made this determination because arraignment occurred by video conference, and not because he himself had difficulties communicating with Updike by writing during the recognizance interview.</w:t>
      </w:r>
    </w:p>
    <w:p w:rsidR="00E456CD" w:rsidRDefault="00000000">
      <w:pPr>
        <w:pStyle w:val="Normal41"/>
        <w:widowControl w:val="0"/>
        <w:spacing w:before="200" w:line="260" w:lineRule="atLeast"/>
        <w:jc w:val="both"/>
      </w:pPr>
      <w:bookmarkStart w:id="6306" w:name="Bookmark_para_14_31"/>
      <w:bookmarkEnd w:id="6306"/>
      <w:r>
        <w:rPr>
          <w:rFonts w:ascii="Arial" w:eastAsia="Arial" w:hAnsi="Arial" w:cs="Arial"/>
          <w:color w:val="000000"/>
          <w:sz w:val="20"/>
        </w:rPr>
        <w:t>While at MCDC, Updike also met with Deputy Waggoner, a classification deputy. Waggoner's notes said that Updike was deaf; this notation was made so corrections staff could give Updike accommodations, including getting the TTD machine for Updike to make phone calls. However, Deputy Waggoner did not call for an ASL interpreter during his triage interview with Updike because Waggoner did not think that Updike needed one and felt that Updike communicated fine using written English. Waggoner has never been trained on the necessary steps to obtain an interpreter for a deaf person during booking, and does not know how to get an ASL interpreter if he had trouble with a deaf inmate during a triage interview. Waggoner indicated in the Classification Summary Report that he believed Updike read fine, but also [**9]  noted that Updike answered "yes" to the question asking whether Updike had a disability that would impact his ability to understand instructions while detained.</w:t>
      </w:r>
    </w:p>
    <w:p w:rsidR="00E456CD" w:rsidRDefault="00000000">
      <w:pPr>
        <w:pStyle w:val="Normal41"/>
        <w:widowControl w:val="0"/>
        <w:spacing w:before="200" w:line="260" w:lineRule="atLeast"/>
        <w:jc w:val="both"/>
      </w:pPr>
      <w:bookmarkStart w:id="6307" w:name="Bookmark_para_15_31"/>
      <w:bookmarkEnd w:id="6307"/>
      <w:r>
        <w:rPr>
          <w:rFonts w:ascii="Arial" w:eastAsia="Arial" w:hAnsi="Arial" w:cs="Arial"/>
          <w:color w:val="000000"/>
          <w:sz w:val="20"/>
        </w:rPr>
        <w:t>During Updike's time at MCDC, he was not given access to an ASL interpreter, a computer, a TTY, video relay services, or pen and paper. He could not call a lawyer or his family members without a TTY device. He was not able to watch television because there was no video relay service and no closed captioning.</w:t>
      </w:r>
    </w:p>
    <w:p w:rsidR="00E456CD" w:rsidRDefault="00000000">
      <w:pPr>
        <w:pStyle w:val="Normal41"/>
        <w:widowControl w:val="0"/>
        <w:spacing w:before="200" w:line="260" w:lineRule="atLeast"/>
        <w:jc w:val="both"/>
      </w:pPr>
      <w:bookmarkStart w:id="6308" w:name="Bookmark_para_16_30"/>
      <w:bookmarkEnd w:id="6308"/>
      <w:r>
        <w:rPr>
          <w:rFonts w:ascii="Arial" w:eastAsia="Arial" w:hAnsi="Arial" w:cs="Arial"/>
          <w:color w:val="000000"/>
          <w:sz w:val="20"/>
        </w:rPr>
        <w:t>On the evening of January 14, 2013, Updike was transferred to Multnomah County Inverness Jail ("MCIJ"). At MCIJ, an officer gave Updike a toothbrush, toothpaste, a comb, some blank paper and a pen, and a copy of MCIJ's Inmate Manual. Updike wrote to the officer that his neck and back hurt, and he requested pain medication, but no medical provider examined Updike.</w:t>
      </w:r>
    </w:p>
    <w:p w:rsidR="00E456CD" w:rsidRDefault="00000000">
      <w:pPr>
        <w:pStyle w:val="Normal41"/>
        <w:widowControl w:val="0"/>
        <w:spacing w:before="200" w:line="260" w:lineRule="atLeast"/>
        <w:jc w:val="both"/>
      </w:pPr>
      <w:bookmarkStart w:id="6309" w:name="Bookmark_para_17_29"/>
      <w:bookmarkEnd w:id="6309"/>
      <w:r>
        <w:rPr>
          <w:rFonts w:ascii="Arial" w:eastAsia="Arial" w:hAnsi="Arial" w:cs="Arial"/>
          <w:color w:val="000000"/>
          <w:sz w:val="20"/>
        </w:rPr>
        <w:t>Updike remained at MCIJ from January 14 through January 16, 2013. He made many requests for a TTY so he could make phone calls, as he saw that other inmates were freely able to use telephones during their free time. He was denied these requests. Updike also wrote a note requesting that an officer turn on closed captioning, but that request was not honored. MCIJ uses [**10]  a loudspeaker system to address inmates, but Updike did not hear any of the announcements made while at MCIJ.</w:t>
      </w:r>
    </w:p>
    <w:p w:rsidR="00E456CD" w:rsidRDefault="00000000">
      <w:pPr>
        <w:pStyle w:val="Normal41"/>
        <w:widowControl w:val="0"/>
        <w:spacing w:before="200" w:line="260" w:lineRule="atLeast"/>
        <w:jc w:val="both"/>
      </w:pPr>
      <w:bookmarkStart w:id="6310" w:name="Bookmark_para_18_28"/>
      <w:bookmarkEnd w:id="6310"/>
      <w:r>
        <w:rPr>
          <w:rFonts w:ascii="Arial" w:eastAsia="Arial" w:hAnsi="Arial" w:cs="Arial"/>
          <w:color w:val="000000"/>
          <w:sz w:val="20"/>
        </w:rPr>
        <w:t>On January 15, 2013, Updike appeared at his arraignment by video. MCIJ arranges arraignment by video, and inmates are not transported to court. During the arraignment, Updike could see but not read Judge Kathleen Dailey's lips and noticed that an interpreter was not in the courtroom. Upon learning that Updike was deaf, Judge Dailey postponed Updike's arraignment to the following day when an ASL interpreter would be available. Updike was thus held for another night at MCIJ.</w:t>
      </w:r>
    </w:p>
    <w:p w:rsidR="00E456CD" w:rsidRDefault="00000000">
      <w:pPr>
        <w:pStyle w:val="Normal41"/>
        <w:widowControl w:val="0"/>
        <w:spacing w:before="200" w:line="260" w:lineRule="atLeast"/>
        <w:jc w:val="both"/>
      </w:pPr>
      <w:bookmarkStart w:id="6311" w:name="Bookmark_para_19_27"/>
      <w:bookmarkEnd w:id="6311"/>
      <w:r>
        <w:rPr>
          <w:rFonts w:ascii="Arial" w:eastAsia="Arial" w:hAnsi="Arial" w:cs="Arial"/>
          <w:color w:val="000000"/>
          <w:sz w:val="20"/>
        </w:rPr>
        <w:t>The County's Pretrial Release Office conducts pretrial release interviews, including an assessment of the language needs of an individual, such as whether an individual needs an ASL interpreter, or whether the individual requires some other accommodation for hearing loss. This information is transmitted to the staff of the Oregon Judicial Department ("OJD") prior to arraignment. Updike's pretrial release documents received by OJD employees noted that Updike required an ASL interpreter. If staff do not determine whether an interpreter is required, the issue is not addressed until the court appearance. Typically, [**11]  OJD staff prepare for arraignments by looking only at the booking register and  [*946]  not by reviewing the pretrial release report. But if a booking register notes a need for an accommodation, OJD staff would take appropriate action. At some time after Updike's arraignment, the County modified the format of the booking register so that the booking register notifies the court of a need for an accommodation. As a result of this change, OJD staff are now alerted that a person needs an ASL interpreter or a foreign language interpreter through the booking register.</w:t>
      </w:r>
    </w:p>
    <w:p w:rsidR="00E456CD" w:rsidRDefault="00000000">
      <w:pPr>
        <w:pStyle w:val="Normal41"/>
        <w:widowControl w:val="0"/>
        <w:spacing w:before="200" w:line="260" w:lineRule="atLeast"/>
        <w:jc w:val="both"/>
      </w:pPr>
      <w:bookmarkStart w:id="6312" w:name="Bookmark_para_20_26"/>
      <w:bookmarkEnd w:id="6312"/>
      <w:r>
        <w:rPr>
          <w:rFonts w:ascii="Arial" w:eastAsia="Arial" w:hAnsi="Arial" w:cs="Arial"/>
          <w:color w:val="000000"/>
          <w:sz w:val="20"/>
        </w:rPr>
        <w:t>On January 16, 2013, Updike again appeared in court by videoconference. An ASL interpreter was provided for Updike, and Updike was released that day. Updike again requested a corrections officer to supply him with a TTY so he could call for his daughter to pick him. He received a TTY for the first time, and left jail late that evening.</w:t>
      </w:r>
    </w:p>
    <w:p w:rsidR="00E456CD" w:rsidRDefault="00000000">
      <w:pPr>
        <w:pStyle w:val="Normal41"/>
        <w:widowControl w:val="0"/>
        <w:spacing w:before="200" w:line="260" w:lineRule="atLeast"/>
        <w:jc w:val="both"/>
      </w:pPr>
      <w:bookmarkStart w:id="6313" w:name="Bookmark_para_21_25"/>
      <w:bookmarkEnd w:id="6313"/>
      <w:r>
        <w:rPr>
          <w:rFonts w:ascii="Arial" w:eastAsia="Arial" w:hAnsi="Arial" w:cs="Arial"/>
          <w:color w:val="000000"/>
          <w:sz w:val="20"/>
        </w:rPr>
        <w:t>On January 17, 2013, Updike reported to pretrial supervision as ordered by Judge Dailey. Updike met with Michale Sacomano, a case manager for the Multnomah County Department of Community Justice's Pretrial Services Program. Sacomano conducted intake by written communication, despite the fact that Updike [**12]  did not agree to conduct intake by writing and had requested—by both signing and speaking—an ASL interpreter and signed requesting an ASL interpreter. Sacomano denied the request, and explained that Updike should write all of his requests.</w:t>
      </w:r>
      <w:r>
        <w:rPr>
          <w:rFonts w:ascii="Arial" w:eastAsia="Arial" w:hAnsi="Arial" w:cs="Arial"/>
          <w:vertAlign w:val="superscript"/>
        </w:rPr>
        <w:footnoteReference w:customMarkFollows="1" w:id="276"/>
        <w:t>3</w:t>
      </w:r>
      <w:r>
        <w:rPr>
          <w:rFonts w:ascii="Arial" w:eastAsia="Arial" w:hAnsi="Arial" w:cs="Arial"/>
          <w:color w:val="000000"/>
          <w:sz w:val="20"/>
        </w:rPr>
        <w:t xml:space="preserve"> Updike had a series of miscommunications with Sacomano, and felt that Sacomano believed Updike used his hearing impairment as an excuse to violate conditions of his pretrial release.</w:t>
      </w:r>
      <w:r>
        <w:rPr>
          <w:rFonts w:ascii="Arial" w:eastAsia="Arial" w:hAnsi="Arial" w:cs="Arial"/>
          <w:vertAlign w:val="superscript"/>
        </w:rPr>
        <w:footnoteReference w:customMarkFollows="1" w:id="277"/>
        <w:t>4</w:t>
      </w:r>
    </w:p>
    <w:p w:rsidR="00E456CD" w:rsidRDefault="00000000">
      <w:pPr>
        <w:pStyle w:val="Normal41"/>
        <w:widowControl w:val="0"/>
        <w:spacing w:before="200" w:line="260" w:lineRule="atLeast"/>
        <w:jc w:val="both"/>
      </w:pPr>
      <w:bookmarkStart w:id="6323" w:name="Bookmark_para_22_24"/>
      <w:bookmarkEnd w:id="6323"/>
      <w:r>
        <w:rPr>
          <w:rFonts w:ascii="Arial" w:eastAsia="Arial" w:hAnsi="Arial" w:cs="Arial"/>
          <w:color w:val="000000"/>
          <w:sz w:val="20"/>
        </w:rPr>
        <w:t>The trial on Updike's criminal charge was postponed until April 22, 2013. After the jury was impaneled, the district attorney moved for dismissal.</w:t>
      </w:r>
    </w:p>
    <w:p w:rsidR="00E456CD" w:rsidRDefault="00000000">
      <w:pPr>
        <w:pStyle w:val="Normal41"/>
        <w:widowControl w:val="0"/>
        <w:spacing w:before="240" w:line="260" w:lineRule="atLeast"/>
      </w:pPr>
      <w:r>
        <w:br/>
      </w:r>
      <w:r>
        <w:rPr>
          <w:rFonts w:ascii="Arial" w:eastAsia="Arial" w:hAnsi="Arial" w:cs="Arial"/>
          <w:b/>
          <w:color w:val="000000"/>
          <w:sz w:val="20"/>
        </w:rPr>
        <w:t>B</w:t>
      </w:r>
    </w:p>
    <w:p w:rsidR="00E456CD" w:rsidRDefault="00000000">
      <w:pPr>
        <w:pStyle w:val="Normal41"/>
        <w:widowControl w:val="0"/>
        <w:spacing w:before="200" w:line="260" w:lineRule="atLeast"/>
        <w:jc w:val="both"/>
      </w:pPr>
      <w:bookmarkStart w:id="6324" w:name="Bookmark_para_23_24"/>
      <w:bookmarkEnd w:id="6324"/>
      <w:r>
        <w:rPr>
          <w:rFonts w:ascii="Arial" w:eastAsia="Arial" w:hAnsi="Arial" w:cs="Arial"/>
          <w:color w:val="000000"/>
          <w:sz w:val="20"/>
        </w:rPr>
        <w:t>On September 13, 2013, Updike filed his complaint, alleging claims against the City of Gresham, Multnomah County, and the State of Oregon. In early 2014, the City of Gresham settled. On June 1, 2014, Updike filed his first amended complaint. Updike brought several claims: ADA discrimination claims against the State and the County, violations of § 504 of the Rehabilitation Act against the State and the County, common law negligence against the State and the County, and false arrest against the County. He sought compensatory damages, injunctive relief, and attorneys' fees and costs.</w:t>
      </w:r>
    </w:p>
    <w:p w:rsidR="00E456CD" w:rsidRDefault="00000000">
      <w:pPr>
        <w:pStyle w:val="Normal41"/>
        <w:widowControl w:val="0"/>
        <w:spacing w:before="200" w:line="260" w:lineRule="atLeast"/>
        <w:jc w:val="both"/>
      </w:pPr>
      <w:bookmarkStart w:id="6325" w:name="Bookmark_para_24_22"/>
      <w:bookmarkEnd w:id="6325"/>
      <w:r>
        <w:rPr>
          <w:rFonts w:ascii="Arial" w:eastAsia="Arial" w:hAnsi="Arial" w:cs="Arial"/>
          <w:color w:val="000000"/>
          <w:sz w:val="20"/>
        </w:rPr>
        <w:t>The State filed [**13]  its motion for summary judgment on April 23, 2014, which the district court granted on October 15, 2014.  [*947]  The County filed its motion for summary judgment on November 26, 2014, which the district court granted on March 24, 2015. The district entered final judgment on March 24, 2015.</w:t>
      </w:r>
    </w:p>
    <w:p w:rsidR="00E456CD" w:rsidRDefault="00000000">
      <w:pPr>
        <w:pStyle w:val="Normal41"/>
        <w:widowControl w:val="0"/>
        <w:spacing w:before="200" w:line="260" w:lineRule="atLeast"/>
        <w:jc w:val="both"/>
      </w:pPr>
      <w:bookmarkStart w:id="6326" w:name="Bookmark_para_25_22"/>
      <w:bookmarkEnd w:id="6326"/>
      <w:r>
        <w:rPr>
          <w:rFonts w:ascii="Arial" w:eastAsia="Arial" w:hAnsi="Arial" w:cs="Arial"/>
          <w:color w:val="000000"/>
          <w:sz w:val="20"/>
        </w:rPr>
        <w:t>Updike timely appealed. He does not challenge the grant of summary judgment on his negligence and false arrest claims.</w:t>
      </w:r>
    </w:p>
    <w:p w:rsidR="00E456CD" w:rsidRDefault="00000000">
      <w:pPr>
        <w:pStyle w:val="Normal41"/>
        <w:widowControl w:val="0"/>
        <w:spacing w:before="240" w:line="260" w:lineRule="atLeast"/>
      </w:pPr>
      <w:r>
        <w:br/>
      </w:r>
      <w:r>
        <w:rPr>
          <w:rFonts w:ascii="Arial" w:eastAsia="Arial" w:hAnsi="Arial" w:cs="Arial"/>
          <w:b/>
          <w:color w:val="000000"/>
          <w:sz w:val="20"/>
        </w:rPr>
        <w:t>II</w:t>
      </w:r>
    </w:p>
    <w:p w:rsidR="00E456CD" w:rsidRDefault="00000000">
      <w:pPr>
        <w:pStyle w:val="Normal41"/>
        <w:widowControl w:val="0"/>
        <w:spacing w:before="200" w:line="260" w:lineRule="atLeast"/>
        <w:jc w:val="both"/>
      </w:pPr>
      <w:bookmarkStart w:id="6327" w:name="Bookmark_para_26_20"/>
      <w:bookmarkStart w:id="6328" w:name="Bookmark_I5PJP99X28T3X80030000400"/>
      <w:bookmarkEnd w:id="6327"/>
      <w:bookmarkEnd w:id="6328"/>
      <w:r>
        <w:rPr>
          <w:rFonts w:ascii="Arial" w:eastAsia="Arial" w:hAnsi="Arial" w:cs="Arial"/>
          <w:color w:val="000000"/>
          <w:sz w:val="20"/>
        </w:rPr>
        <w:t xml:space="preserve">We have jurisdiction under 28 U.S.C. § 1291. </w:t>
      </w:r>
      <w:bookmarkStart w:id="6329" w:name="Bookmark_I5PJP99X28T3X80050000400"/>
      <w:bookmarkStart w:id="6330" w:name="Bookmark_LNHNREFclscc2_33"/>
      <w:bookmarkEnd w:id="6329"/>
      <w:bookmarkEnd w:id="6330"/>
      <w:r>
        <w:rPr>
          <w:rFonts w:ascii="Arial" w:eastAsia="Arial" w:hAnsi="Arial" w:cs="Arial"/>
          <w:color w:val="000000"/>
          <w:sz w:val="20"/>
        </w:rPr>
        <w:t xml:space="preserve">We review de novo a district court's grant of summary judgment. </w:t>
      </w:r>
      <w:bookmarkStart w:id="6331" w:name="Bookmark_I5PJP99X2N1R920020000400"/>
      <w:bookmarkStart w:id="6332" w:name="Bookmark_I5PJP99X28T3X80020000400"/>
      <w:bookmarkEnd w:id="6331"/>
      <w:bookmarkEnd w:id="6332"/>
      <w:r>
        <w:rPr>
          <w:rFonts w:ascii="Arial" w:eastAsia="Arial" w:hAnsi="Arial" w:cs="Arial"/>
          <w:i/>
          <w:color w:val="000000"/>
          <w:sz w:val="20"/>
        </w:rPr>
        <w:t>Gonzales v. CarMax Auto Superstores, LLC</w:t>
      </w:r>
      <w:r>
        <w:rPr>
          <w:rFonts w:ascii="Arial" w:eastAsia="Arial" w:hAnsi="Arial" w:cs="Arial"/>
          <w:color w:val="000000"/>
          <w:sz w:val="20"/>
        </w:rPr>
        <w:t xml:space="preserve">, 840 F.3d 644, 648 (9th Cir. 2016). </w:t>
      </w:r>
      <w:bookmarkStart w:id="6333" w:name="Bookmark_I5PJP99X2N1R920020000400_2"/>
      <w:bookmarkStart w:id="6334" w:name="Bookmark_I5PJP99X28T3X80050000400_2"/>
      <w:bookmarkEnd w:id="6333"/>
      <w:bookmarkEnd w:id="6334"/>
      <w:r>
        <w:rPr>
          <w:rFonts w:ascii="Arial" w:eastAsia="Arial" w:hAnsi="Arial" w:cs="Arial"/>
          <w:color w:val="000000"/>
          <w:sz w:val="20"/>
        </w:rPr>
        <w:t xml:space="preserve">On review, we determine—viewing the evidence in the light most favorable to Updike, the nonmoving party—whether there are any genuine issues of material fact and whether the district court correctly applied the relevant substantive law. </w:t>
      </w:r>
      <w:bookmarkStart w:id="6335" w:name="Bookmark_I5PJP99X28T3X80040000400"/>
      <w:bookmarkEnd w:id="6335"/>
      <w:r>
        <w:rPr>
          <w:rFonts w:ascii="Arial" w:eastAsia="Arial" w:hAnsi="Arial" w:cs="Arial"/>
          <w:i/>
          <w:color w:val="000000"/>
          <w:sz w:val="20"/>
        </w:rPr>
        <w:t>Olsen v. Idaho State Bd. of Med.</w:t>
      </w:r>
      <w:r>
        <w:rPr>
          <w:rFonts w:ascii="Arial" w:eastAsia="Arial" w:hAnsi="Arial" w:cs="Arial"/>
          <w:color w:val="000000"/>
          <w:sz w:val="20"/>
        </w:rPr>
        <w:t xml:space="preserve">, 363 F.3d 916, 922 (9th Cir. 2004); </w:t>
      </w:r>
      <w:r>
        <w:rPr>
          <w:rFonts w:ascii="Arial" w:eastAsia="Arial" w:hAnsi="Arial" w:cs="Arial"/>
          <w:i/>
          <w:color w:val="000000"/>
          <w:sz w:val="20"/>
        </w:rPr>
        <w:t>see</w:t>
      </w:r>
      <w:r>
        <w:rPr>
          <w:rFonts w:ascii="Arial" w:eastAsia="Arial" w:hAnsi="Arial" w:cs="Arial"/>
          <w:color w:val="000000"/>
          <w:sz w:val="20"/>
        </w:rPr>
        <w:t xml:space="preserve"> Fed. R. Civ. P. 56. </w:t>
      </w:r>
      <w:bookmarkStart w:id="6336" w:name="Bookmark_I5PJP99X2N1R930010000400"/>
      <w:bookmarkStart w:id="6337" w:name="Bookmark_LNHNREFclscc3_31"/>
      <w:bookmarkEnd w:id="6336"/>
      <w:bookmarkEnd w:id="6337"/>
      <w:r>
        <w:rPr>
          <w:rFonts w:ascii="Arial" w:eastAsia="Arial" w:hAnsi="Arial" w:cs="Arial"/>
          <w:color w:val="000000"/>
          <w:sz w:val="20"/>
        </w:rPr>
        <w:t xml:space="preserve">"Summary judgment is improper if 'there are any genuine factual issues that properly can be resolved only by a finder of fact because they may reasonably be resolved in favor of either party.'" </w:t>
      </w:r>
      <w:bookmarkStart w:id="6338" w:name="Bookmark_I5PJP99X2N1R920010000400"/>
      <w:bookmarkEnd w:id="6338"/>
      <w:r>
        <w:rPr>
          <w:rFonts w:ascii="Arial" w:eastAsia="Arial" w:hAnsi="Arial" w:cs="Arial"/>
          <w:i/>
          <w:color w:val="000000"/>
          <w:sz w:val="20"/>
        </w:rPr>
        <w:t>Simo v. Union of Needletrades, Indus. &amp; Textile Emps.</w:t>
      </w:r>
      <w:r>
        <w:rPr>
          <w:rFonts w:ascii="Arial" w:eastAsia="Arial" w:hAnsi="Arial" w:cs="Arial"/>
          <w:color w:val="000000"/>
          <w:sz w:val="20"/>
        </w:rPr>
        <w:t xml:space="preserve">, 322 F.3d 602, 610 (9th Cir. 2003) (quoting </w:t>
      </w:r>
      <w:bookmarkStart w:id="6339" w:name="Bookmark_I5PJP99X2N1R920030000400"/>
      <w:bookmarkEnd w:id="6339"/>
      <w:r>
        <w:rPr>
          <w:rFonts w:ascii="Arial" w:eastAsia="Arial" w:hAnsi="Arial" w:cs="Arial"/>
          <w:i/>
          <w:color w:val="000000"/>
          <w:sz w:val="20"/>
        </w:rPr>
        <w:t>Anderson v. Liberty Lobby, Inc.</w:t>
      </w:r>
      <w:r>
        <w:rPr>
          <w:rFonts w:ascii="Arial" w:eastAsia="Arial" w:hAnsi="Arial" w:cs="Arial"/>
          <w:color w:val="000000"/>
          <w:sz w:val="20"/>
        </w:rPr>
        <w:t xml:space="preserve">, 477 U.S. 242, 250, 106 S. Ct. 2505, 91 L. Ed. 2d 202 (1986)). </w:t>
      </w:r>
      <w:bookmarkStart w:id="6340" w:name="Bookmark_I5PJP99X2N1R930010000400_2"/>
      <w:bookmarkStart w:id="6341" w:name="Bookmark_LNHNREFclscc4_30"/>
      <w:bookmarkEnd w:id="6340"/>
      <w:bookmarkEnd w:id="6341"/>
      <w:r>
        <w:rPr>
          <w:rFonts w:ascii="Arial" w:eastAsia="Arial" w:hAnsi="Arial" w:cs="Arial"/>
          <w:color w:val="000000"/>
          <w:sz w:val="20"/>
        </w:rPr>
        <w:t xml:space="preserve">We review de novo the district court's decision regarding standing. </w:t>
      </w:r>
      <w:bookmarkStart w:id="6342" w:name="Bookmark_I5PJP99X2N1R920050000400"/>
      <w:bookmarkEnd w:id="6342"/>
      <w:r>
        <w:rPr>
          <w:rFonts w:ascii="Arial" w:eastAsia="Arial" w:hAnsi="Arial" w:cs="Arial"/>
          <w:i/>
          <w:color w:val="000000"/>
          <w:sz w:val="20"/>
        </w:rPr>
        <w:t>Fair Hous. of Marin v. Combs</w:t>
      </w:r>
      <w:r>
        <w:rPr>
          <w:rFonts w:ascii="Arial" w:eastAsia="Arial" w:hAnsi="Arial" w:cs="Arial"/>
          <w:color w:val="000000"/>
          <w:sz w:val="20"/>
        </w:rPr>
        <w:t>, 285 F.3d 899, 902 (9th Cir. 2002).</w:t>
      </w:r>
    </w:p>
    <w:p w:rsidR="00E456CD" w:rsidRDefault="00000000">
      <w:pPr>
        <w:pStyle w:val="Normal41"/>
        <w:widowControl w:val="0"/>
        <w:spacing w:before="240" w:line="260" w:lineRule="atLeast"/>
      </w:pPr>
      <w:r>
        <w:br/>
      </w:r>
      <w:r>
        <w:rPr>
          <w:rFonts w:ascii="Arial" w:eastAsia="Arial" w:hAnsi="Arial" w:cs="Arial"/>
          <w:b/>
          <w:color w:val="000000"/>
          <w:sz w:val="20"/>
        </w:rPr>
        <w:t>III</w:t>
      </w:r>
    </w:p>
    <w:p w:rsidR="00E456CD" w:rsidRDefault="00000000">
      <w:pPr>
        <w:pStyle w:val="Normal41"/>
        <w:widowControl w:val="0"/>
        <w:spacing w:before="200" w:line="260" w:lineRule="atLeast"/>
        <w:jc w:val="both"/>
      </w:pPr>
      <w:bookmarkStart w:id="6343" w:name="Bookmark_para_27_20"/>
      <w:bookmarkStart w:id="6344" w:name="Bookmark_I4GSWX1NHXY0010DC99000SR"/>
      <w:bookmarkStart w:id="6345" w:name="Bookmark_I5PJP99X2N1R930030000400"/>
      <w:bookmarkStart w:id="6346" w:name="Bookmark_LNHNREFclscc5_29"/>
      <w:bookmarkEnd w:id="6343"/>
      <w:bookmarkEnd w:id="6344"/>
      <w:bookmarkEnd w:id="6345"/>
      <w:bookmarkEnd w:id="6346"/>
      <w:r>
        <w:rPr>
          <w:rFonts w:ascii="Arial" w:eastAsia="Arial" w:hAnsi="Arial" w:cs="Arial"/>
          <w:color w:val="000000"/>
          <w:sz w:val="20"/>
        </w:rPr>
        <w:t xml:space="preserve">Article III of the Constitution limits federal courts to hearing only cases and controversies. </w:t>
      </w:r>
      <w:bookmarkStart w:id="6347" w:name="Bookmark_I4GSWX1NR1T0010DC99002BD"/>
      <w:bookmarkStart w:id="6348" w:name="Bookmark_I5PJP99X2N1R930050000400"/>
      <w:bookmarkEnd w:id="6347"/>
      <w:bookmarkEnd w:id="6348"/>
      <w:r>
        <w:rPr>
          <w:rFonts w:ascii="Arial" w:eastAsia="Arial" w:hAnsi="Arial" w:cs="Arial"/>
          <w:color w:val="000000"/>
          <w:sz w:val="20"/>
        </w:rPr>
        <w:t xml:space="preserve">To establish standing to sue, a plaintiff must show: (1) an injury that is concrete and particularized and actual or [**14]  imminent; (2) a causal connection between the injury and defendant's challenged action; and (3) redressability. </w:t>
      </w:r>
      <w:bookmarkStart w:id="6349" w:name="Bookmark_I5PJP99X2N1R930020000400"/>
      <w:bookmarkEnd w:id="6349"/>
      <w:r>
        <w:rPr>
          <w:rFonts w:ascii="Arial" w:eastAsia="Arial" w:hAnsi="Arial" w:cs="Arial"/>
          <w:i/>
          <w:color w:val="000000"/>
          <w:sz w:val="20"/>
        </w:rPr>
        <w:t>Lujan v. Defs. of Wildlife</w:t>
      </w:r>
      <w:r>
        <w:rPr>
          <w:rFonts w:ascii="Arial" w:eastAsia="Arial" w:hAnsi="Arial" w:cs="Arial"/>
          <w:color w:val="000000"/>
          <w:sz w:val="20"/>
        </w:rPr>
        <w:t xml:space="preserve">, 504 U.S. 555, 560-61, 112 S. Ct. 2130, 119 L. Ed. 2d 351 (1992). </w:t>
      </w:r>
      <w:bookmarkStart w:id="6350" w:name="Bookmark_I5PJP99X2N1R930050000400_2"/>
      <w:bookmarkEnd w:id="6350"/>
      <w:r>
        <w:rPr>
          <w:rFonts w:ascii="Arial" w:eastAsia="Arial" w:hAnsi="Arial" w:cs="Arial"/>
          <w:color w:val="000000"/>
          <w:sz w:val="20"/>
        </w:rPr>
        <w:t xml:space="preserve">Apart from this, standing for injunctive relief requires that a plaintiff show a "real and immediate threat of repeated injury." </w:t>
      </w:r>
      <w:bookmarkStart w:id="6351" w:name="Bookmark_I5PJP99X2N1R930040000400"/>
      <w:bookmarkEnd w:id="6351"/>
      <w:r>
        <w:rPr>
          <w:rFonts w:ascii="Arial" w:eastAsia="Arial" w:hAnsi="Arial" w:cs="Arial"/>
          <w:i/>
          <w:color w:val="000000"/>
          <w:sz w:val="20"/>
        </w:rPr>
        <w:t>O'Shea v. Littleton</w:t>
      </w:r>
      <w:r>
        <w:rPr>
          <w:rFonts w:ascii="Arial" w:eastAsia="Arial" w:hAnsi="Arial" w:cs="Arial"/>
          <w:color w:val="000000"/>
          <w:sz w:val="20"/>
        </w:rPr>
        <w:t xml:space="preserve">, 414 U.S. 488, 496, 94 S. Ct. 669, 38 L. Ed. 2d 674 (1974); </w:t>
      </w:r>
      <w:r>
        <w:rPr>
          <w:rFonts w:ascii="Arial" w:eastAsia="Arial" w:hAnsi="Arial" w:cs="Arial"/>
          <w:i/>
          <w:color w:val="000000"/>
          <w:sz w:val="20"/>
        </w:rPr>
        <w:t xml:space="preserve">see also </w:t>
      </w:r>
      <w:bookmarkStart w:id="6352" w:name="Bookmark_I5PJP99Y2SF7JY0010000400"/>
      <w:bookmarkEnd w:id="6352"/>
      <w:r>
        <w:rPr>
          <w:rFonts w:ascii="Arial" w:eastAsia="Arial" w:hAnsi="Arial" w:cs="Arial"/>
          <w:i/>
          <w:color w:val="000000"/>
          <w:sz w:val="20"/>
        </w:rPr>
        <w:t>City of Los Angeles v. Lyons</w:t>
      </w:r>
      <w:r>
        <w:rPr>
          <w:rFonts w:ascii="Arial" w:eastAsia="Arial" w:hAnsi="Arial" w:cs="Arial"/>
          <w:color w:val="000000"/>
          <w:sz w:val="20"/>
        </w:rPr>
        <w:t>, 461 U.S. 95, 107-08, 103 S. Ct. 1660, 75 L. Ed. 2d 675 (1983).</w:t>
      </w:r>
    </w:p>
    <w:p w:rsidR="00E456CD" w:rsidRDefault="00000000">
      <w:pPr>
        <w:pStyle w:val="Normal41"/>
        <w:widowControl w:val="0"/>
        <w:spacing w:before="200" w:line="260" w:lineRule="atLeast"/>
        <w:jc w:val="both"/>
      </w:pPr>
      <w:bookmarkStart w:id="6353" w:name="Bookmark_para_28_20"/>
      <w:bookmarkEnd w:id="6353"/>
      <w:r>
        <w:rPr>
          <w:rFonts w:ascii="Arial" w:eastAsia="Arial" w:hAnsi="Arial" w:cs="Arial"/>
          <w:color w:val="000000"/>
          <w:sz w:val="20"/>
        </w:rPr>
        <w:t>The parties do not dispute that Updike satisfies the general standing requirements of Article III,</w:t>
      </w:r>
      <w:r>
        <w:rPr>
          <w:rFonts w:ascii="Arial" w:eastAsia="Arial" w:hAnsi="Arial" w:cs="Arial"/>
          <w:vertAlign w:val="superscript"/>
        </w:rPr>
        <w:footnoteReference w:customMarkFollows="1" w:id="278"/>
        <w:t>5</w:t>
      </w:r>
      <w:r>
        <w:rPr>
          <w:rFonts w:ascii="Arial" w:eastAsia="Arial" w:hAnsi="Arial" w:cs="Arial"/>
          <w:color w:val="000000"/>
          <w:sz w:val="20"/>
        </w:rPr>
        <w:t xml:space="preserve"> but instead dispute whether Updike has shown a real and immediate threat that the injury will be repeated—which is necessary for standing to seek injunctive relief.</w:t>
      </w:r>
    </w:p>
    <w:p w:rsidR="00E456CD" w:rsidRDefault="00000000">
      <w:pPr>
        <w:pStyle w:val="Normal41"/>
        <w:widowControl w:val="0"/>
        <w:spacing w:before="240" w:line="260" w:lineRule="atLeast"/>
      </w:pPr>
      <w:r>
        <w:br/>
      </w:r>
      <w:r>
        <w:rPr>
          <w:rFonts w:ascii="Arial" w:eastAsia="Arial" w:hAnsi="Arial" w:cs="Arial"/>
          <w:b/>
          <w:color w:val="000000"/>
          <w:sz w:val="20"/>
        </w:rPr>
        <w:t>A</w:t>
      </w:r>
    </w:p>
    <w:p w:rsidR="00E456CD" w:rsidRDefault="00000000">
      <w:pPr>
        <w:pStyle w:val="Normal41"/>
        <w:widowControl w:val="0"/>
        <w:spacing w:before="200" w:line="260" w:lineRule="atLeast"/>
        <w:jc w:val="both"/>
      </w:pPr>
      <w:bookmarkStart w:id="6357" w:name="Bookmark_para_29_19"/>
      <w:bookmarkStart w:id="6358" w:name="Bookmark_I5PJP99Y2HM6MW0010000400"/>
      <w:bookmarkEnd w:id="6357"/>
      <w:bookmarkEnd w:id="6358"/>
      <w:r>
        <w:rPr>
          <w:rFonts w:ascii="Arial" w:eastAsia="Arial" w:hAnsi="Arial" w:cs="Arial"/>
          <w:color w:val="000000"/>
          <w:sz w:val="20"/>
        </w:rPr>
        <w:t xml:space="preserve">Updike offers no evidence of a "real or immediate threat" that he would be "wronged again" by way of the State's failure to provide an ASL interpreter at future court appearances. </w:t>
      </w:r>
      <w:bookmarkStart w:id="6359" w:name="Bookmark_I5PJP99Y2SF7JY0050000400"/>
      <w:bookmarkEnd w:id="6359"/>
      <w:r>
        <w:rPr>
          <w:rFonts w:ascii="Arial" w:eastAsia="Arial" w:hAnsi="Arial" w:cs="Arial"/>
          <w:i/>
          <w:color w:val="000000"/>
          <w:sz w:val="20"/>
        </w:rPr>
        <w:t>Lyons</w:t>
      </w:r>
      <w:r>
        <w:rPr>
          <w:rFonts w:ascii="Arial" w:eastAsia="Arial" w:hAnsi="Arial" w:cs="Arial"/>
          <w:color w:val="000000"/>
          <w:sz w:val="20"/>
        </w:rPr>
        <w:t>, 461 U.S. at 111. Evidence in the record further indicates that this wrongful conduct will likely not occur again, given that information about necessary accommodations are now noted in the booking registers—the documents relied upon by OJD to set hearing dates—rather than the pretrial release reports.</w:t>
      </w:r>
    </w:p>
    <w:p w:rsidR="00E456CD" w:rsidRDefault="00000000">
      <w:pPr>
        <w:pStyle w:val="Normal41"/>
        <w:widowControl w:val="0"/>
        <w:spacing w:before="200" w:line="260" w:lineRule="atLeast"/>
        <w:jc w:val="both"/>
      </w:pPr>
      <w:bookmarkStart w:id="6360" w:name="Bookmark_para_30_19"/>
      <w:bookmarkEnd w:id="6360"/>
      <w:r>
        <w:rPr>
          <w:rFonts w:ascii="Arial" w:eastAsia="Arial" w:hAnsi="Arial" w:cs="Arial"/>
          <w:color w:val="000000"/>
          <w:sz w:val="20"/>
        </w:rPr>
        <w:t xml:space="preserve"> [*948]  Updike has not met his burden of showing that the State's allegedly wrongful behavior will likely recur. </w:t>
      </w:r>
      <w:bookmarkStart w:id="6361" w:name="Bookmark_I5PJP99Y2HM6MW0030000400"/>
      <w:bookmarkEnd w:id="6361"/>
      <w:r>
        <w:rPr>
          <w:rFonts w:ascii="Arial" w:eastAsia="Arial" w:hAnsi="Arial" w:cs="Arial"/>
          <w:color w:val="000000"/>
          <w:sz w:val="20"/>
        </w:rPr>
        <w:t xml:space="preserve">Moreover, Updike's evidence is insufficient to establish that any such wrongful behavior is likely to recur [**15]  against him, </w:t>
      </w:r>
      <w:r>
        <w:rPr>
          <w:rFonts w:ascii="Arial" w:eastAsia="Arial" w:hAnsi="Arial" w:cs="Arial"/>
          <w:i/>
          <w:color w:val="000000"/>
          <w:sz w:val="20"/>
        </w:rPr>
        <w:t>i.e.</w:t>
      </w:r>
      <w:r>
        <w:rPr>
          <w:rFonts w:ascii="Arial" w:eastAsia="Arial" w:hAnsi="Arial" w:cs="Arial"/>
          <w:color w:val="000000"/>
          <w:sz w:val="20"/>
        </w:rPr>
        <w:t xml:space="preserve">, that he is likely again to be a pretrial detainee. Updike lacks standing to pursue his claims for injunctive relief against the State because it is no more than speculation and conjecture that the State will not provide an ASL interpreter and auxiliary aids if Updike makes an appearance as a pretrial detainee again. </w:t>
      </w:r>
      <w:r>
        <w:rPr>
          <w:rFonts w:ascii="Arial" w:eastAsia="Arial" w:hAnsi="Arial" w:cs="Arial"/>
          <w:i/>
          <w:color w:val="000000"/>
          <w:sz w:val="20"/>
        </w:rPr>
        <w:t xml:space="preserve">See </w:t>
      </w:r>
      <w:bookmarkStart w:id="6362" w:name="Bookmark_I5PJP99Y2HM6MW0020000400"/>
      <w:bookmarkEnd w:id="6362"/>
      <w:r>
        <w:rPr>
          <w:rFonts w:ascii="Arial" w:eastAsia="Arial" w:hAnsi="Arial" w:cs="Arial"/>
          <w:i/>
          <w:color w:val="000000"/>
          <w:sz w:val="20"/>
        </w:rPr>
        <w:t>id.</w:t>
      </w:r>
      <w:r>
        <w:rPr>
          <w:rFonts w:ascii="Arial" w:eastAsia="Arial" w:hAnsi="Arial" w:cs="Arial"/>
          <w:color w:val="000000"/>
          <w:sz w:val="20"/>
        </w:rPr>
        <w:t xml:space="preserve"> at 103, 107-08.</w:t>
      </w:r>
    </w:p>
    <w:p w:rsidR="00E456CD" w:rsidRDefault="00000000">
      <w:pPr>
        <w:pStyle w:val="Normal41"/>
        <w:widowControl w:val="0"/>
        <w:spacing w:before="240" w:line="260" w:lineRule="atLeast"/>
      </w:pPr>
      <w:r>
        <w:br/>
      </w:r>
      <w:r>
        <w:rPr>
          <w:rFonts w:ascii="Arial" w:eastAsia="Arial" w:hAnsi="Arial" w:cs="Arial"/>
          <w:b/>
          <w:color w:val="000000"/>
          <w:sz w:val="20"/>
        </w:rPr>
        <w:t>B</w:t>
      </w:r>
    </w:p>
    <w:p w:rsidR="00E456CD" w:rsidRDefault="00000000">
      <w:pPr>
        <w:pStyle w:val="Normal41"/>
        <w:widowControl w:val="0"/>
        <w:spacing w:before="200" w:line="260" w:lineRule="atLeast"/>
        <w:jc w:val="both"/>
      </w:pPr>
      <w:bookmarkStart w:id="6363" w:name="Bookmark_para_31_19"/>
      <w:bookmarkEnd w:id="6363"/>
      <w:r>
        <w:rPr>
          <w:rFonts w:ascii="Arial" w:eastAsia="Arial" w:hAnsi="Arial" w:cs="Arial"/>
          <w:color w:val="000000"/>
          <w:sz w:val="20"/>
        </w:rPr>
        <w:t>Although certain facts slightly alter our calculus in considering the threat of future harm from the County, we also hold that the possibility of recurring injury remains speculative such that Updike also lacks standing to pursue injunctive relief against the County.</w:t>
      </w:r>
    </w:p>
    <w:p w:rsidR="00E456CD" w:rsidRDefault="00000000">
      <w:pPr>
        <w:pStyle w:val="Normal41"/>
        <w:widowControl w:val="0"/>
        <w:spacing w:before="200" w:line="260" w:lineRule="atLeast"/>
        <w:jc w:val="both"/>
      </w:pPr>
      <w:bookmarkStart w:id="6364" w:name="Bookmark_para_32_19"/>
      <w:bookmarkEnd w:id="6364"/>
      <w:r>
        <w:rPr>
          <w:rFonts w:ascii="Arial" w:eastAsia="Arial" w:hAnsi="Arial" w:cs="Arial"/>
          <w:color w:val="000000"/>
          <w:sz w:val="20"/>
        </w:rPr>
        <w:t xml:space="preserve">Updike has been booked at MCDC on five previous occasions, and avers that he had been held overnight in a Multnomah County detention facility before and was then denied an ASL interpreter and a TTY although he requested auxiliary aids and services. Record evidence also shows that a County officer had communicated with other deaf people in custody by writing notes, and that another County officer admitted to now knowing </w:t>
      </w:r>
      <w:r>
        <w:rPr>
          <w:rFonts w:ascii="Arial" w:eastAsia="Arial" w:hAnsi="Arial" w:cs="Arial"/>
          <w:i/>
          <w:color w:val="000000"/>
          <w:sz w:val="20"/>
        </w:rPr>
        <w:t>how</w:t>
      </w:r>
      <w:r>
        <w:rPr>
          <w:rFonts w:ascii="Arial" w:eastAsia="Arial" w:hAnsi="Arial" w:cs="Arial"/>
          <w:color w:val="000000"/>
          <w:sz w:val="20"/>
        </w:rPr>
        <w:t xml:space="preserve"> to get an ASL interpreter if he had difficulties communicating with a deaf inmate.</w:t>
      </w:r>
    </w:p>
    <w:p w:rsidR="00E456CD" w:rsidRDefault="00000000">
      <w:pPr>
        <w:pStyle w:val="Normal41"/>
        <w:widowControl w:val="0"/>
        <w:spacing w:before="200" w:line="260" w:lineRule="atLeast"/>
        <w:jc w:val="both"/>
      </w:pPr>
      <w:bookmarkStart w:id="6365" w:name="Bookmark_para_33_18"/>
      <w:bookmarkStart w:id="6366" w:name="Bookmark_I4GSWX1NYDC0010DC99000SS"/>
      <w:bookmarkStart w:id="6367" w:name="Bookmark_I5PJP99Y2HM6MW0050000400"/>
      <w:bookmarkStart w:id="6368" w:name="Bookmark_LNHNREFclscc6_26"/>
      <w:bookmarkEnd w:id="6365"/>
      <w:bookmarkEnd w:id="6366"/>
      <w:bookmarkEnd w:id="6367"/>
      <w:bookmarkEnd w:id="6368"/>
      <w:r>
        <w:rPr>
          <w:rFonts w:ascii="Arial" w:eastAsia="Arial" w:hAnsi="Arial" w:cs="Arial"/>
          <w:color w:val="000000"/>
          <w:sz w:val="20"/>
        </w:rPr>
        <w:t xml:space="preserve">Although "past wrongs are evidence bearing on whether there is a real and immediate [**16]  threat of repeated injury," </w:t>
      </w:r>
      <w:bookmarkStart w:id="6369" w:name="Bookmark_I5PJP99Y2HM6MW0040000400"/>
      <w:bookmarkEnd w:id="6369"/>
      <w:r>
        <w:rPr>
          <w:rFonts w:ascii="Arial" w:eastAsia="Arial" w:hAnsi="Arial" w:cs="Arial"/>
          <w:i/>
          <w:color w:val="000000"/>
          <w:sz w:val="20"/>
        </w:rPr>
        <w:t>O'Shea</w:t>
      </w:r>
      <w:r>
        <w:rPr>
          <w:rFonts w:ascii="Arial" w:eastAsia="Arial" w:hAnsi="Arial" w:cs="Arial"/>
          <w:color w:val="000000"/>
          <w:sz w:val="20"/>
        </w:rPr>
        <w:t xml:space="preserve">, 414 U.S. at 496, "past wrongs do not in themselves amount to [a] real and immediate threat of injury necessary to make out a case or controversy," </w:t>
      </w:r>
      <w:bookmarkStart w:id="6370" w:name="Bookmark_I5PJP99Y2D6NY70010000400"/>
      <w:bookmarkEnd w:id="6370"/>
      <w:r>
        <w:rPr>
          <w:rFonts w:ascii="Arial" w:eastAsia="Arial" w:hAnsi="Arial" w:cs="Arial"/>
          <w:i/>
          <w:color w:val="000000"/>
          <w:sz w:val="20"/>
        </w:rPr>
        <w:t>Lyons</w:t>
      </w:r>
      <w:r>
        <w:rPr>
          <w:rFonts w:ascii="Arial" w:eastAsia="Arial" w:hAnsi="Arial" w:cs="Arial"/>
          <w:color w:val="000000"/>
          <w:sz w:val="20"/>
        </w:rPr>
        <w:t xml:space="preserve">, 461 U.S. at 103. </w:t>
      </w:r>
      <w:bookmarkStart w:id="6371" w:name="Bookmark_I4GSWX1P37H0010DC99002BH"/>
      <w:bookmarkStart w:id="6372" w:name="Bookmark_I5PJP99Y2D6NY70040000400"/>
      <w:bookmarkEnd w:id="6371"/>
      <w:bookmarkEnd w:id="6372"/>
      <w:r>
        <w:rPr>
          <w:rFonts w:ascii="Arial" w:eastAsia="Arial" w:hAnsi="Arial" w:cs="Arial"/>
          <w:color w:val="000000"/>
          <w:sz w:val="20"/>
        </w:rPr>
        <w:t xml:space="preserve">Updike's past injury is insufficient to establish that the risk of recurring injury is more than speculative. He has not identified specific County policies and practices that would subject Updike to a realistic possibility that the County would subject him to the injurious acts again in the future. </w:t>
      </w:r>
      <w:bookmarkStart w:id="6373" w:name="Bookmark_I5PJP99Y2D6NY70040000400_2"/>
      <w:bookmarkStart w:id="6374" w:name="Bookmark_I5PJP99Y2D6NY90050000400"/>
      <w:bookmarkEnd w:id="6373"/>
      <w:bookmarkEnd w:id="6374"/>
      <w:r>
        <w:rPr>
          <w:rFonts w:ascii="Arial" w:eastAsia="Arial" w:hAnsi="Arial" w:cs="Arial"/>
          <w:i/>
          <w:color w:val="000000"/>
          <w:sz w:val="20"/>
        </w:rPr>
        <w:t xml:space="preserve">Compare </w:t>
      </w:r>
      <w:bookmarkStart w:id="6375" w:name="Bookmark_I5PJP99Y2D6NY70030000400"/>
      <w:bookmarkEnd w:id="6375"/>
      <w:r>
        <w:rPr>
          <w:rFonts w:ascii="Arial" w:eastAsia="Arial" w:hAnsi="Arial" w:cs="Arial"/>
          <w:i/>
          <w:color w:val="000000"/>
          <w:sz w:val="20"/>
        </w:rPr>
        <w:t>id.</w:t>
      </w:r>
      <w:r>
        <w:rPr>
          <w:rFonts w:ascii="Arial" w:eastAsia="Arial" w:hAnsi="Arial" w:cs="Arial"/>
          <w:color w:val="000000"/>
          <w:sz w:val="20"/>
        </w:rPr>
        <w:t xml:space="preserve"> at 108-110 (holding that the plaintiff did not have standing because it was no more than conjecture that he would be subject to another unconstitutional chokehold in the future), </w:t>
      </w:r>
      <w:r>
        <w:rPr>
          <w:rFonts w:ascii="Arial" w:eastAsia="Arial" w:hAnsi="Arial" w:cs="Arial"/>
          <w:i/>
          <w:color w:val="000000"/>
          <w:sz w:val="20"/>
        </w:rPr>
        <w:t xml:space="preserve">with </w:t>
      </w:r>
      <w:bookmarkStart w:id="6376" w:name="Bookmark_I5PJP99Y2D6NY70050000400"/>
      <w:bookmarkEnd w:id="6376"/>
      <w:r>
        <w:rPr>
          <w:rFonts w:ascii="Arial" w:eastAsia="Arial" w:hAnsi="Arial" w:cs="Arial"/>
          <w:i/>
          <w:color w:val="000000"/>
          <w:sz w:val="20"/>
        </w:rPr>
        <w:t>Armstrong v. Davis</w:t>
      </w:r>
      <w:r>
        <w:rPr>
          <w:rFonts w:ascii="Arial" w:eastAsia="Arial" w:hAnsi="Arial" w:cs="Arial"/>
          <w:color w:val="000000"/>
          <w:sz w:val="20"/>
        </w:rPr>
        <w:t xml:space="preserve">, 275 F.3d 849, 864 (9th Cir. 2001) (explaining that the California Board of Prison Term's consistent practice of denying appropriate accommodations warranted holding that the plaintiff class established standing), </w:t>
      </w:r>
      <w:r>
        <w:rPr>
          <w:rFonts w:ascii="Arial" w:eastAsia="Arial" w:hAnsi="Arial" w:cs="Arial"/>
          <w:i/>
          <w:color w:val="000000"/>
          <w:sz w:val="20"/>
        </w:rPr>
        <w:t xml:space="preserve">abrogated on other grounds by </w:t>
      </w:r>
      <w:bookmarkStart w:id="6377" w:name="Bookmark_I5PJP99Y2D6NY90020000400"/>
      <w:bookmarkEnd w:id="6377"/>
      <w:r>
        <w:rPr>
          <w:rFonts w:ascii="Arial" w:eastAsia="Arial" w:hAnsi="Arial" w:cs="Arial"/>
          <w:i/>
          <w:color w:val="000000"/>
          <w:sz w:val="20"/>
        </w:rPr>
        <w:t>Johnson v. California</w:t>
      </w:r>
      <w:r>
        <w:rPr>
          <w:rFonts w:ascii="Arial" w:eastAsia="Arial" w:hAnsi="Arial" w:cs="Arial"/>
          <w:color w:val="000000"/>
          <w:sz w:val="20"/>
        </w:rPr>
        <w:t xml:space="preserve">, 543 U.S. 499, 504-05, 125 S. Ct. 1141, 160 L. Ed. 2d 949 (2005). </w:t>
      </w:r>
      <w:bookmarkStart w:id="6378" w:name="Bookmark_I5PJP99Y2D6NY90050000400_2"/>
      <w:bookmarkEnd w:id="6378"/>
      <w:r>
        <w:rPr>
          <w:rFonts w:ascii="Arial" w:eastAsia="Arial" w:hAnsi="Arial" w:cs="Arial"/>
          <w:color w:val="000000"/>
          <w:sz w:val="20"/>
        </w:rPr>
        <w:t xml:space="preserve">Further counseling against standing for injunctive relief is the assumption that Updike will likely conform his activities within the law such that he would not be arrested and detained in the future. </w:t>
      </w:r>
      <w:r>
        <w:rPr>
          <w:rFonts w:ascii="Arial" w:eastAsia="Arial" w:hAnsi="Arial" w:cs="Arial"/>
          <w:i/>
          <w:color w:val="000000"/>
          <w:sz w:val="20"/>
        </w:rPr>
        <w:t xml:space="preserve">See </w:t>
      </w:r>
      <w:bookmarkStart w:id="6379" w:name="Bookmark_I5PJP99Y2D6NY90040000400"/>
      <w:bookmarkEnd w:id="6379"/>
      <w:r>
        <w:rPr>
          <w:rFonts w:ascii="Arial" w:eastAsia="Arial" w:hAnsi="Arial" w:cs="Arial"/>
          <w:i/>
          <w:color w:val="000000"/>
          <w:sz w:val="20"/>
        </w:rPr>
        <w:t>O'Shea</w:t>
      </w:r>
      <w:r>
        <w:rPr>
          <w:rFonts w:ascii="Arial" w:eastAsia="Arial" w:hAnsi="Arial" w:cs="Arial"/>
          <w:color w:val="000000"/>
          <w:sz w:val="20"/>
        </w:rPr>
        <w:t xml:space="preserve">, 414 U.S. at 497 ("We assume that respondents will conduct their activities within the law and so avoid prosecution and conviction as well as exposure to [**17]  the challenged course of conduct said to be followed by petitioners."). Updike has not shown "there is 'sufficient immediacy and reality' to [his] allegations of future injury to warrant invocation" of jurisdiction. </w:t>
      </w:r>
      <w:r>
        <w:rPr>
          <w:rFonts w:ascii="Arial" w:eastAsia="Arial" w:hAnsi="Arial" w:cs="Arial"/>
          <w:i/>
          <w:color w:val="000000"/>
          <w:sz w:val="20"/>
        </w:rPr>
        <w:t>Id.</w:t>
      </w:r>
    </w:p>
    <w:p w:rsidR="00E456CD" w:rsidRDefault="00000000">
      <w:pPr>
        <w:pStyle w:val="Normal41"/>
        <w:widowControl w:val="0"/>
        <w:spacing w:before="200" w:line="260" w:lineRule="atLeast"/>
        <w:jc w:val="both"/>
      </w:pPr>
      <w:bookmarkStart w:id="6380" w:name="Bookmark_para_34_17"/>
      <w:bookmarkEnd w:id="6380"/>
      <w:r>
        <w:rPr>
          <w:rFonts w:ascii="Arial" w:eastAsia="Arial" w:hAnsi="Arial" w:cs="Arial"/>
          <w:color w:val="000000"/>
          <w:sz w:val="20"/>
        </w:rPr>
        <w:t>In sum, Updike does not have standing to pursue his claims for injunctive relief against the State and County. We turn next to the merits of his claims for compensatory damages.</w:t>
      </w:r>
    </w:p>
    <w:p w:rsidR="00E456CD" w:rsidRDefault="00000000">
      <w:pPr>
        <w:pStyle w:val="Normal41"/>
        <w:widowControl w:val="0"/>
        <w:spacing w:before="240" w:line="260" w:lineRule="atLeast"/>
      </w:pPr>
      <w:r>
        <w:br/>
      </w:r>
      <w:r>
        <w:rPr>
          <w:rFonts w:ascii="Arial" w:eastAsia="Arial" w:hAnsi="Arial" w:cs="Arial"/>
          <w:b/>
          <w:color w:val="000000"/>
          <w:sz w:val="20"/>
        </w:rPr>
        <w:t>IV</w:t>
      </w:r>
    </w:p>
    <w:p w:rsidR="00E456CD" w:rsidRDefault="00000000">
      <w:pPr>
        <w:pStyle w:val="Normal41"/>
        <w:widowControl w:val="0"/>
        <w:spacing w:before="240" w:line="260" w:lineRule="atLeast"/>
      </w:pPr>
      <w:r>
        <w:br/>
      </w:r>
      <w:r>
        <w:rPr>
          <w:rFonts w:ascii="Arial" w:eastAsia="Arial" w:hAnsi="Arial" w:cs="Arial"/>
          <w:b/>
          <w:color w:val="000000"/>
          <w:sz w:val="20"/>
        </w:rPr>
        <w:t>A</w:t>
      </w:r>
    </w:p>
    <w:p w:rsidR="00E456CD" w:rsidRDefault="00000000">
      <w:pPr>
        <w:pStyle w:val="Normal41"/>
        <w:widowControl w:val="0"/>
        <w:spacing w:before="200" w:line="260" w:lineRule="atLeast"/>
        <w:jc w:val="both"/>
      </w:pPr>
      <w:bookmarkStart w:id="6381" w:name="Bookmark_para_35_16"/>
      <w:bookmarkEnd w:id="6381"/>
      <w:r>
        <w:rPr>
          <w:rFonts w:ascii="Arial" w:eastAsia="Arial" w:hAnsi="Arial" w:cs="Arial"/>
          <w:color w:val="000000"/>
          <w:sz w:val="20"/>
        </w:rPr>
        <w:t>Updike challenges the district court's grant of summary judgment in favor of the  [*949]  State and the County on his ADA and § 504 claims.</w:t>
      </w:r>
    </w:p>
    <w:p w:rsidR="00E456CD" w:rsidRDefault="00000000">
      <w:pPr>
        <w:pStyle w:val="Normal41"/>
        <w:widowControl w:val="0"/>
        <w:spacing w:before="200" w:line="260" w:lineRule="atLeast"/>
        <w:jc w:val="both"/>
      </w:pPr>
      <w:bookmarkStart w:id="6382" w:name="Bookmark_para_36_15"/>
      <w:bookmarkStart w:id="6383" w:name="Bookmark_LNHNREFclscc7_26"/>
      <w:bookmarkEnd w:id="6382"/>
      <w:bookmarkEnd w:id="6383"/>
      <w:r>
        <w:rPr>
          <w:rFonts w:ascii="Arial" w:eastAsia="Arial" w:hAnsi="Arial" w:cs="Arial"/>
          <w:color w:val="000000"/>
          <w:sz w:val="20"/>
        </w:rPr>
        <w:t>The ADA was enacted "to provide a clear and comprehensive national mandate for the elimination of discrimination against individuals with disabilities" and "to provide clear, strong, consistent, enforceable standards addressing discrimination against individuals with disabilities." 42 U.S.C. § 12101(b)(1)&amp;(2). Title II of the ADA provides:</w:t>
      </w:r>
    </w:p>
    <w:p w:rsidR="00E456CD" w:rsidRDefault="00000000">
      <w:pPr>
        <w:pStyle w:val="Normal41"/>
        <w:widowControl w:val="0"/>
        <w:spacing w:before="200" w:line="260" w:lineRule="atLeast"/>
        <w:ind w:left="400"/>
        <w:jc w:val="both"/>
      </w:pPr>
      <w:bookmarkStart w:id="6384" w:name="Bookmark_para_37_14"/>
      <w:bookmarkStart w:id="6385" w:name="Bookmark_I4GSWX1PBWT0010DC99002BK"/>
      <w:bookmarkStart w:id="6386" w:name="Bookmark_I5PJP99Y28T3XK0020000400"/>
      <w:bookmarkEnd w:id="6384"/>
      <w:bookmarkEnd w:id="6385"/>
      <w:bookmarkEnd w:id="6386"/>
      <w:r>
        <w:rPr>
          <w:rFonts w:ascii="Arial" w:eastAsia="Arial" w:hAnsi="Arial" w:cs="Arial"/>
          <w:color w:val="000000"/>
          <w:sz w:val="20"/>
        </w:rPr>
        <w:t>[N]o qualified individual with a disability shall, by reason of such disability, be excluded from participation in or be denied the benefits of the services, programs, or activities of a public entity, or be subjected to discrimination by any such entity.</w:t>
      </w:r>
    </w:p>
    <w:p w:rsidR="00E456CD" w:rsidRDefault="00000000">
      <w:pPr>
        <w:pStyle w:val="Normal41"/>
        <w:widowControl w:val="0"/>
        <w:spacing w:before="200" w:line="260" w:lineRule="atLeast"/>
        <w:jc w:val="both"/>
      </w:pPr>
      <w:bookmarkStart w:id="6387" w:name="Bookmark_I5PJP99Y28T3XK0020000400_2"/>
      <w:bookmarkStart w:id="6388" w:name="Bookmark_I5PJP99Y28T3XK0040000400"/>
      <w:bookmarkEnd w:id="6387"/>
      <w:bookmarkEnd w:id="6388"/>
      <w:r>
        <w:rPr>
          <w:rFonts w:ascii="Arial" w:eastAsia="Arial" w:hAnsi="Arial" w:cs="Arial"/>
          <w:i/>
          <w:color w:val="000000"/>
          <w:sz w:val="20"/>
        </w:rPr>
        <w:t>Id.</w:t>
      </w:r>
      <w:r>
        <w:rPr>
          <w:rFonts w:ascii="Arial" w:eastAsia="Arial" w:hAnsi="Arial" w:cs="Arial"/>
          <w:color w:val="000000"/>
          <w:sz w:val="20"/>
        </w:rPr>
        <w:t xml:space="preserve"> § 12132. </w:t>
      </w:r>
      <w:bookmarkStart w:id="6389" w:name="Bookmark_LNHNREFclscc8_24"/>
      <w:bookmarkEnd w:id="6389"/>
      <w:r>
        <w:rPr>
          <w:rFonts w:ascii="Arial" w:eastAsia="Arial" w:hAnsi="Arial" w:cs="Arial"/>
          <w:color w:val="000000"/>
          <w:sz w:val="20"/>
        </w:rPr>
        <w:t xml:space="preserve">To prove that a public program or service violated Title II of the ADA, Updike must show that: "(1) he is a 'qualified [**18]  individual with a disability'; (2) he was either excluded from participation in or denied the benefits of a public entity's services, programs, or activities, or was otherwise discriminated against by the public entity; and (3) such exclusion, denial of benefits, or discrimination was by reason of his disability." </w:t>
      </w:r>
      <w:bookmarkStart w:id="6390" w:name="Bookmark_I5PJP99Y28T3XK0010000400"/>
      <w:bookmarkEnd w:id="6390"/>
      <w:r>
        <w:rPr>
          <w:rFonts w:ascii="Arial" w:eastAsia="Arial" w:hAnsi="Arial" w:cs="Arial"/>
          <w:i/>
          <w:color w:val="000000"/>
          <w:sz w:val="20"/>
        </w:rPr>
        <w:t>Duvall v. Cty. of Kitsap</w:t>
      </w:r>
      <w:r>
        <w:rPr>
          <w:rFonts w:ascii="Arial" w:eastAsia="Arial" w:hAnsi="Arial" w:cs="Arial"/>
          <w:color w:val="000000"/>
          <w:sz w:val="20"/>
        </w:rPr>
        <w:t xml:space="preserve">, 260 F.3d 1124, 1135 (9th Cir. 2001), </w:t>
      </w:r>
      <w:r>
        <w:rPr>
          <w:rFonts w:ascii="Arial" w:eastAsia="Arial" w:hAnsi="Arial" w:cs="Arial"/>
          <w:i/>
          <w:color w:val="000000"/>
          <w:sz w:val="20"/>
        </w:rPr>
        <w:t>as amended on denial of reh'g en banc</w:t>
      </w:r>
      <w:r>
        <w:rPr>
          <w:rFonts w:ascii="Arial" w:eastAsia="Arial" w:hAnsi="Arial" w:cs="Arial"/>
          <w:color w:val="000000"/>
          <w:sz w:val="20"/>
        </w:rPr>
        <w:t xml:space="preserve"> (Oct. 11, 2001). </w:t>
      </w:r>
      <w:bookmarkStart w:id="6391" w:name="Bookmark_I5PJP99Y28T3XK0040000400_2"/>
      <w:bookmarkEnd w:id="6391"/>
      <w:r>
        <w:rPr>
          <w:rFonts w:ascii="Arial" w:eastAsia="Arial" w:hAnsi="Arial" w:cs="Arial"/>
          <w:color w:val="000000"/>
          <w:sz w:val="20"/>
        </w:rPr>
        <w:t xml:space="preserve">This provision extends to discrimination against inmates detained in a county jail. </w:t>
      </w:r>
      <w:r>
        <w:rPr>
          <w:rFonts w:ascii="Arial" w:eastAsia="Arial" w:hAnsi="Arial" w:cs="Arial"/>
          <w:i/>
          <w:color w:val="000000"/>
          <w:sz w:val="20"/>
        </w:rPr>
        <w:t xml:space="preserve">See </w:t>
      </w:r>
      <w:bookmarkStart w:id="6392" w:name="Bookmark_I5PJP99Y28T3XK0030000400"/>
      <w:bookmarkEnd w:id="6392"/>
      <w:r>
        <w:rPr>
          <w:rFonts w:ascii="Arial" w:eastAsia="Arial" w:hAnsi="Arial" w:cs="Arial"/>
          <w:i/>
          <w:color w:val="000000"/>
          <w:sz w:val="20"/>
        </w:rPr>
        <w:t>Penn. Dep't of Corr. v. Yeskey</w:t>
      </w:r>
      <w:r>
        <w:rPr>
          <w:rFonts w:ascii="Arial" w:eastAsia="Arial" w:hAnsi="Arial" w:cs="Arial"/>
          <w:color w:val="000000"/>
          <w:sz w:val="20"/>
        </w:rPr>
        <w:t>, 524 U.S. 206, 210, 118 S. Ct. 1952, 141 L. Ed. 2d 215 (1998) (concluding that "[s]tate prisons fall squarely within the statutory definition of 'public entity,' which includes 'any department, agency, special purpose district, or other instrumentality of a State or States or local government.'" (quoting 42 U.S.C. § 12131(1)(B))).</w:t>
      </w:r>
    </w:p>
    <w:p w:rsidR="00E456CD" w:rsidRDefault="00000000">
      <w:pPr>
        <w:pStyle w:val="Normal41"/>
        <w:widowControl w:val="0"/>
        <w:spacing w:before="200" w:line="260" w:lineRule="atLeast"/>
        <w:jc w:val="both"/>
      </w:pPr>
      <w:bookmarkStart w:id="6393" w:name="Bookmark_para_38_14"/>
      <w:bookmarkStart w:id="6394" w:name="Bookmark_I5PJP99Y2SF7K80010000400"/>
      <w:bookmarkStart w:id="6395" w:name="Bookmark_LNHNREFclscc9_19"/>
      <w:bookmarkEnd w:id="6393"/>
      <w:bookmarkEnd w:id="6394"/>
      <w:bookmarkEnd w:id="6395"/>
      <w:r>
        <w:rPr>
          <w:rFonts w:ascii="Arial" w:eastAsia="Arial" w:hAnsi="Arial" w:cs="Arial"/>
          <w:color w:val="000000"/>
          <w:sz w:val="20"/>
        </w:rPr>
        <w:t xml:space="preserve">"Title II of the ADA was expressly modeled after § 504 of the Rehabilitation Act." </w:t>
      </w:r>
      <w:bookmarkStart w:id="6396" w:name="Bookmark_I5PJP99Y28T3XK0050000400"/>
      <w:bookmarkEnd w:id="6396"/>
      <w:r>
        <w:rPr>
          <w:rFonts w:ascii="Arial" w:eastAsia="Arial" w:hAnsi="Arial" w:cs="Arial"/>
          <w:i/>
          <w:color w:val="000000"/>
          <w:sz w:val="20"/>
        </w:rPr>
        <w:t>Duvall</w:t>
      </w:r>
      <w:r>
        <w:rPr>
          <w:rFonts w:ascii="Arial" w:eastAsia="Arial" w:hAnsi="Arial" w:cs="Arial"/>
          <w:color w:val="000000"/>
          <w:sz w:val="20"/>
        </w:rPr>
        <w:t>, 260 F.3d at 1135. Section 504 of the Rehabilitation Act provides:</w:t>
      </w:r>
    </w:p>
    <w:p w:rsidR="00E456CD" w:rsidRDefault="00000000">
      <w:pPr>
        <w:pStyle w:val="Normal41"/>
        <w:widowControl w:val="0"/>
        <w:spacing w:before="200" w:line="260" w:lineRule="atLeast"/>
        <w:ind w:left="400"/>
        <w:jc w:val="both"/>
      </w:pPr>
      <w:bookmarkStart w:id="6397" w:name="Bookmark_para_39_14"/>
      <w:bookmarkStart w:id="6398" w:name="Bookmark_I5PJP99Y2SF7K80010000400_2"/>
      <w:bookmarkStart w:id="6399" w:name="Bookmark_I4GSWX1PMJ30010DC99000SV"/>
      <w:bookmarkStart w:id="6400" w:name="Bookmark_I5PJP99Y2SF7K80030000400"/>
      <w:bookmarkEnd w:id="6397"/>
      <w:bookmarkEnd w:id="6398"/>
      <w:bookmarkEnd w:id="6399"/>
      <w:bookmarkEnd w:id="6400"/>
      <w:r>
        <w:rPr>
          <w:rFonts w:ascii="Arial" w:eastAsia="Arial" w:hAnsi="Arial" w:cs="Arial"/>
          <w:color w:val="000000"/>
          <w:sz w:val="20"/>
        </w:rPr>
        <w:t>No otherwise qualified individual with a disability . . . shall, solely by reason of her or his disability, be excluded from the participation in, be denied the benefits of, or be subjected to discrimination under any program or activity receiving Federal financial assistance . . . .</w:t>
      </w:r>
    </w:p>
    <w:p w:rsidR="00E456CD" w:rsidRDefault="00000000">
      <w:pPr>
        <w:pStyle w:val="Normal41"/>
        <w:widowControl w:val="0"/>
        <w:spacing w:before="200" w:line="260" w:lineRule="atLeast"/>
        <w:jc w:val="both"/>
      </w:pPr>
      <w:bookmarkStart w:id="6401" w:name="Bookmark_I5PJP99Y2SF7K80030000400_2"/>
      <w:bookmarkEnd w:id="6401"/>
      <w:r>
        <w:rPr>
          <w:rFonts w:ascii="Arial" w:eastAsia="Arial" w:hAnsi="Arial" w:cs="Arial"/>
          <w:color w:val="000000"/>
          <w:sz w:val="20"/>
        </w:rPr>
        <w:t xml:space="preserve">29 U.S.C. § 794. To bring a § 504 claim, Updike must show that "(1) he is an individual with a disability; (2) he is otherwise [**19]  qualified to receive the benefit; (3) he was denied the benefits of the program solely by reason of his disability; and (4) the program receives federal financial assistance." </w:t>
      </w:r>
      <w:bookmarkStart w:id="6402" w:name="Bookmark_I5PJP99Y2SF7K80020000400"/>
      <w:bookmarkEnd w:id="6402"/>
      <w:r>
        <w:rPr>
          <w:rFonts w:ascii="Arial" w:eastAsia="Arial" w:hAnsi="Arial" w:cs="Arial"/>
          <w:i/>
          <w:color w:val="000000"/>
          <w:sz w:val="20"/>
        </w:rPr>
        <w:t>Duvall</w:t>
      </w:r>
      <w:r>
        <w:rPr>
          <w:rFonts w:ascii="Arial" w:eastAsia="Arial" w:hAnsi="Arial" w:cs="Arial"/>
          <w:color w:val="000000"/>
          <w:sz w:val="20"/>
        </w:rPr>
        <w:t>, 260 F.3d at 1135.</w:t>
      </w:r>
    </w:p>
    <w:p w:rsidR="00E456CD" w:rsidRDefault="00000000">
      <w:pPr>
        <w:pStyle w:val="Normal41"/>
        <w:widowControl w:val="0"/>
        <w:spacing w:before="200" w:line="260" w:lineRule="atLeast"/>
        <w:jc w:val="both"/>
      </w:pPr>
      <w:bookmarkStart w:id="6403" w:name="Bookmark_para_40_13"/>
      <w:bookmarkStart w:id="6404" w:name="Bookmark_I5PJP99Y2SF7K80050000400"/>
      <w:bookmarkStart w:id="6405" w:name="Bookmark_LNHNREFclscc10_18"/>
      <w:bookmarkEnd w:id="6403"/>
      <w:bookmarkEnd w:id="6404"/>
      <w:bookmarkEnd w:id="6405"/>
      <w:r>
        <w:rPr>
          <w:rFonts w:ascii="Arial" w:eastAsia="Arial" w:hAnsi="Arial" w:cs="Arial"/>
          <w:color w:val="000000"/>
          <w:sz w:val="20"/>
        </w:rPr>
        <w:t xml:space="preserve">Title II and § 504 include an affirmative obligation for public entities to make benefits, services, and programs accessible to people with disabilities. </w:t>
      </w:r>
      <w:r>
        <w:rPr>
          <w:rFonts w:ascii="Arial" w:eastAsia="Arial" w:hAnsi="Arial" w:cs="Arial"/>
          <w:i/>
          <w:color w:val="000000"/>
          <w:sz w:val="20"/>
        </w:rPr>
        <w:t xml:space="preserve">See </w:t>
      </w:r>
      <w:bookmarkStart w:id="6406" w:name="Bookmark_I5PJP99Y2SF7K80040000400"/>
      <w:bookmarkEnd w:id="6406"/>
      <w:r>
        <w:rPr>
          <w:rFonts w:ascii="Arial" w:eastAsia="Arial" w:hAnsi="Arial" w:cs="Arial"/>
          <w:i/>
          <w:color w:val="000000"/>
          <w:sz w:val="20"/>
        </w:rPr>
        <w:t>id.</w:t>
      </w:r>
      <w:r>
        <w:rPr>
          <w:rFonts w:ascii="Arial" w:eastAsia="Arial" w:hAnsi="Arial" w:cs="Arial"/>
          <w:color w:val="000000"/>
          <w:sz w:val="20"/>
        </w:rPr>
        <w:t xml:space="preserve"> at 1136; </w:t>
      </w:r>
      <w:bookmarkStart w:id="6407" w:name="Bookmark_I5PJP99Y2N1R9F0010000400"/>
      <w:bookmarkEnd w:id="6407"/>
      <w:r>
        <w:rPr>
          <w:rFonts w:ascii="Arial" w:eastAsia="Arial" w:hAnsi="Arial" w:cs="Arial"/>
          <w:i/>
          <w:color w:val="000000"/>
          <w:sz w:val="20"/>
        </w:rPr>
        <w:t>Pierce v. District of Columbia</w:t>
      </w:r>
      <w:r>
        <w:rPr>
          <w:rFonts w:ascii="Arial" w:eastAsia="Arial" w:hAnsi="Arial" w:cs="Arial"/>
          <w:color w:val="000000"/>
          <w:sz w:val="20"/>
        </w:rPr>
        <w:t xml:space="preserve">, 128 F. Supp. 3d 250, 266-67 (D.D.C. 2015) (citing 42 U.S.C. § 12131(2) and 28 C.F.R. § 35.130(b)(1)(ii)), </w:t>
      </w:r>
      <w:r>
        <w:rPr>
          <w:rFonts w:ascii="Arial" w:eastAsia="Arial" w:hAnsi="Arial" w:cs="Arial"/>
          <w:i/>
          <w:color w:val="000000"/>
          <w:sz w:val="20"/>
        </w:rPr>
        <w:t>reconsideration denied</w:t>
      </w:r>
      <w:r>
        <w:rPr>
          <w:rFonts w:ascii="Arial" w:eastAsia="Arial" w:hAnsi="Arial" w:cs="Arial"/>
          <w:color w:val="000000"/>
          <w:sz w:val="20"/>
        </w:rPr>
        <w:t xml:space="preserve">, </w:t>
      </w:r>
      <w:bookmarkStart w:id="6408" w:name="Bookmark_I5PJP99Y2N1R9F0030000400"/>
      <w:bookmarkEnd w:id="6408"/>
      <w:r>
        <w:rPr>
          <w:rFonts w:ascii="Arial" w:eastAsia="Arial" w:hAnsi="Arial" w:cs="Arial"/>
          <w:color w:val="000000"/>
          <w:sz w:val="20"/>
        </w:rPr>
        <w:t>146 F. Supp. 3d 197 (D.D.C. 2015).</w:t>
      </w:r>
    </w:p>
    <w:p w:rsidR="00E456CD" w:rsidRDefault="00000000">
      <w:pPr>
        <w:pStyle w:val="Normal41"/>
        <w:widowControl w:val="0"/>
        <w:spacing w:before="200" w:line="260" w:lineRule="atLeast"/>
        <w:jc w:val="both"/>
      </w:pPr>
      <w:bookmarkStart w:id="6409" w:name="Bookmark_para_41_12"/>
      <w:bookmarkStart w:id="6410" w:name="Bookmark_LNHNREFclscc11_16"/>
      <w:bookmarkEnd w:id="6409"/>
      <w:bookmarkEnd w:id="6410"/>
      <w:r>
        <w:rPr>
          <w:rFonts w:ascii="Arial" w:eastAsia="Arial" w:hAnsi="Arial" w:cs="Arial"/>
          <w:color w:val="000000"/>
          <w:sz w:val="20"/>
        </w:rPr>
        <w:t>As to persons with a hearing disability, implementing regulations for Title II provide that a public entity must "take appropriate steps to ensure that communications" with disabled persons "are as effective as communications with others." 28 C.F.R. § 35.160(a). These regulations, squarely on point here, provide:</w:t>
      </w:r>
    </w:p>
    <w:p w:rsidR="00E456CD" w:rsidRDefault="00000000">
      <w:pPr>
        <w:pStyle w:val="Normal41"/>
        <w:widowControl w:val="0"/>
        <w:spacing w:line="260" w:lineRule="atLeast"/>
        <w:ind w:left="400"/>
        <w:jc w:val="both"/>
      </w:pPr>
      <w:bookmarkStart w:id="6411" w:name="Bookmark_para_42_11"/>
      <w:bookmarkEnd w:id="6411"/>
      <w:r>
        <w:rPr>
          <w:rFonts w:ascii="Arial" w:eastAsia="Arial" w:hAnsi="Arial" w:cs="Arial"/>
          <w:color w:val="000000"/>
          <w:sz w:val="20"/>
        </w:rPr>
        <w:t>(b) (1) A public entity shall furnish appropriate auxiliary aids and services where necessary to afford individuals with disabilities, including applicants, participants, companions, and members of the public, an equal opportunity to participate in, and enjoy the benefits of, a service, program, or activity of a public entity.</w:t>
      </w:r>
    </w:p>
    <w:p w:rsidR="00E456CD" w:rsidRDefault="00000000">
      <w:pPr>
        <w:pStyle w:val="Normal41"/>
        <w:widowControl w:val="0"/>
        <w:spacing w:before="200" w:line="260" w:lineRule="atLeast"/>
        <w:ind w:left="400"/>
        <w:jc w:val="both"/>
      </w:pPr>
      <w:bookmarkStart w:id="6412" w:name="Bookmark_para_43_9"/>
      <w:bookmarkEnd w:id="6412"/>
      <w:r>
        <w:rPr>
          <w:rFonts w:ascii="Arial" w:eastAsia="Arial" w:hAnsi="Arial" w:cs="Arial"/>
          <w:color w:val="000000"/>
          <w:sz w:val="20"/>
        </w:rPr>
        <w:t>(2) The type of auxiliary aid or service necessary to ensure effective communication will vary in accordance with the method of communication used by the  [*950]  individual; the nature, length, and complexity of the [**20]  communication involved; and the context in which the communication is taking place. In determining what types of auxiliary aids and services are necessary, a public entity shall give primary consideration to the requests of individuals with disabilities. In order to be effective, auxiliary aids and services must be provided in accessible formats, in a timely manner, and in such a way as to protect the privacy and independence of the individual with a disability.</w:t>
      </w:r>
    </w:p>
    <w:p w:rsidR="00E456CD" w:rsidRDefault="00000000">
      <w:pPr>
        <w:pStyle w:val="Normal41"/>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35.160(b). </w:t>
      </w:r>
      <w:bookmarkStart w:id="6413" w:name="Bookmark_LNHNREFclscc12_14"/>
      <w:bookmarkEnd w:id="6413"/>
      <w:r>
        <w:rPr>
          <w:rFonts w:ascii="Arial" w:eastAsia="Arial" w:hAnsi="Arial" w:cs="Arial"/>
          <w:color w:val="000000"/>
          <w:sz w:val="20"/>
        </w:rPr>
        <w:t>For deaf and hearing-impaired persons, auxiliary aids and services include:</w:t>
      </w:r>
    </w:p>
    <w:p w:rsidR="00E456CD" w:rsidRDefault="00000000">
      <w:pPr>
        <w:pStyle w:val="Normal41"/>
        <w:widowControl w:val="0"/>
        <w:spacing w:before="200" w:line="260" w:lineRule="atLeast"/>
        <w:ind w:left="400"/>
        <w:jc w:val="both"/>
      </w:pPr>
      <w:bookmarkStart w:id="6414" w:name="Bookmark_para_44_9"/>
      <w:bookmarkEnd w:id="6414"/>
      <w:r>
        <w:rPr>
          <w:rFonts w:ascii="Arial" w:eastAsia="Arial" w:hAnsi="Arial" w:cs="Arial"/>
          <w:color w:val="000000"/>
          <w:sz w:val="20"/>
        </w:rPr>
        <w:t>Qualified interpreters on-site or through video remote interpreting (VRI) services; notetakers; real-time computer-aided transcription services; written materials; exchange of written notes; telephone handset amplifiers; assistive listening devices; assistive listening systems; telephones compatible with hearing aids; closed caption decoders; open and closed captioning, including real-time captioning; voice, text, and video-based telecommunications products and systems, including text telephones (TTYs), videophones, and captioned telephones, or equally effective telecommunications devices; videotext displays; accessible electronic and information [**21]  technology; or other effective methods of making aurally delivered information available to individuals who are deaf or hard of hearing[.]</w:t>
      </w:r>
    </w:p>
    <w:p w:rsidR="00E456CD" w:rsidRDefault="00000000">
      <w:pPr>
        <w:pStyle w:val="Normal41"/>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35.104(1).</w:t>
      </w:r>
    </w:p>
    <w:p w:rsidR="00E456CD" w:rsidRDefault="00000000">
      <w:pPr>
        <w:pStyle w:val="Normal41"/>
        <w:widowControl w:val="0"/>
        <w:spacing w:before="200" w:line="260" w:lineRule="atLeast"/>
        <w:jc w:val="both"/>
      </w:pPr>
      <w:bookmarkStart w:id="6415" w:name="Bookmark_para_45_9"/>
      <w:bookmarkStart w:id="6416" w:name="Bookmark_LNHNREFclscc13_11"/>
      <w:bookmarkEnd w:id="6415"/>
      <w:bookmarkEnd w:id="6416"/>
      <w:r>
        <w:rPr>
          <w:rFonts w:ascii="Arial" w:eastAsia="Arial" w:hAnsi="Arial" w:cs="Arial"/>
          <w:color w:val="000000"/>
          <w:sz w:val="20"/>
        </w:rPr>
        <w:t>The Appendix to the ADA regulations also makes clear that the public entity has a duty to ensure effective communications and establishes a required deference that must normally be given to a disabled person's personal choice of aid and service:</w:t>
      </w:r>
    </w:p>
    <w:p w:rsidR="00E456CD" w:rsidRDefault="00000000">
      <w:pPr>
        <w:pStyle w:val="Normal41"/>
        <w:widowControl w:val="0"/>
        <w:spacing w:line="260" w:lineRule="atLeast"/>
        <w:ind w:left="400"/>
        <w:jc w:val="both"/>
      </w:pPr>
      <w:bookmarkStart w:id="6417" w:name="Bookmark_para_46_8"/>
      <w:bookmarkEnd w:id="6417"/>
      <w:r>
        <w:rPr>
          <w:rFonts w:ascii="Arial" w:eastAsia="Arial" w:hAnsi="Arial" w:cs="Arial"/>
          <w:color w:val="000000"/>
          <w:sz w:val="20"/>
        </w:rPr>
        <w:t>The public entity shall honor the choice [of the individual with a disability] unless it can demonstrate that another effective means of communication exists or that use of the means chosen would not be required under § 35.164. Deference to the request of the individual with a disability is desirable because of the range of disabilities, the variety of auxiliary aids and services, and different circumstances requiring effective communication.</w:t>
      </w:r>
    </w:p>
    <w:p w:rsidR="00E456CD" w:rsidRDefault="00000000">
      <w:pPr>
        <w:pStyle w:val="Normal41"/>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pt. 35, App. A (alteration in original) (quoting 28 C.F.R. pt. 35, App. A (2009)). The Appendix goes on to explain that "the type of auxiliary aid or service necessary to ensure effective communication will vary with the situation." </w:t>
      </w:r>
      <w:r>
        <w:rPr>
          <w:rFonts w:ascii="Arial" w:eastAsia="Arial" w:hAnsi="Arial" w:cs="Arial"/>
          <w:i/>
          <w:color w:val="000000"/>
          <w:sz w:val="20"/>
        </w:rPr>
        <w:t>Id.</w:t>
      </w:r>
      <w:r>
        <w:rPr>
          <w:rFonts w:ascii="Arial" w:eastAsia="Arial" w:hAnsi="Arial" w:cs="Arial"/>
          <w:color w:val="000000"/>
          <w:sz w:val="20"/>
        </w:rPr>
        <w:t xml:space="preserve"> These regulations "require effective communication in courts, jails, prisons, and with law enforcement officers." </w:t>
      </w:r>
      <w:r>
        <w:rPr>
          <w:rFonts w:ascii="Arial" w:eastAsia="Arial" w:hAnsi="Arial" w:cs="Arial"/>
          <w:i/>
          <w:color w:val="000000"/>
          <w:sz w:val="20"/>
        </w:rPr>
        <w:t>Id.</w:t>
      </w:r>
    </w:p>
    <w:p w:rsidR="00E456CD" w:rsidRDefault="00000000">
      <w:pPr>
        <w:pStyle w:val="Normal41"/>
        <w:widowControl w:val="0"/>
        <w:spacing w:before="200" w:line="260" w:lineRule="atLeast"/>
        <w:jc w:val="both"/>
      </w:pPr>
      <w:bookmarkStart w:id="6418" w:name="Bookmark_para_47_8"/>
      <w:bookmarkStart w:id="6419" w:name="Bookmark_LNHNREFclscc14_9"/>
      <w:bookmarkEnd w:id="6418"/>
      <w:bookmarkEnd w:id="6419"/>
      <w:r>
        <w:rPr>
          <w:rFonts w:ascii="Arial" w:eastAsia="Arial" w:hAnsi="Arial" w:cs="Arial"/>
          <w:color w:val="000000"/>
          <w:sz w:val="20"/>
        </w:rPr>
        <w:t xml:space="preserve">One limitation on this duty, however, [**22]  provides that a public entity is not required "to take any action that it can demonstrate would result in a fundamental alteration in the nature of a service, program, or activity or in undue financial and administrative burdens." </w:t>
      </w:r>
      <w:r>
        <w:rPr>
          <w:rFonts w:ascii="Arial" w:eastAsia="Arial" w:hAnsi="Arial" w:cs="Arial"/>
          <w:i/>
          <w:color w:val="000000"/>
          <w:sz w:val="20"/>
        </w:rPr>
        <w:t>Id.</w:t>
      </w:r>
      <w:r>
        <w:rPr>
          <w:rFonts w:ascii="Arial" w:eastAsia="Arial" w:hAnsi="Arial" w:cs="Arial"/>
          <w:color w:val="000000"/>
          <w:sz w:val="20"/>
        </w:rPr>
        <w:t xml:space="preserve"> § 35.164; </w:t>
      </w:r>
      <w:r>
        <w:rPr>
          <w:rFonts w:ascii="Arial" w:eastAsia="Arial" w:hAnsi="Arial" w:cs="Arial"/>
          <w:i/>
          <w:color w:val="000000"/>
          <w:sz w:val="20"/>
        </w:rPr>
        <w:t>see also id.</w:t>
      </w:r>
      <w:r>
        <w:rPr>
          <w:rFonts w:ascii="Arial" w:eastAsia="Arial" w:hAnsi="Arial" w:cs="Arial"/>
          <w:color w:val="000000"/>
          <w:sz w:val="20"/>
        </w:rPr>
        <w:t xml:space="preserve"> pt. 35, App. A. Yet the mere payment for an ASL interpreter and the payment for a TTY or similar device cannot be considered an undue burden.</w:t>
      </w:r>
    </w:p>
    <w:p w:rsidR="00E456CD" w:rsidRDefault="00000000">
      <w:pPr>
        <w:pStyle w:val="Normal41"/>
        <w:widowControl w:val="0"/>
        <w:spacing w:before="200" w:line="260" w:lineRule="atLeast"/>
        <w:jc w:val="both"/>
      </w:pPr>
      <w:bookmarkStart w:id="6420" w:name="Bookmark_para_48_8"/>
      <w:bookmarkStart w:id="6421" w:name="Bookmark_I4GSWX1PX6C0010DC990010W"/>
      <w:bookmarkStart w:id="6422" w:name="Bookmark_I5PJP99Y2HM6N50010000400"/>
      <w:bookmarkStart w:id="6423" w:name="Bookmark_I4GSWX1R21H0010DC99002BS"/>
      <w:bookmarkStart w:id="6424" w:name="Bookmark_I5PJP99Y2HM6N50050000400"/>
      <w:bookmarkEnd w:id="6420"/>
      <w:bookmarkEnd w:id="6421"/>
      <w:bookmarkEnd w:id="6422"/>
      <w:bookmarkEnd w:id="6423"/>
      <w:bookmarkEnd w:id="6424"/>
      <w:r>
        <w:rPr>
          <w:rFonts w:ascii="Arial" w:eastAsia="Arial" w:hAnsi="Arial" w:cs="Arial"/>
          <w:color w:val="000000"/>
          <w:sz w:val="20"/>
        </w:rPr>
        <w:t xml:space="preserve">Under both Title II of the ADA and § 504 of the Rehabilitation Act, Updike must show that he was excluded from participating in or denied the benefits of a program's services or otherwise discriminated against. </w:t>
      </w:r>
      <w:bookmarkStart w:id="6425" w:name="Bookmark_LNHNREFclscc15_8"/>
      <w:bookmarkEnd w:id="6425"/>
      <w:r>
        <w:rPr>
          <w:rFonts w:ascii="Arial" w:eastAsia="Arial" w:hAnsi="Arial" w:cs="Arial"/>
          <w:color w:val="000000"/>
          <w:sz w:val="20"/>
        </w:rPr>
        <w:t xml:space="preserve">"[C]ompensatory damages are not available under Title II or § 504 absent a showing of discriminatory intent." </w:t>
      </w:r>
      <w:bookmarkStart w:id="6426" w:name="Bookmark_I5PJP99Y2N1R9F0050000400"/>
      <w:bookmarkEnd w:id="6426"/>
      <w:r>
        <w:rPr>
          <w:rFonts w:ascii="Arial" w:eastAsia="Arial" w:hAnsi="Arial" w:cs="Arial"/>
          <w:i/>
          <w:color w:val="000000"/>
          <w:sz w:val="20"/>
        </w:rPr>
        <w:t>Ferguson v. City of Phoenix</w:t>
      </w:r>
      <w:r>
        <w:rPr>
          <w:rFonts w:ascii="Arial" w:eastAsia="Arial" w:hAnsi="Arial" w:cs="Arial"/>
          <w:color w:val="000000"/>
          <w:sz w:val="20"/>
        </w:rPr>
        <w:t xml:space="preserve">, 157 F.3d 668, 674 (9th Cir. 1998), </w:t>
      </w:r>
      <w:r>
        <w:rPr>
          <w:rFonts w:ascii="Arial" w:eastAsia="Arial" w:hAnsi="Arial" w:cs="Arial"/>
          <w:i/>
          <w:color w:val="000000"/>
          <w:sz w:val="20"/>
        </w:rPr>
        <w:t>as amended</w:t>
      </w:r>
      <w:r>
        <w:rPr>
          <w:rFonts w:ascii="Arial" w:eastAsia="Arial" w:hAnsi="Arial" w:cs="Arial"/>
          <w:color w:val="000000"/>
          <w:sz w:val="20"/>
        </w:rPr>
        <w:t xml:space="preserve"> (Oct. 8, 1998); </w:t>
      </w:r>
      <w:r>
        <w:rPr>
          <w:rFonts w:ascii="Arial" w:eastAsia="Arial" w:hAnsi="Arial" w:cs="Arial"/>
          <w:i/>
          <w:color w:val="000000"/>
          <w:sz w:val="20"/>
        </w:rPr>
        <w:t xml:space="preserve">see </w:t>
      </w:r>
      <w:bookmarkStart w:id="6427" w:name="Bookmark_I5PJP99Y2HM6N50020000400"/>
      <w:bookmarkEnd w:id="6427"/>
      <w:r>
        <w:rPr>
          <w:rFonts w:ascii="Arial" w:eastAsia="Arial" w:hAnsi="Arial" w:cs="Arial"/>
          <w:i/>
          <w:color w:val="000000"/>
          <w:sz w:val="20"/>
        </w:rPr>
        <w:t>Duvall</w:t>
      </w:r>
      <w:r>
        <w:rPr>
          <w:rFonts w:ascii="Arial" w:eastAsia="Arial" w:hAnsi="Arial" w:cs="Arial"/>
          <w:color w:val="000000"/>
          <w:sz w:val="20"/>
        </w:rPr>
        <w:t xml:space="preserve">, 260 F.3d at 1138. To show intentional discrimination, this circuit requires that the plaintiff show that a defendant acted with "deliberate indifference," which requires "both knowledge that a harm to a federally protected right  [*951]  is substantially likely, and a failure to act upon that . . . likelihood." </w:t>
      </w:r>
      <w:bookmarkStart w:id="6428" w:name="Bookmark_I5PJP99Y2HM6N50040000400"/>
      <w:bookmarkEnd w:id="6428"/>
      <w:r>
        <w:rPr>
          <w:rFonts w:ascii="Arial" w:eastAsia="Arial" w:hAnsi="Arial" w:cs="Arial"/>
          <w:i/>
          <w:color w:val="000000"/>
          <w:sz w:val="20"/>
        </w:rPr>
        <w:t>Duvall</w:t>
      </w:r>
      <w:r>
        <w:rPr>
          <w:rFonts w:ascii="Arial" w:eastAsia="Arial" w:hAnsi="Arial" w:cs="Arial"/>
          <w:color w:val="000000"/>
          <w:sz w:val="20"/>
        </w:rPr>
        <w:t xml:space="preserve">, 260 F.3d at 1139. "When the plaintiff has alerted the public entity to his need for accommodation (or where the need for accommodation is obvious, or required by statute or regulation), the public entity is on notice that an accommodation [**23]  is required, and the plaintiff has satisfied the first element of the deliberate indifference test." </w:t>
      </w:r>
      <w:r>
        <w:rPr>
          <w:rFonts w:ascii="Arial" w:eastAsia="Arial" w:hAnsi="Arial" w:cs="Arial"/>
          <w:i/>
          <w:color w:val="000000"/>
          <w:sz w:val="20"/>
        </w:rPr>
        <w:t>Id.</w:t>
      </w:r>
      <w:r>
        <w:rPr>
          <w:rFonts w:ascii="Arial" w:eastAsia="Arial" w:hAnsi="Arial" w:cs="Arial"/>
          <w:color w:val="000000"/>
          <w:sz w:val="20"/>
        </w:rPr>
        <w:t xml:space="preserve"> To meet the second prong, the entity's failure to act "must be a result of conduct that is more than negligent, and involves an element of deliberateness." </w:t>
      </w:r>
      <w:r>
        <w:rPr>
          <w:rFonts w:ascii="Arial" w:eastAsia="Arial" w:hAnsi="Arial" w:cs="Arial"/>
          <w:i/>
          <w:color w:val="000000"/>
          <w:sz w:val="20"/>
        </w:rPr>
        <w:t>Id.</w:t>
      </w:r>
    </w:p>
    <w:p w:rsidR="00E456CD" w:rsidRDefault="00000000">
      <w:pPr>
        <w:pStyle w:val="Normal41"/>
        <w:widowControl w:val="0"/>
        <w:spacing w:before="200" w:line="260" w:lineRule="atLeast"/>
        <w:jc w:val="both"/>
      </w:pPr>
      <w:bookmarkStart w:id="6429" w:name="Bookmark_para_49_7"/>
      <w:bookmarkStart w:id="6430" w:name="Bookmark_I5PJP99Y2HM6N60020000400"/>
      <w:bookmarkStart w:id="6431" w:name="Bookmark_I5PJP99Y2HM6N60040000400"/>
      <w:bookmarkStart w:id="6432" w:name="Bookmark_LNHNREFclscc16_8"/>
      <w:bookmarkEnd w:id="6429"/>
      <w:bookmarkEnd w:id="6430"/>
      <w:bookmarkEnd w:id="6431"/>
      <w:bookmarkEnd w:id="6432"/>
      <w:r>
        <w:rPr>
          <w:rFonts w:ascii="Arial" w:eastAsia="Arial" w:hAnsi="Arial" w:cs="Arial"/>
          <w:color w:val="000000"/>
          <w:sz w:val="20"/>
        </w:rPr>
        <w:t xml:space="preserve">A public entity may be liable for damages under Title II of the ADA or § 504 of the Rehabilitation Act "if it intentionally or with deliberate indifference fails to provide meaningful access or reasonable accommodation to disabled persons." </w:t>
      </w:r>
      <w:bookmarkStart w:id="6433" w:name="Bookmark_I5PJP99Y2HM6N60010000400"/>
      <w:bookmarkEnd w:id="6433"/>
      <w:r>
        <w:rPr>
          <w:rFonts w:ascii="Arial" w:eastAsia="Arial" w:hAnsi="Arial" w:cs="Arial"/>
          <w:i/>
          <w:color w:val="000000"/>
          <w:sz w:val="20"/>
        </w:rPr>
        <w:t>Mark H. v. Lemahieu</w:t>
      </w:r>
      <w:r>
        <w:rPr>
          <w:rFonts w:ascii="Arial" w:eastAsia="Arial" w:hAnsi="Arial" w:cs="Arial"/>
          <w:color w:val="000000"/>
          <w:sz w:val="20"/>
        </w:rPr>
        <w:t xml:space="preserve">, 513 F.3d 922, 937-38 (9th Cir. 2008). The "failure to provide reasonable accommodation can constitute discrimination." </w:t>
      </w:r>
      <w:bookmarkStart w:id="6434" w:name="Bookmark_I5PJP99Y2HM6N60030000400"/>
      <w:bookmarkEnd w:id="6434"/>
      <w:r>
        <w:rPr>
          <w:rFonts w:ascii="Arial" w:eastAsia="Arial" w:hAnsi="Arial" w:cs="Arial"/>
          <w:i/>
          <w:color w:val="000000"/>
          <w:sz w:val="20"/>
        </w:rPr>
        <w:t>Vinson v. Thomas</w:t>
      </w:r>
      <w:r>
        <w:rPr>
          <w:rFonts w:ascii="Arial" w:eastAsia="Arial" w:hAnsi="Arial" w:cs="Arial"/>
          <w:color w:val="000000"/>
          <w:sz w:val="20"/>
        </w:rPr>
        <w:t>, 288 F.3d 1145, 1154 (9th Cir. 2002). A public entity may not disregard the plight and distress of a disabled individual.</w:t>
      </w:r>
    </w:p>
    <w:p w:rsidR="00E456CD" w:rsidRDefault="00000000">
      <w:pPr>
        <w:pStyle w:val="Normal41"/>
        <w:widowControl w:val="0"/>
        <w:spacing w:before="200" w:line="260" w:lineRule="atLeast"/>
        <w:jc w:val="both"/>
      </w:pPr>
      <w:bookmarkStart w:id="6435" w:name="Bookmark_para_50_7"/>
      <w:bookmarkEnd w:id="6435"/>
      <w:r>
        <w:rPr>
          <w:rFonts w:ascii="Arial" w:eastAsia="Arial" w:hAnsi="Arial" w:cs="Arial"/>
          <w:color w:val="000000"/>
          <w:sz w:val="20"/>
        </w:rPr>
        <w:t xml:space="preserve">The parties do not dispute that Updike is a qualified individual with a disability and that, as a detainee at the detention facility, he was otherwise qualified to receive the services and benefits of the public entity. </w:t>
      </w:r>
      <w:bookmarkStart w:id="6436" w:name="Bookmark_I5PJP99Y28T3XR0010000400"/>
      <w:bookmarkEnd w:id="6436"/>
      <w:r>
        <w:rPr>
          <w:rFonts w:ascii="Arial" w:eastAsia="Arial" w:hAnsi="Arial" w:cs="Arial"/>
          <w:color w:val="000000"/>
          <w:sz w:val="20"/>
        </w:rPr>
        <w:t xml:space="preserve">Instead, the parties dispute whether Updike was intentionally discriminated against when his requested accommodations were denied or when accommodation was not provided. Because Updike's ADA and § 504 claims do not differ in any respect relevant to resolving this appeal, and no party asserts that any distinctions are material, we address the [**24]  ADA and § 504 claims together. </w:t>
      </w:r>
      <w:r>
        <w:rPr>
          <w:rFonts w:ascii="Arial" w:eastAsia="Arial" w:hAnsi="Arial" w:cs="Arial"/>
          <w:i/>
          <w:color w:val="000000"/>
          <w:sz w:val="20"/>
        </w:rPr>
        <w:t xml:space="preserve">See </w:t>
      </w:r>
      <w:bookmarkStart w:id="6437" w:name="Bookmark_I5PJP99Y2HM6N60050000400"/>
      <w:bookmarkEnd w:id="6437"/>
      <w:r>
        <w:rPr>
          <w:rFonts w:ascii="Arial" w:eastAsia="Arial" w:hAnsi="Arial" w:cs="Arial"/>
          <w:i/>
          <w:color w:val="000000"/>
          <w:sz w:val="20"/>
        </w:rPr>
        <w:t>Duvall</w:t>
      </w:r>
      <w:r>
        <w:rPr>
          <w:rFonts w:ascii="Arial" w:eastAsia="Arial" w:hAnsi="Arial" w:cs="Arial"/>
          <w:color w:val="000000"/>
          <w:sz w:val="20"/>
        </w:rPr>
        <w:t>, 260 F.3d at 1135-36.</w:t>
      </w:r>
    </w:p>
    <w:p w:rsidR="00E456CD" w:rsidRDefault="00000000">
      <w:pPr>
        <w:pStyle w:val="Normal41"/>
        <w:widowControl w:val="0"/>
        <w:spacing w:before="240" w:line="260" w:lineRule="atLeast"/>
      </w:pPr>
      <w:r>
        <w:br/>
      </w:r>
      <w:r>
        <w:rPr>
          <w:rFonts w:ascii="Arial" w:eastAsia="Arial" w:hAnsi="Arial" w:cs="Arial"/>
          <w:b/>
          <w:color w:val="000000"/>
          <w:sz w:val="20"/>
        </w:rPr>
        <w:t>B</w:t>
      </w:r>
    </w:p>
    <w:p w:rsidR="00E456CD" w:rsidRDefault="00000000">
      <w:pPr>
        <w:pStyle w:val="Normal41"/>
        <w:widowControl w:val="0"/>
        <w:spacing w:before="200" w:line="260" w:lineRule="atLeast"/>
        <w:jc w:val="both"/>
      </w:pPr>
      <w:bookmarkStart w:id="6438" w:name="Bookmark_para_51_7"/>
      <w:bookmarkEnd w:id="6438"/>
      <w:r>
        <w:rPr>
          <w:rFonts w:ascii="Arial" w:eastAsia="Arial" w:hAnsi="Arial" w:cs="Arial"/>
          <w:color w:val="000000"/>
          <w:sz w:val="20"/>
        </w:rPr>
        <w:t>The thrust of Updike's allegations against the State is that the State failed to arrange for an ASL interpreter at Updike's first criminal court appearance. As a result, Updike had to stay at MCIJ for an additional evening, and he complains that he could have been released earlier if an ASL interpreter had been provided on January 15, 2013, the date of his first arraignment hearing. The district court concluded that Updike did not show that the State acted with deliberate indifference. The State gave evidence that in setting Updike's arraignment, it reviewed the booking register, which did not note his need for an interpreter, but not the pretrial release report, which did note Updike's need for an interpreter.</w:t>
      </w:r>
    </w:p>
    <w:p w:rsidR="00E456CD" w:rsidRDefault="00000000">
      <w:pPr>
        <w:pStyle w:val="Normal41"/>
        <w:widowControl w:val="0"/>
        <w:spacing w:before="200" w:line="260" w:lineRule="atLeast"/>
        <w:jc w:val="both"/>
      </w:pPr>
      <w:bookmarkStart w:id="6439" w:name="Bookmark_para_52_7"/>
      <w:bookmarkStart w:id="6440" w:name="Bookmark_I833DBR4N6X00002S1N0036Y"/>
      <w:bookmarkStart w:id="6441" w:name="Bookmark_I833DBR4PMV00002S1N00370"/>
      <w:bookmarkStart w:id="6442" w:name="Bookmark_I5PJP99Y28T3XR0030000400"/>
      <w:bookmarkEnd w:id="6439"/>
      <w:bookmarkEnd w:id="6440"/>
      <w:bookmarkEnd w:id="6441"/>
      <w:bookmarkEnd w:id="6442"/>
      <w:r>
        <w:rPr>
          <w:rFonts w:ascii="Arial" w:eastAsia="Arial" w:hAnsi="Arial" w:cs="Arial"/>
          <w:color w:val="000000"/>
          <w:sz w:val="20"/>
        </w:rPr>
        <w:t xml:space="preserve">Updike relies on </w:t>
      </w:r>
      <w:bookmarkStart w:id="6443" w:name="Bookmark_I5PJP99Y28T3XR0020000400"/>
      <w:bookmarkEnd w:id="6443"/>
      <w:r>
        <w:rPr>
          <w:rFonts w:ascii="Arial" w:eastAsia="Arial" w:hAnsi="Arial" w:cs="Arial"/>
          <w:i/>
          <w:color w:val="000000"/>
          <w:sz w:val="20"/>
        </w:rPr>
        <w:t>Robertson v. Las Animas County Sheriff's Department</w:t>
      </w:r>
      <w:r>
        <w:rPr>
          <w:rFonts w:ascii="Arial" w:eastAsia="Arial" w:hAnsi="Arial" w:cs="Arial"/>
          <w:color w:val="000000"/>
          <w:sz w:val="20"/>
        </w:rPr>
        <w:t xml:space="preserve">, 500 F.3d 1185, 1199 (10th Cir. 2007) and </w:t>
      </w:r>
      <w:bookmarkStart w:id="6444" w:name="Bookmark_I5PJP99Y28T3XR0040000400"/>
      <w:bookmarkEnd w:id="6444"/>
      <w:r>
        <w:rPr>
          <w:rFonts w:ascii="Arial" w:eastAsia="Arial" w:hAnsi="Arial" w:cs="Arial"/>
          <w:i/>
          <w:color w:val="000000"/>
          <w:sz w:val="20"/>
        </w:rPr>
        <w:t>Chisolm v. McManimon</w:t>
      </w:r>
      <w:r>
        <w:rPr>
          <w:rFonts w:ascii="Arial" w:eastAsia="Arial" w:hAnsi="Arial" w:cs="Arial"/>
          <w:color w:val="000000"/>
          <w:sz w:val="20"/>
        </w:rPr>
        <w:t xml:space="preserve">, 275 F.3d 315, 330 (3d Cir. 2001) to argue that he was denied the ability to participate at the January 15, 2013 arraignment. </w:t>
      </w:r>
      <w:bookmarkStart w:id="6445" w:name="Bookmark_I5PJP99Y2SF7KF0020000400"/>
      <w:bookmarkEnd w:id="6445"/>
      <w:r>
        <w:rPr>
          <w:rFonts w:ascii="Arial" w:eastAsia="Arial" w:hAnsi="Arial" w:cs="Arial"/>
          <w:color w:val="000000"/>
          <w:sz w:val="20"/>
        </w:rPr>
        <w:t xml:space="preserve">Both cases involved deaf or hearing impaired individuals who made court appearances without ASL interpreters. But neither out-of-circuit case discussed our circuit's heightened requirement for a plaintiff to establish that the discrimination was committed with deliberate indifference in order to recover monetary damages under the ADA or § 504. [**25]  </w:t>
      </w:r>
      <w:bookmarkStart w:id="6446" w:name="Bookmark_I5PJP99Y2SF7KF0020000400_2"/>
      <w:bookmarkEnd w:id="6446"/>
      <w:r>
        <w:rPr>
          <w:rFonts w:ascii="Arial" w:eastAsia="Arial" w:hAnsi="Arial" w:cs="Arial"/>
          <w:i/>
          <w:color w:val="000000"/>
          <w:sz w:val="20"/>
        </w:rPr>
        <w:t xml:space="preserve">See </w:t>
      </w:r>
      <w:bookmarkStart w:id="6447" w:name="Bookmark_I5PJP99Y2SF7KF0010000400"/>
      <w:bookmarkEnd w:id="6447"/>
      <w:r>
        <w:rPr>
          <w:rFonts w:ascii="Arial" w:eastAsia="Arial" w:hAnsi="Arial" w:cs="Arial"/>
          <w:i/>
          <w:color w:val="000000"/>
          <w:sz w:val="20"/>
        </w:rPr>
        <w:t>Duvall</w:t>
      </w:r>
      <w:r>
        <w:rPr>
          <w:rFonts w:ascii="Arial" w:eastAsia="Arial" w:hAnsi="Arial" w:cs="Arial"/>
          <w:color w:val="000000"/>
          <w:sz w:val="20"/>
        </w:rPr>
        <w:t>, 260 F.3d at 1138-39. We have explained deliberate indifference as follows:</w:t>
      </w:r>
    </w:p>
    <w:p w:rsidR="00E456CD" w:rsidRDefault="00000000">
      <w:pPr>
        <w:pStyle w:val="Normal41"/>
        <w:widowControl w:val="0"/>
        <w:spacing w:before="200" w:line="260" w:lineRule="atLeast"/>
        <w:ind w:left="400"/>
        <w:jc w:val="both"/>
      </w:pPr>
      <w:bookmarkStart w:id="6448" w:name="Bookmark_para_53_7"/>
      <w:bookmarkStart w:id="6449" w:name="Bookmark_I4GSWX1RD770010DC99002BW"/>
      <w:bookmarkStart w:id="6450" w:name="Bookmark_I5PJP99Y2SF7KF0040000400"/>
      <w:bookmarkStart w:id="6451" w:name="Bookmark_LNHNREFclscc17_7"/>
      <w:bookmarkEnd w:id="6448"/>
      <w:bookmarkEnd w:id="6449"/>
      <w:bookmarkEnd w:id="6450"/>
      <w:bookmarkEnd w:id="6451"/>
      <w:r>
        <w:rPr>
          <w:rFonts w:ascii="Arial" w:eastAsia="Arial" w:hAnsi="Arial" w:cs="Arial"/>
          <w:color w:val="000000"/>
          <w:sz w:val="20"/>
        </w:rPr>
        <w:t>Because in some instances events may be attributable to bureaucratic slippage that constitutes negligence rather than deliberate action or inaction, we have stated that deliberate indifference does not occur where a duty to act may simply have been overlooked, or a complaint may reasonably have been deemed to result from events taking their normal course. Rather, in order to meet the second element of the deliberate indifference  [*952]  test, a failure to act must be a result of conduct that is more than negligent, and involves an element of deliberateness.</w:t>
      </w:r>
    </w:p>
    <w:p w:rsidR="00E456CD" w:rsidRDefault="00000000">
      <w:pPr>
        <w:pStyle w:val="Normal41"/>
        <w:widowControl w:val="0"/>
        <w:spacing w:before="200" w:line="260" w:lineRule="atLeast"/>
        <w:jc w:val="both"/>
      </w:pPr>
      <w:bookmarkStart w:id="6452" w:name="Bookmark_I5PJP99Y2SF7KF0040000400_2"/>
      <w:bookmarkStart w:id="6453" w:name="Bookmark_I5PJP99Y2SF7KF0030000400"/>
      <w:bookmarkEnd w:id="6452"/>
      <w:bookmarkEnd w:id="6453"/>
      <w:r>
        <w:rPr>
          <w:rFonts w:ascii="Arial" w:eastAsia="Arial" w:hAnsi="Arial" w:cs="Arial"/>
          <w:i/>
          <w:color w:val="000000"/>
          <w:sz w:val="20"/>
        </w:rPr>
        <w:t>Id.</w:t>
      </w:r>
      <w:r>
        <w:rPr>
          <w:rFonts w:ascii="Arial" w:eastAsia="Arial" w:hAnsi="Arial" w:cs="Arial"/>
          <w:color w:val="000000"/>
          <w:sz w:val="20"/>
        </w:rPr>
        <w:t xml:space="preserve"> at 1139.</w:t>
      </w:r>
    </w:p>
    <w:p w:rsidR="00E456CD" w:rsidRDefault="00000000">
      <w:pPr>
        <w:pStyle w:val="Normal41"/>
        <w:widowControl w:val="0"/>
        <w:spacing w:before="200" w:line="260" w:lineRule="atLeast"/>
        <w:jc w:val="both"/>
      </w:pPr>
      <w:bookmarkStart w:id="6454" w:name="Bookmark_para_54_7"/>
      <w:bookmarkEnd w:id="6454"/>
      <w:r>
        <w:rPr>
          <w:rFonts w:ascii="Arial" w:eastAsia="Arial" w:hAnsi="Arial" w:cs="Arial"/>
          <w:color w:val="000000"/>
          <w:sz w:val="20"/>
        </w:rPr>
        <w:t xml:space="preserve">We conclude that the district court correctly granted summary judgment for the State on this issue. This case reflects an absence of effective communication and coordination between the County's pretrial services and employees at OJD about the need for an interpreter at Updike's arraignment. While it is regrettable that it appears that Updike spent an extra night in jail that he likely would not have had to spend had he been provided an ASL interpreter the first time he appeared before Judge Dailey, there is no evidence that the State deliberately failed to order an interpreter [**26]  at the January 15, 2013 arraignment. Instead, the evidence shows "bureaucratic slippage that constitutes negligence rather than deliberate action or inaction." </w:t>
      </w:r>
      <w:r>
        <w:rPr>
          <w:rFonts w:ascii="Arial" w:eastAsia="Arial" w:hAnsi="Arial" w:cs="Arial"/>
          <w:i/>
          <w:color w:val="000000"/>
          <w:sz w:val="20"/>
        </w:rPr>
        <w:t>Id.</w:t>
      </w:r>
      <w:r>
        <w:rPr>
          <w:rFonts w:ascii="Arial" w:eastAsia="Arial" w:hAnsi="Arial" w:cs="Arial"/>
          <w:color w:val="000000"/>
          <w:sz w:val="20"/>
        </w:rPr>
        <w:t xml:space="preserve"> Since Updike's first arraignment, the County and State have reviewed their procedures and taken the appropriate corrective action, such that this "bureaucratic slippage" is likely to be avoided in the future. Similarly, pretrial services has modified their procedures such that the booking register now provides the necessary notice for accommodations.</w:t>
      </w:r>
    </w:p>
    <w:p w:rsidR="00E456CD" w:rsidRDefault="00000000">
      <w:pPr>
        <w:pStyle w:val="Normal41"/>
        <w:widowControl w:val="0"/>
        <w:spacing w:before="200" w:line="260" w:lineRule="atLeast"/>
        <w:jc w:val="both"/>
      </w:pPr>
      <w:bookmarkStart w:id="6455" w:name="Bookmark_para_55_7"/>
      <w:bookmarkEnd w:id="6455"/>
      <w:r>
        <w:rPr>
          <w:rFonts w:ascii="Arial" w:eastAsia="Arial" w:hAnsi="Arial" w:cs="Arial"/>
          <w:color w:val="000000"/>
          <w:sz w:val="20"/>
        </w:rPr>
        <w:t>There is no evidence that the State's failure to provide an ASL interpreter was the result of deliberate indifference. We accordingly affirm the district court's holding that summary judgment in favor of the State is appropriate on Updike's claims under the ADA and § 504.</w:t>
      </w:r>
    </w:p>
    <w:p w:rsidR="00E456CD" w:rsidRDefault="00000000">
      <w:pPr>
        <w:pStyle w:val="Normal41"/>
        <w:widowControl w:val="0"/>
        <w:spacing w:before="240" w:line="260" w:lineRule="atLeast"/>
      </w:pPr>
      <w:r>
        <w:br/>
      </w:r>
      <w:r>
        <w:rPr>
          <w:rFonts w:ascii="Arial" w:eastAsia="Arial" w:hAnsi="Arial" w:cs="Arial"/>
          <w:b/>
          <w:color w:val="000000"/>
          <w:sz w:val="20"/>
        </w:rPr>
        <w:t>C</w:t>
      </w:r>
    </w:p>
    <w:p w:rsidR="00E456CD" w:rsidRDefault="00000000">
      <w:pPr>
        <w:pStyle w:val="Normal41"/>
        <w:widowControl w:val="0"/>
        <w:spacing w:before="200" w:line="260" w:lineRule="atLeast"/>
        <w:jc w:val="both"/>
      </w:pPr>
      <w:bookmarkStart w:id="6456" w:name="Bookmark_para_56_7"/>
      <w:bookmarkEnd w:id="6456"/>
      <w:r>
        <w:rPr>
          <w:rFonts w:ascii="Arial" w:eastAsia="Arial" w:hAnsi="Arial" w:cs="Arial"/>
          <w:color w:val="000000"/>
          <w:sz w:val="20"/>
        </w:rPr>
        <w:t>Along with alleging that the County failed to arrange for an ASL interpreter at Updike's arraignment, Updike alleges that the County did not provide him with an ASL interpreter and other auxiliary aids in order to effectively communicate while he was in pretrial detainment and under pretrial supervision. The district court held that Updike could have, but did not, provide the County notice of this conduct that allegedly [**27]  violated the ADA and § 504 and that summary judgment was warranted on this ground. The district court, however, went on to review Updike's allegations and found that there was no evidence in the record creating a genuine issue as to whether the County intentionally violated the ADA or the Rehabilitation Act. As to Updike's ADA and § 504 claims for damages against the County, we reverse.</w:t>
      </w:r>
    </w:p>
    <w:p w:rsidR="00E456CD" w:rsidRDefault="00000000">
      <w:pPr>
        <w:pStyle w:val="Normal41"/>
        <w:widowControl w:val="0"/>
        <w:spacing w:before="240" w:line="260" w:lineRule="atLeast"/>
      </w:pPr>
      <w:r>
        <w:br/>
      </w:r>
      <w:r>
        <w:rPr>
          <w:rFonts w:ascii="Arial" w:eastAsia="Arial" w:hAnsi="Arial" w:cs="Arial"/>
          <w:b/>
          <w:color w:val="000000"/>
          <w:sz w:val="20"/>
        </w:rPr>
        <w:t>1</w:t>
      </w:r>
    </w:p>
    <w:p w:rsidR="00E456CD" w:rsidRDefault="00000000">
      <w:pPr>
        <w:pStyle w:val="Normal41"/>
        <w:widowControl w:val="0"/>
        <w:spacing w:before="200" w:line="260" w:lineRule="atLeast"/>
        <w:jc w:val="both"/>
      </w:pPr>
      <w:bookmarkStart w:id="6457" w:name="Bookmark_para_57_7"/>
      <w:bookmarkStart w:id="6458" w:name="Bookmark_I833DBR4W2V00002S1N00373"/>
      <w:bookmarkStart w:id="6459" w:name="Bookmark_I833DBR4XGN00002S1N00374"/>
      <w:bookmarkStart w:id="6460" w:name="Bookmark_I5PJP99Y28T3XT0010000400"/>
      <w:bookmarkStart w:id="6461" w:name="Bookmark_I5PJP99Y28T3XT0050000400"/>
      <w:bookmarkStart w:id="6462" w:name="Bookmark_LNHNREFclscc18_7"/>
      <w:bookmarkEnd w:id="6457"/>
      <w:bookmarkEnd w:id="6458"/>
      <w:bookmarkEnd w:id="6459"/>
      <w:bookmarkEnd w:id="6460"/>
      <w:bookmarkEnd w:id="6461"/>
      <w:bookmarkEnd w:id="6462"/>
      <w:r>
        <w:rPr>
          <w:rFonts w:ascii="Arial" w:eastAsia="Arial" w:hAnsi="Arial" w:cs="Arial"/>
          <w:color w:val="000000"/>
          <w:sz w:val="20"/>
        </w:rPr>
        <w:t xml:space="preserve">"Federal Rule of Civil Procedure 8(a)(2) requires that the allegations in the complaint 'give the defendant fair notice of what the plaintiff's claim is and the grounds upon which it rests.'" </w:t>
      </w:r>
      <w:bookmarkStart w:id="6463" w:name="Bookmark_I5PJP99Y2SF7KF0050000400"/>
      <w:bookmarkEnd w:id="6463"/>
      <w:r>
        <w:rPr>
          <w:rFonts w:ascii="Arial" w:eastAsia="Arial" w:hAnsi="Arial" w:cs="Arial"/>
          <w:i/>
          <w:color w:val="000000"/>
          <w:sz w:val="20"/>
        </w:rPr>
        <w:t>Pickern v. Pier 1 Imps. (U.S.), Inc.</w:t>
      </w:r>
      <w:r>
        <w:rPr>
          <w:rFonts w:ascii="Arial" w:eastAsia="Arial" w:hAnsi="Arial" w:cs="Arial"/>
          <w:color w:val="000000"/>
          <w:sz w:val="20"/>
        </w:rPr>
        <w:t xml:space="preserve">, 457 F.3d 963, 968 (9th Cir. 2006) (quoting </w:t>
      </w:r>
      <w:bookmarkStart w:id="6464" w:name="Bookmark_I5PJP99Y28T3XT0020000400"/>
      <w:bookmarkEnd w:id="6464"/>
      <w:r>
        <w:rPr>
          <w:rFonts w:ascii="Arial" w:eastAsia="Arial" w:hAnsi="Arial" w:cs="Arial"/>
          <w:i/>
          <w:color w:val="000000"/>
          <w:sz w:val="20"/>
        </w:rPr>
        <w:t>Swierkiewicz v. Sorema N.A.</w:t>
      </w:r>
      <w:r>
        <w:rPr>
          <w:rFonts w:ascii="Arial" w:eastAsia="Arial" w:hAnsi="Arial" w:cs="Arial"/>
          <w:color w:val="000000"/>
          <w:sz w:val="20"/>
        </w:rPr>
        <w:t xml:space="preserve">, 534 U.S. 506, 512, 122 S. Ct. 992, 152 L. Ed. 2d 1, (2002)). "[S]ummary judgment is not a procedural second chance to flesh out inadequate pleadings." </w:t>
      </w:r>
      <w:bookmarkStart w:id="6465" w:name="Bookmark_I5PJP99Y28T3XT0040000400"/>
      <w:bookmarkEnd w:id="6465"/>
      <w:r>
        <w:rPr>
          <w:rFonts w:ascii="Arial" w:eastAsia="Arial" w:hAnsi="Arial" w:cs="Arial"/>
          <w:i/>
          <w:color w:val="000000"/>
          <w:sz w:val="20"/>
        </w:rPr>
        <w:t>Wasco Prods., Inc. v. Southwall Techs., Inc.</w:t>
      </w:r>
      <w:r>
        <w:rPr>
          <w:rFonts w:ascii="Arial" w:eastAsia="Arial" w:hAnsi="Arial" w:cs="Arial"/>
          <w:color w:val="000000"/>
          <w:sz w:val="20"/>
        </w:rPr>
        <w:t>, 435 F.3d 989, 992 (9th Cir. 2006).</w:t>
      </w:r>
    </w:p>
    <w:p w:rsidR="00E456CD" w:rsidRDefault="00000000">
      <w:pPr>
        <w:pStyle w:val="Normal41"/>
        <w:widowControl w:val="0"/>
        <w:spacing w:before="200" w:line="260" w:lineRule="atLeast"/>
        <w:jc w:val="both"/>
      </w:pPr>
      <w:bookmarkStart w:id="6466" w:name="Bookmark_para_58_7"/>
      <w:bookmarkEnd w:id="6466"/>
      <w:r>
        <w:rPr>
          <w:rFonts w:ascii="Arial" w:eastAsia="Arial" w:hAnsi="Arial" w:cs="Arial"/>
          <w:color w:val="000000"/>
          <w:sz w:val="20"/>
        </w:rPr>
        <w:t>The district court found that Updike raised several specific factual allegations in his declaration opposing the County's motion for summary judgment, submitted after the close of discovery, that were not previously raised in his complaint, including:</w:t>
      </w:r>
    </w:p>
    <w:p w:rsidR="00E456CD" w:rsidRDefault="00000000">
      <w:pPr>
        <w:pStyle w:val="Normal41"/>
        <w:widowControl w:val="0"/>
        <w:spacing w:line="260" w:lineRule="atLeast"/>
        <w:ind w:left="400"/>
        <w:jc w:val="both"/>
      </w:pPr>
      <w:bookmarkStart w:id="6467" w:name="Bookmark_para_59_7"/>
      <w:bookmarkEnd w:id="6467"/>
      <w:r>
        <w:rPr>
          <w:rFonts w:ascii="Arial" w:eastAsia="Arial" w:hAnsi="Arial" w:cs="Arial"/>
          <w:color w:val="000000"/>
          <w:sz w:val="20"/>
        </w:rPr>
        <w:t>Plaintiff's requests: (1) for an auxiliary aid to make telephone calls; (2) for an ASL interpreter to speak with Nurse Julie Nielson; (3) for closed captioning to be turned on for the [j]ail televisions; and (4) for an ASL interpreter for his meetings with pre-trial services.</w:t>
      </w:r>
    </w:p>
    <w:p w:rsidR="00E456CD" w:rsidRDefault="00000000">
      <w:pPr>
        <w:pStyle w:val="Normal41"/>
        <w:widowControl w:val="0"/>
        <w:spacing w:before="200" w:line="260" w:lineRule="atLeast"/>
        <w:jc w:val="both"/>
      </w:pPr>
      <w:r>
        <w:rPr>
          <w:rFonts w:ascii="Arial" w:eastAsia="Arial" w:hAnsi="Arial" w:cs="Arial"/>
          <w:color w:val="000000"/>
          <w:sz w:val="20"/>
        </w:rPr>
        <w:t> [*953]  The district court concluded that Updike's failure to provide the County with adequate [**28]  notice of additional allegations warranted summary judgment on Updike's ADA and § 504 claims on these allegations.</w:t>
      </w:r>
    </w:p>
    <w:p w:rsidR="00E456CD" w:rsidRDefault="00000000">
      <w:pPr>
        <w:pStyle w:val="Normal41"/>
        <w:widowControl w:val="0"/>
        <w:spacing w:before="200" w:line="260" w:lineRule="atLeast"/>
        <w:jc w:val="both"/>
      </w:pPr>
      <w:bookmarkStart w:id="6468" w:name="Bookmark_para_60_7"/>
      <w:bookmarkEnd w:id="6468"/>
      <w:r>
        <w:rPr>
          <w:rFonts w:ascii="Arial" w:eastAsia="Arial" w:hAnsi="Arial" w:cs="Arial"/>
          <w:color w:val="000000"/>
          <w:sz w:val="20"/>
        </w:rPr>
        <w:t>We disagree. Although the primary focus of Updike's complaint was on the ASL interpreter that was not provided at his arraignment on January 15, 2013, Updike's complaint gave sufficient factual allegations describing the County's failure to provide auxiliary aids and services while Updike was detained and under pretrial supervision to put the County on notice that those inactions would be at issue. For example, Updike's complaint stated that while Updike was at MCDC he requested an ASL interpreter and a TTY but neither was provided. He further alleged that he was directed to write a statement without the accommodations of a TTY or an ASL interpreter. The complaint went on to allege that the County did not provide Updike with an ASL interpreter while he was held at MCIJ.</w:t>
      </w:r>
    </w:p>
    <w:p w:rsidR="00E456CD" w:rsidRDefault="00000000">
      <w:pPr>
        <w:pStyle w:val="Normal41"/>
        <w:widowControl w:val="0"/>
        <w:spacing w:before="200" w:line="260" w:lineRule="atLeast"/>
        <w:jc w:val="both"/>
      </w:pPr>
      <w:bookmarkStart w:id="6469" w:name="Bookmark_para_61_7"/>
      <w:bookmarkEnd w:id="6469"/>
      <w:r>
        <w:rPr>
          <w:rFonts w:ascii="Arial" w:eastAsia="Arial" w:hAnsi="Arial" w:cs="Arial"/>
          <w:color w:val="000000"/>
          <w:sz w:val="20"/>
        </w:rPr>
        <w:t>His complaint also alleged that while he awaited trial, he was under the supervision of employees of the County. He had requested an ASL interpreter to aid his communication, but the County did not accommodate this request. Updike repeated these allegations throughout his complaint:</w:t>
      </w:r>
    </w:p>
    <w:p w:rsidR="00E456CD" w:rsidRDefault="00000000">
      <w:pPr>
        <w:pStyle w:val="Normal41"/>
        <w:widowControl w:val="0"/>
        <w:spacing w:before="200" w:line="260" w:lineRule="atLeast"/>
        <w:ind w:left="400"/>
        <w:jc w:val="both"/>
      </w:pPr>
      <w:bookmarkStart w:id="6470" w:name="Bookmark_para_62_7"/>
      <w:bookmarkEnd w:id="6470"/>
      <w:r>
        <w:rPr>
          <w:rFonts w:ascii="Arial" w:eastAsia="Arial" w:hAnsi="Arial" w:cs="Arial"/>
          <w:color w:val="000000"/>
          <w:sz w:val="20"/>
        </w:rPr>
        <w:t>Defendant County denied Plaintiff the benefits [**29]  of Defendant's services and programs through failure to provide an ASL interpreter and failure to promptly provide a TTD while Plaintiff was in custody. Defendant County also failed to provide an ASL interpreter during Plaintiff's pretrial release while he was under the supervision of Defendant County's employees.</w:t>
      </w:r>
    </w:p>
    <w:p w:rsidR="00E456CD" w:rsidRDefault="00000000">
      <w:pPr>
        <w:pStyle w:val="Normal41"/>
        <w:widowControl w:val="0"/>
        <w:spacing w:before="200" w:line="260" w:lineRule="atLeast"/>
        <w:jc w:val="both"/>
      </w:pPr>
      <w:bookmarkStart w:id="6471" w:name="Bookmark_para_63_7"/>
      <w:bookmarkEnd w:id="6471"/>
      <w:r>
        <w:rPr>
          <w:rFonts w:ascii="Arial" w:eastAsia="Arial" w:hAnsi="Arial" w:cs="Arial"/>
          <w:color w:val="000000"/>
          <w:sz w:val="20"/>
        </w:rPr>
        <w:t>The complaint specifically alleged that the County denied Updike "effective communication by refusing to provide him with a qualified interpreter in circumstances involving the following types of communication which would be normal in criminal investigations and the arrest of a suspect." These circumstances included:</w:t>
      </w:r>
    </w:p>
    <w:p w:rsidR="00E456CD" w:rsidRDefault="00000000">
      <w:pPr>
        <w:pStyle w:val="Normal41"/>
        <w:widowControl w:val="0"/>
        <w:spacing w:before="200" w:line="260" w:lineRule="atLeast"/>
        <w:ind w:left="400"/>
        <w:jc w:val="both"/>
      </w:pPr>
      <w:bookmarkStart w:id="6472" w:name="Bookmark_para_64_7"/>
      <w:bookmarkEnd w:id="6472"/>
      <w:r>
        <w:rPr>
          <w:rFonts w:ascii="Arial" w:eastAsia="Arial" w:hAnsi="Arial" w:cs="Arial"/>
          <w:color w:val="000000"/>
          <w:sz w:val="20"/>
        </w:rPr>
        <w:t>explaining to the police the details of the incident and the alleged crime; discussing injuries; discussing damage to and loss of personal property; conveying and understanding one's rights as a crime victim; conveying and understanding one's rights as an arrestee and pretrial detainee; asserting the right to effective communication during booking and being held by a jail or correctional facility; asserting the right to an ASL interpreter for appearances in court; and asserting the right to effective communication with supervising County employees during pretrial [**30]  release.</w:t>
      </w:r>
    </w:p>
    <w:p w:rsidR="00E456CD" w:rsidRDefault="00000000">
      <w:pPr>
        <w:pStyle w:val="Normal41"/>
        <w:widowControl w:val="0"/>
        <w:spacing w:before="200" w:line="260" w:lineRule="atLeast"/>
        <w:jc w:val="both"/>
      </w:pPr>
      <w:bookmarkStart w:id="6473" w:name="Bookmark_para_65_6"/>
      <w:bookmarkStart w:id="6474" w:name="Bookmark_I4GSWX1RYHT0010DC99000T0"/>
      <w:bookmarkStart w:id="6475" w:name="Bookmark_I5PJP99Y28T3XW0020000400"/>
      <w:bookmarkEnd w:id="6473"/>
      <w:bookmarkEnd w:id="6474"/>
      <w:bookmarkEnd w:id="6475"/>
      <w:r>
        <w:rPr>
          <w:rFonts w:ascii="Arial" w:eastAsia="Arial" w:hAnsi="Arial" w:cs="Arial"/>
          <w:color w:val="000000"/>
          <w:sz w:val="20"/>
        </w:rPr>
        <w:t xml:space="preserve">Updike complied with the notice pleading requirement of Federal Rule of Civil Procedure 8. Updike alleged sufficient facts that the County did not accommodate his requests for an auxiliary aid to make telephone calls or for an ASL interpreter while in custody, such that the County should have been "on notice of the evidence it need[ed] to adduce in order to defend against [Updike's] allegations." </w:t>
      </w:r>
      <w:bookmarkStart w:id="6476" w:name="Bookmark_I5PJP99Y28T3XW0010000400"/>
      <w:bookmarkEnd w:id="6476"/>
      <w:r>
        <w:rPr>
          <w:rFonts w:ascii="Arial" w:eastAsia="Arial" w:hAnsi="Arial" w:cs="Arial"/>
          <w:i/>
          <w:color w:val="000000"/>
          <w:sz w:val="20"/>
        </w:rPr>
        <w:t>Coleman v. Quaker Oats Co.</w:t>
      </w:r>
      <w:r>
        <w:rPr>
          <w:rFonts w:ascii="Arial" w:eastAsia="Arial" w:hAnsi="Arial" w:cs="Arial"/>
          <w:color w:val="000000"/>
          <w:sz w:val="20"/>
        </w:rPr>
        <w:t xml:space="preserve">, 232 F.3d 1271, 1292 (9th Cir. 2000). Coupled with Updike's deposition testimony, the County was put on notice of the evidence it would need to defend against Updike's ADA and Rehabilitation Act claims. </w:t>
      </w:r>
      <w:r>
        <w:rPr>
          <w:rFonts w:ascii="Arial" w:eastAsia="Arial" w:hAnsi="Arial" w:cs="Arial"/>
          <w:i/>
          <w:color w:val="000000"/>
          <w:sz w:val="20"/>
        </w:rPr>
        <w:t>See id.</w:t>
      </w:r>
    </w:p>
    <w:p w:rsidR="00E456CD" w:rsidRDefault="00000000">
      <w:pPr>
        <w:pStyle w:val="Normal41"/>
        <w:widowControl w:val="0"/>
        <w:spacing w:before="240" w:line="260" w:lineRule="atLeast"/>
      </w:pPr>
      <w:r>
        <w:br/>
      </w:r>
      <w:r>
        <w:rPr>
          <w:rFonts w:ascii="Arial" w:eastAsia="Arial" w:hAnsi="Arial" w:cs="Arial"/>
          <w:b/>
          <w:color w:val="000000"/>
          <w:sz w:val="20"/>
        </w:rPr>
        <w:t>2</w:t>
      </w:r>
    </w:p>
    <w:p w:rsidR="00E456CD" w:rsidRDefault="00000000">
      <w:pPr>
        <w:pStyle w:val="Normal41"/>
        <w:widowControl w:val="0"/>
        <w:spacing w:before="200" w:line="260" w:lineRule="atLeast"/>
        <w:jc w:val="both"/>
      </w:pPr>
      <w:bookmarkStart w:id="6477" w:name="Bookmark_para_66_6"/>
      <w:bookmarkEnd w:id="6477"/>
      <w:r>
        <w:rPr>
          <w:rFonts w:ascii="Arial" w:eastAsia="Arial" w:hAnsi="Arial" w:cs="Arial"/>
          <w:color w:val="000000"/>
          <w:sz w:val="20"/>
        </w:rPr>
        <w:t>The district court also granted summary judgment on the alternative ground that there was insufficient evidence of intentional discrimination by the County against Updike.</w:t>
      </w:r>
    </w:p>
    <w:p w:rsidR="00E456CD" w:rsidRDefault="00000000">
      <w:pPr>
        <w:pStyle w:val="Normal41"/>
        <w:widowControl w:val="0"/>
        <w:spacing w:before="200" w:line="260" w:lineRule="atLeast"/>
        <w:jc w:val="both"/>
      </w:pPr>
      <w:bookmarkStart w:id="6478" w:name="Bookmark_para_67_6"/>
      <w:bookmarkStart w:id="6479" w:name="Bookmark_I5PJP99Y28T3XW0040000400"/>
      <w:bookmarkEnd w:id="6478"/>
      <w:bookmarkEnd w:id="6479"/>
      <w:r>
        <w:rPr>
          <w:rFonts w:ascii="Arial" w:eastAsia="Arial" w:hAnsi="Arial" w:cs="Arial"/>
          <w:color w:val="000000"/>
          <w:sz w:val="20"/>
        </w:rPr>
        <w:t xml:space="preserve">The County argues that not providing Updike with his preferred form of communication  [*954]  is not, by itself, a violation of the ADA or the Rehabilitation Act. The County emphasizes that each of the County employees believed Updike could effectively communicate without the use of an ASL interpreter or TTD/TTY device. Whether Updike could effectively communicate in English is disputed as Updike avers that ASL is his primary language, he does not consider himself to be bilingual in English, [**31]  he does not read or speak English well, and he is not proficient at reading lips. He contends that he was not able to communicate effectively with correctional staff because they did not provide appropriate accommodations. Other disputes central to this case include whether the County undertook "a fact-specific investigation to determine what constitutes a reasonable accommodation," </w:t>
      </w:r>
      <w:bookmarkStart w:id="6480" w:name="Bookmark_I5PJP99Y28T3XW0030000400"/>
      <w:bookmarkEnd w:id="6480"/>
      <w:r>
        <w:rPr>
          <w:rFonts w:ascii="Arial" w:eastAsia="Arial" w:hAnsi="Arial" w:cs="Arial"/>
          <w:i/>
          <w:color w:val="000000"/>
          <w:sz w:val="20"/>
        </w:rPr>
        <w:t>Duvall</w:t>
      </w:r>
      <w:r>
        <w:rPr>
          <w:rFonts w:ascii="Arial" w:eastAsia="Arial" w:hAnsi="Arial" w:cs="Arial"/>
          <w:color w:val="000000"/>
          <w:sz w:val="20"/>
        </w:rPr>
        <w:t>, 260 F.3d at 1139, and gave "primary consideration" to Updike's requests, 28 C.F.R. § 35.160(b)(2).</w:t>
      </w:r>
    </w:p>
    <w:p w:rsidR="00E456CD" w:rsidRDefault="00000000">
      <w:pPr>
        <w:pStyle w:val="Normal41"/>
        <w:widowControl w:val="0"/>
        <w:spacing w:before="200" w:line="260" w:lineRule="atLeast"/>
        <w:jc w:val="both"/>
      </w:pPr>
      <w:bookmarkStart w:id="6481" w:name="Bookmark_para_68_5"/>
      <w:bookmarkStart w:id="6482" w:name="Bookmark_I5PJP99Y2SF7KK0010000400"/>
      <w:bookmarkEnd w:id="6481"/>
      <w:bookmarkEnd w:id="6482"/>
      <w:r>
        <w:rPr>
          <w:rFonts w:ascii="Arial" w:eastAsia="Arial" w:hAnsi="Arial" w:cs="Arial"/>
          <w:color w:val="000000"/>
          <w:sz w:val="20"/>
        </w:rPr>
        <w:t xml:space="preserve">It is well-settled that </w:t>
      </w:r>
      <w:bookmarkStart w:id="6483" w:name="Bookmark_LNHNREFclscc19_5"/>
      <w:bookmarkEnd w:id="6483"/>
      <w:r>
        <w:rPr>
          <w:rFonts w:ascii="Arial" w:eastAsia="Arial" w:hAnsi="Arial" w:cs="Arial"/>
          <w:color w:val="000000"/>
          <w:sz w:val="20"/>
        </w:rPr>
        <w:t xml:space="preserve">Title II and § 504 "create a duty to gather sufficient information from the [disabled individual] and qualified experts as needed to determine what accommodations are necessary." </w:t>
      </w:r>
      <w:bookmarkStart w:id="6484" w:name="Bookmark_I5PJP99Y28T3XW0050000400"/>
      <w:bookmarkEnd w:id="6484"/>
      <w:r>
        <w:rPr>
          <w:rFonts w:ascii="Arial" w:eastAsia="Arial" w:hAnsi="Arial" w:cs="Arial"/>
          <w:i/>
          <w:color w:val="000000"/>
          <w:sz w:val="20"/>
        </w:rPr>
        <w:t>Duvall</w:t>
      </w:r>
      <w:r>
        <w:rPr>
          <w:rFonts w:ascii="Arial" w:eastAsia="Arial" w:hAnsi="Arial" w:cs="Arial"/>
          <w:color w:val="000000"/>
          <w:sz w:val="20"/>
        </w:rPr>
        <w:t xml:space="preserve">, 260 F.3d at 1139 (alteration in original) (quoting </w:t>
      </w:r>
      <w:bookmarkStart w:id="6485" w:name="Bookmark_I5PJP99Y2SF7KK0020000400"/>
      <w:bookmarkEnd w:id="6485"/>
      <w:r>
        <w:rPr>
          <w:rFonts w:ascii="Arial" w:eastAsia="Arial" w:hAnsi="Arial" w:cs="Arial"/>
          <w:i/>
          <w:color w:val="000000"/>
          <w:sz w:val="20"/>
        </w:rPr>
        <w:t>Wong v. Regents of the Univ. of Cal.</w:t>
      </w:r>
      <w:r>
        <w:rPr>
          <w:rFonts w:ascii="Arial" w:eastAsia="Arial" w:hAnsi="Arial" w:cs="Arial"/>
          <w:color w:val="000000"/>
          <w:sz w:val="20"/>
        </w:rPr>
        <w:t xml:space="preserve">, 192 F.3d 807, 818 (9th Cir. 1999)). </w:t>
      </w:r>
      <w:bookmarkStart w:id="6486" w:name="Bookmark_I5PJP99Y2SF7KK0050000400"/>
      <w:bookmarkEnd w:id="6486"/>
      <w:r>
        <w:rPr>
          <w:rFonts w:ascii="Arial" w:eastAsia="Arial" w:hAnsi="Arial" w:cs="Arial"/>
          <w:color w:val="000000"/>
          <w:sz w:val="20"/>
        </w:rPr>
        <w:t xml:space="preserve">Thus, a public entity "must consider the particular individual's need when conducting its investigation into what accommodations are reasonable." </w:t>
      </w:r>
      <w:r>
        <w:rPr>
          <w:rFonts w:ascii="Arial" w:eastAsia="Arial" w:hAnsi="Arial" w:cs="Arial"/>
          <w:i/>
          <w:color w:val="000000"/>
          <w:sz w:val="20"/>
        </w:rPr>
        <w:t>Id.</w:t>
      </w:r>
      <w:r>
        <w:rPr>
          <w:rFonts w:ascii="Arial" w:eastAsia="Arial" w:hAnsi="Arial" w:cs="Arial"/>
          <w:color w:val="000000"/>
          <w:sz w:val="20"/>
        </w:rPr>
        <w:t xml:space="preserve"> As explained above, to meet the deliberate indifference test for compensatory damages, the public entity must be on notice that an accommodation is required, and that the entity's failure to act involved an element of deliberateness. </w:t>
      </w:r>
      <w:r>
        <w:rPr>
          <w:rFonts w:ascii="Arial" w:eastAsia="Arial" w:hAnsi="Arial" w:cs="Arial"/>
          <w:i/>
          <w:color w:val="000000"/>
          <w:sz w:val="20"/>
        </w:rPr>
        <w:t>Id.</w:t>
      </w:r>
      <w:r>
        <w:rPr>
          <w:rFonts w:ascii="Arial" w:eastAsia="Arial" w:hAnsi="Arial" w:cs="Arial"/>
          <w:color w:val="000000"/>
          <w:sz w:val="20"/>
        </w:rPr>
        <w:t xml:space="preserve"> A denial of a request without investigation is sufficient to survive summary judgment on the question of deliberate indifference. </w:t>
      </w:r>
      <w:bookmarkStart w:id="6487" w:name="Bookmark_I5PJP99Y2SF7KK0050000400_2"/>
      <w:bookmarkEnd w:id="6487"/>
      <w:r>
        <w:rPr>
          <w:rFonts w:ascii="Arial" w:eastAsia="Arial" w:hAnsi="Arial" w:cs="Arial"/>
          <w:i/>
          <w:color w:val="000000"/>
          <w:sz w:val="20"/>
        </w:rPr>
        <w:t xml:space="preserve">See [**32]  </w:t>
      </w:r>
      <w:bookmarkStart w:id="6488" w:name="Bookmark_I5PJP99Y2SF7KK0040000400"/>
      <w:bookmarkEnd w:id="6488"/>
      <w:r>
        <w:rPr>
          <w:rFonts w:ascii="Arial" w:eastAsia="Arial" w:hAnsi="Arial" w:cs="Arial"/>
          <w:i/>
          <w:color w:val="000000"/>
          <w:sz w:val="20"/>
        </w:rPr>
        <w:t>id.</w:t>
      </w:r>
      <w:r>
        <w:rPr>
          <w:rFonts w:ascii="Arial" w:eastAsia="Arial" w:hAnsi="Arial" w:cs="Arial"/>
          <w:color w:val="000000"/>
          <w:sz w:val="20"/>
        </w:rPr>
        <w:t xml:space="preserve"> at 1140 ("[Plaintiff] provided sufficient evidence to create a triable issue as to whether [defendants] . . . had notice of his need for the accommodation involved and that they failed despite repeated requests to take the necessary action."). Here, there is no dispute that County employees were aware of Updike's disability. There is also no record evidence that the County properly investigated Updike's need for accommodation. We reverse the district court's grant of summary judgment on the ground that the County's failure to provide accommodations proceeded without conducting an adequate investigation of Updike's disability and the efficacy of other ways to communicate.</w:t>
      </w:r>
    </w:p>
    <w:p w:rsidR="00E456CD" w:rsidRDefault="00000000">
      <w:pPr>
        <w:pStyle w:val="Normal41"/>
        <w:widowControl w:val="0"/>
        <w:spacing w:before="200" w:line="260" w:lineRule="atLeast"/>
        <w:jc w:val="both"/>
      </w:pPr>
      <w:bookmarkStart w:id="6489" w:name="Bookmark_para_69_5"/>
      <w:bookmarkEnd w:id="6489"/>
      <w:r>
        <w:rPr>
          <w:rFonts w:ascii="Arial" w:eastAsia="Arial" w:hAnsi="Arial" w:cs="Arial"/>
          <w:color w:val="000000"/>
          <w:sz w:val="20"/>
        </w:rPr>
        <w:t>We also reverse the district court's grant of summary judgment on the ground that there are disputed issues of material fact as to whether, at each of Updike's requests for accommodation, the County's failure to provide an accommodation was done with deliberate indifference, rather than merely negligence.</w:t>
      </w:r>
      <w:r>
        <w:rPr>
          <w:rFonts w:ascii="Arial" w:eastAsia="Arial" w:hAnsi="Arial" w:cs="Arial"/>
          <w:vertAlign w:val="superscript"/>
        </w:rPr>
        <w:footnoteReference w:customMarkFollows="1" w:id="279"/>
        <w:t>6</w:t>
      </w:r>
    </w:p>
    <w:p w:rsidR="00E456CD" w:rsidRDefault="00000000">
      <w:pPr>
        <w:pStyle w:val="Normal41"/>
        <w:widowControl w:val="0"/>
        <w:spacing w:before="200" w:line="260" w:lineRule="atLeast"/>
        <w:jc w:val="both"/>
      </w:pPr>
      <w:bookmarkStart w:id="6495" w:name="Bookmark_para_70_3"/>
      <w:bookmarkEnd w:id="6495"/>
      <w:r>
        <w:rPr>
          <w:rFonts w:ascii="Arial" w:eastAsia="Arial" w:hAnsi="Arial" w:cs="Arial"/>
          <w:color w:val="000000"/>
          <w:sz w:val="20"/>
        </w:rPr>
        <w:t>These are the individual bases for Updike's ADA and § 504 claims:</w:t>
      </w:r>
    </w:p>
    <w:p w:rsidR="00E456CD" w:rsidRDefault="00000000">
      <w:pPr>
        <w:pStyle w:val="Normal41"/>
        <w:widowControl w:val="0"/>
        <w:spacing w:before="200" w:line="260" w:lineRule="atLeast"/>
        <w:jc w:val="both"/>
      </w:pPr>
      <w:bookmarkStart w:id="6496" w:name="Bookmark_para_71_3"/>
      <w:bookmarkEnd w:id="6496"/>
      <w:r>
        <w:rPr>
          <w:rFonts w:ascii="Arial" w:eastAsia="Arial" w:hAnsi="Arial" w:cs="Arial"/>
          <w:b/>
          <w:color w:val="000000"/>
          <w:sz w:val="20"/>
        </w:rPr>
        <w:t>Failure to provide an ASL interpreter or TTY during the booking process</w:t>
      </w:r>
      <w:r>
        <w:rPr>
          <w:rFonts w:ascii="Arial" w:eastAsia="Arial" w:hAnsi="Arial" w:cs="Arial"/>
          <w:color w:val="000000"/>
          <w:sz w:val="20"/>
        </w:rPr>
        <w:t xml:space="preserve">: During the booking process, Updike requested  [*955]  an ASL interpreter and also requested a TTY device [**33]  so he could make phone calls to his attorney and his mother. The district court dismissed this aspect of Updike's claim, explaining that Updike did not explain how the booking process would have been different in any material respect had he been provided with his preferred accommodation. This analysis, however, disregards the County's affirmative obligations to provide reasonable accommodations. Employees for the County were aware that Updike was deaf, and that Updike had requested an ASL interpreter and other auxiliary services. </w:t>
      </w:r>
      <w:bookmarkStart w:id="6497" w:name="Bookmark_I5PJP99Y2HM6NF0010000400"/>
      <w:bookmarkEnd w:id="6497"/>
      <w:r>
        <w:rPr>
          <w:rFonts w:ascii="Arial" w:eastAsia="Arial" w:hAnsi="Arial" w:cs="Arial"/>
          <w:color w:val="000000"/>
          <w:sz w:val="20"/>
        </w:rPr>
        <w:t xml:space="preserve">Furthermore, the County has a contract with Columbia Language Services for interpreting services. Taken together, a reasonable trier of fact could conclude that the County acted with deliberate indifference in denying a reasonable accommodation. </w:t>
      </w:r>
      <w:r>
        <w:rPr>
          <w:rFonts w:ascii="Arial" w:eastAsia="Arial" w:hAnsi="Arial" w:cs="Arial"/>
          <w:i/>
          <w:color w:val="000000"/>
          <w:sz w:val="20"/>
        </w:rPr>
        <w:t xml:space="preserve">See </w:t>
      </w:r>
      <w:bookmarkStart w:id="6498" w:name="Bookmark_I5PJP99Y28T3XX0050000400"/>
      <w:bookmarkEnd w:id="6498"/>
      <w:r>
        <w:rPr>
          <w:rFonts w:ascii="Arial" w:eastAsia="Arial" w:hAnsi="Arial" w:cs="Arial"/>
          <w:i/>
          <w:color w:val="000000"/>
          <w:sz w:val="20"/>
        </w:rPr>
        <w:t>id.</w:t>
      </w:r>
      <w:r>
        <w:rPr>
          <w:rFonts w:ascii="Arial" w:eastAsia="Arial" w:hAnsi="Arial" w:cs="Arial"/>
          <w:color w:val="000000"/>
          <w:sz w:val="20"/>
        </w:rPr>
        <w:t xml:space="preserve"> at 1136; </w:t>
      </w:r>
      <w:bookmarkStart w:id="6499" w:name="Bookmark_I5PJP99Y2HM6NF0020000400"/>
      <w:bookmarkEnd w:id="6499"/>
      <w:r>
        <w:rPr>
          <w:rFonts w:ascii="Arial" w:eastAsia="Arial" w:hAnsi="Arial" w:cs="Arial"/>
          <w:i/>
          <w:color w:val="000000"/>
          <w:sz w:val="20"/>
        </w:rPr>
        <w:t>Wong</w:t>
      </w:r>
      <w:r>
        <w:rPr>
          <w:rFonts w:ascii="Arial" w:eastAsia="Arial" w:hAnsi="Arial" w:cs="Arial"/>
          <w:color w:val="000000"/>
          <w:sz w:val="20"/>
        </w:rPr>
        <w:t>, 192 F.3d at 819 (explaining that the denial of a request for accommodation "without consulting [plaintiff] or any person at the University whose job it was to formulate appropriate accommodations" was "a conspicuous failure to carry out the obligation 'conscientiously' to explore possible accommodations"). A reasonable jury could conclude that an accommodation, such as an ASL interpreter or use of a TTY, was necessary for effective [**34]  communication during the booking process.</w:t>
      </w:r>
    </w:p>
    <w:p w:rsidR="00E456CD" w:rsidRDefault="00000000">
      <w:pPr>
        <w:pStyle w:val="Normal41"/>
        <w:widowControl w:val="0"/>
        <w:spacing w:before="200" w:line="260" w:lineRule="atLeast"/>
        <w:jc w:val="both"/>
      </w:pPr>
      <w:bookmarkStart w:id="6500" w:name="Bookmark_para_72_3"/>
      <w:bookmarkEnd w:id="6500"/>
      <w:r>
        <w:rPr>
          <w:rFonts w:ascii="Arial" w:eastAsia="Arial" w:hAnsi="Arial" w:cs="Arial"/>
          <w:b/>
          <w:color w:val="000000"/>
          <w:sz w:val="20"/>
        </w:rPr>
        <w:t>Failure to provide a TTD to make phone calls</w:t>
      </w:r>
      <w:r>
        <w:rPr>
          <w:rFonts w:ascii="Arial" w:eastAsia="Arial" w:hAnsi="Arial" w:cs="Arial"/>
          <w:color w:val="000000"/>
          <w:sz w:val="20"/>
        </w:rPr>
        <w:t>: Updike made many requests for corrections staff to provide him with a TTD or TTY device so he could call his mother or an attorney but avers that no such aid was ever provided. As the district court noted, the parties do not dispute that a TTY machine was available for inmates to use for telephone calls, and that Updike was never provided with a TTY machine until after the January 16, 2013 arraignment when he was released from custody. The district court reasoned that Updike failed to present any evidence that the County actually refused to provide him with a TTY machine. We disagree with the district court's conclusion that the County did not act with deliberate indifference in denying the request for a TTD or TTY. That Updike repeatedly requested a TTD, which was physically available at the jail, but was never provided such a device to assist making phone calls is evidence that the County denied him use of a TTD, creating a genuine issue of material fact on this issue. A trier of fact could conclude that the County acted with deliberate indifference in denying direct requests for this accommodation, [**35]  which would permit Updike to use telephones, a service routinely made available to non-deaf inmates.</w:t>
      </w:r>
    </w:p>
    <w:p w:rsidR="00E456CD" w:rsidRDefault="00000000">
      <w:pPr>
        <w:pStyle w:val="Normal41"/>
        <w:widowControl w:val="0"/>
        <w:spacing w:before="200" w:line="260" w:lineRule="atLeast"/>
        <w:jc w:val="both"/>
      </w:pPr>
      <w:bookmarkStart w:id="6501" w:name="Bookmark_para_73_3"/>
      <w:bookmarkEnd w:id="6501"/>
      <w:r>
        <w:rPr>
          <w:rFonts w:ascii="Arial" w:eastAsia="Arial" w:hAnsi="Arial" w:cs="Arial"/>
          <w:b/>
          <w:color w:val="000000"/>
          <w:sz w:val="20"/>
        </w:rPr>
        <w:t>Failure to turn on closed captioning on jail televisions</w:t>
      </w:r>
      <w:r>
        <w:rPr>
          <w:rFonts w:ascii="Arial" w:eastAsia="Arial" w:hAnsi="Arial" w:cs="Arial"/>
          <w:color w:val="000000"/>
          <w:sz w:val="20"/>
        </w:rPr>
        <w:t>: Updike asked MCDC officials to turn on closed captioning several times while in the custody of the County, but avers this request was not accommodated. Although the district court attributed this to an "unintentional oversight," Updike has introduced evidence that County jail employees were aware of Updike's disability, yet ignored his repeated requests to turn on closed captioning. Again, there is a genuine factual dispute on deliberate indifference.</w:t>
      </w:r>
    </w:p>
    <w:p w:rsidR="00E456CD" w:rsidRDefault="00000000">
      <w:pPr>
        <w:pStyle w:val="Normal41"/>
        <w:widowControl w:val="0"/>
        <w:spacing w:before="200" w:line="260" w:lineRule="atLeast"/>
        <w:jc w:val="both"/>
      </w:pPr>
      <w:bookmarkStart w:id="6502" w:name="Bookmark_para_74_3"/>
      <w:bookmarkEnd w:id="6502"/>
      <w:r>
        <w:rPr>
          <w:rFonts w:ascii="Arial" w:eastAsia="Arial" w:hAnsi="Arial" w:cs="Arial"/>
          <w:b/>
          <w:color w:val="000000"/>
          <w:sz w:val="20"/>
        </w:rPr>
        <w:t>Failure to provide an ASL interpreter during his medical evaluation</w:t>
      </w:r>
      <w:r>
        <w:rPr>
          <w:rFonts w:ascii="Arial" w:eastAsia="Arial" w:hAnsi="Arial" w:cs="Arial"/>
          <w:color w:val="000000"/>
          <w:sz w:val="20"/>
        </w:rPr>
        <w:t>: Under Updike's evidence, which should be credited on summary judgment, Updike requested an ASL interpreter while meeting with Nurse Nielsen, and could not convey that he had neck and back pain because of an inability to communicate. He also explained that he could not read well the form the nurse used and that he could not respond or give input. Although the County asserts that Updike was very literate, and that an accommodation through writing was sufficient to comply with the ADA, the County has not put forth evidence [**36]  showing that it looked into whether his  [*956]  request for accommodation could be granted without undue burden. Further, Updike disputes that the method of communication through writing was effective.</w:t>
      </w:r>
    </w:p>
    <w:p w:rsidR="00E456CD" w:rsidRDefault="00000000">
      <w:pPr>
        <w:pStyle w:val="Normal41"/>
        <w:widowControl w:val="0"/>
        <w:spacing w:before="200" w:line="260" w:lineRule="atLeast"/>
        <w:jc w:val="both"/>
      </w:pPr>
      <w:bookmarkStart w:id="6503" w:name="Bookmark_para_75_3"/>
      <w:bookmarkEnd w:id="6503"/>
      <w:r>
        <w:rPr>
          <w:rFonts w:ascii="Arial" w:eastAsia="Arial" w:hAnsi="Arial" w:cs="Arial"/>
          <w:color w:val="000000"/>
          <w:sz w:val="20"/>
        </w:rPr>
        <w:t xml:space="preserve">The district court dismissed this claim because there was no evidence in the record that Updike was denied any specific benefit or service that is regularly offered to other inmates. </w:t>
      </w:r>
      <w:bookmarkStart w:id="6504" w:name="Bookmark_I5PJP99Y2HM6NF0050000400"/>
      <w:bookmarkEnd w:id="6504"/>
      <w:r>
        <w:rPr>
          <w:rFonts w:ascii="Arial" w:eastAsia="Arial" w:hAnsi="Arial" w:cs="Arial"/>
          <w:color w:val="000000"/>
          <w:sz w:val="20"/>
        </w:rPr>
        <w:t xml:space="preserve">The lack of an ASL translator, however, may have denied Updike the opportunity to communicate effectively during the medical evaluation provided by the County. </w:t>
      </w:r>
      <w:bookmarkStart w:id="6505" w:name="Bookmark_LNHNREFclscc20_4"/>
      <w:bookmarkEnd w:id="6505"/>
      <w:r>
        <w:rPr>
          <w:rFonts w:ascii="Arial" w:eastAsia="Arial" w:hAnsi="Arial" w:cs="Arial"/>
          <w:color w:val="000000"/>
          <w:sz w:val="20"/>
        </w:rPr>
        <w:t xml:space="preserve">Medical evaluations often will be the type of complex and lengthy situation in which an ASL interpreter should be provided. </w:t>
      </w:r>
      <w:r>
        <w:rPr>
          <w:rFonts w:ascii="Arial" w:eastAsia="Arial" w:hAnsi="Arial" w:cs="Arial"/>
          <w:i/>
          <w:color w:val="000000"/>
          <w:sz w:val="20"/>
        </w:rPr>
        <w:t xml:space="preserve">See </w:t>
      </w:r>
      <w:bookmarkStart w:id="6506" w:name="Bookmark_I5PJP99Y2HM6NF0040000400"/>
      <w:bookmarkEnd w:id="6506"/>
      <w:r>
        <w:rPr>
          <w:rFonts w:ascii="Arial" w:eastAsia="Arial" w:hAnsi="Arial" w:cs="Arial"/>
          <w:i/>
          <w:color w:val="000000"/>
          <w:sz w:val="20"/>
        </w:rPr>
        <w:t>Duffy v. Riveland</w:t>
      </w:r>
      <w:r>
        <w:rPr>
          <w:rFonts w:ascii="Arial" w:eastAsia="Arial" w:hAnsi="Arial" w:cs="Arial"/>
          <w:color w:val="000000"/>
          <w:sz w:val="20"/>
        </w:rPr>
        <w:t>, 98 F.3d 447, 456 (9th Cir. 1996) ("[A] qualified interpreter may be necessary when the information being communicated is complex, or is exchanged for a lengthy period of time." (quoting 28 C.F.R. pt. 35, App.); 28 C.F.R. § 35.160(b)(2) ("The type of auxiliary aid or service necessary to ensure effective communication will vary in accordance with the method of communication used by the individual; the nature, length, and complexity of the communication involved; and the context in which the communication is taking place."). A trier of fact can weigh these factors in deciding whether written communication, [**37]  rather than an ASL translator, was an appropriate accommodation.</w:t>
      </w:r>
    </w:p>
    <w:p w:rsidR="00E456CD" w:rsidRDefault="00000000">
      <w:pPr>
        <w:pStyle w:val="Normal41"/>
        <w:widowControl w:val="0"/>
        <w:spacing w:before="200" w:line="260" w:lineRule="atLeast"/>
        <w:jc w:val="both"/>
      </w:pPr>
      <w:bookmarkStart w:id="6507" w:name="Bookmark_para_76_3"/>
      <w:bookmarkEnd w:id="6507"/>
      <w:r>
        <w:rPr>
          <w:rFonts w:ascii="Arial" w:eastAsia="Arial" w:hAnsi="Arial" w:cs="Arial"/>
          <w:b/>
          <w:color w:val="000000"/>
          <w:sz w:val="20"/>
        </w:rPr>
        <w:t>Failure to provide an ASL interpreter during the recognizance interview</w:t>
      </w:r>
      <w:r>
        <w:rPr>
          <w:rFonts w:ascii="Arial" w:eastAsia="Arial" w:hAnsi="Arial" w:cs="Arial"/>
          <w:color w:val="000000"/>
          <w:sz w:val="20"/>
        </w:rPr>
        <w:t xml:space="preserve">: During Updike's recognizance interview, he requested an ASL interpreter and a TTY device, was not given either, and Updike said that he had difficulty reading the officer's lips. Officer Iwamoto disputed this, believing that he was able to communicate effectively with Updike through written English and that Updike communicated clearly through written notes. But again, the County introduced no evidence that it ascertained what accommodations might be needed, and instead relies on self-serving observations that its employees believed they were effectively communicating with Updike. Whether the County's accommodation was sufficient requires sifting through a number of facts. </w:t>
      </w:r>
      <w:r>
        <w:rPr>
          <w:rFonts w:ascii="Arial" w:eastAsia="Arial" w:hAnsi="Arial" w:cs="Arial"/>
          <w:i/>
          <w:color w:val="000000"/>
          <w:sz w:val="20"/>
        </w:rPr>
        <w:t>See</w:t>
      </w:r>
      <w:r>
        <w:rPr>
          <w:rFonts w:ascii="Arial" w:eastAsia="Arial" w:hAnsi="Arial" w:cs="Arial"/>
          <w:color w:val="000000"/>
          <w:sz w:val="20"/>
        </w:rPr>
        <w:t xml:space="preserve"> 28 C.F.R. § 35.160(b)(2). And here too, a reasonable jury could conclude that written communication was not adequate to ensure that Updike could communicate as effectively as non-hearing-impaired individuals or that the County provided the appropriate accommodation.</w:t>
      </w:r>
    </w:p>
    <w:p w:rsidR="00E456CD" w:rsidRDefault="00000000">
      <w:pPr>
        <w:pStyle w:val="Normal41"/>
        <w:widowControl w:val="0"/>
        <w:spacing w:before="200" w:line="260" w:lineRule="atLeast"/>
        <w:jc w:val="both"/>
      </w:pPr>
      <w:bookmarkStart w:id="6508" w:name="Bookmark_para_77_3"/>
      <w:bookmarkEnd w:id="6508"/>
      <w:r>
        <w:rPr>
          <w:rFonts w:ascii="Arial" w:eastAsia="Arial" w:hAnsi="Arial" w:cs="Arial"/>
          <w:b/>
          <w:color w:val="000000"/>
          <w:sz w:val="20"/>
        </w:rPr>
        <w:t>Failure to provide an ASL interpreter and other auxiliary aids during interactions with pretrial services</w:t>
      </w:r>
      <w:r>
        <w:rPr>
          <w:rFonts w:ascii="Arial" w:eastAsia="Arial" w:hAnsi="Arial" w:cs="Arial"/>
          <w:color w:val="000000"/>
          <w:sz w:val="20"/>
        </w:rPr>
        <w:t>: Updike and Sacomano dispute whether [**38]  Updike requested an interpreter. Although the record shows that Sacomano was aware that Updike is deaf, the County did not put forward evidence that she looked into providing Updike with an ASL interpreter during their meetings. The district court focused on whether Updike was actually denied services or whether his interactions "actually caused him harm" in dismissing this aspect of Updike's claim. The district court should have instead focused on whether Updike could effectively communicate with Sacomano while under supervision of the County and whether the County gave Updike reasonable accommodations. Considering the evidence in the light most favorable to Updike, a reasonable jury could conclude that Sacomano did not adequately address Updike's need for accommodation.</w:t>
      </w:r>
    </w:p>
    <w:p w:rsidR="00E456CD" w:rsidRDefault="00000000">
      <w:pPr>
        <w:pStyle w:val="Normal41"/>
        <w:widowControl w:val="0"/>
        <w:spacing w:before="200" w:line="260" w:lineRule="atLeast"/>
        <w:jc w:val="both"/>
      </w:pPr>
      <w:bookmarkStart w:id="6509" w:name="Bookmark_para_78_3"/>
      <w:bookmarkEnd w:id="6509"/>
      <w:r>
        <w:rPr>
          <w:rFonts w:ascii="Arial" w:eastAsia="Arial" w:hAnsi="Arial" w:cs="Arial"/>
          <w:b/>
          <w:color w:val="000000"/>
          <w:sz w:val="20"/>
        </w:rPr>
        <w:t>Failure to timely arrange for an ASL interpreter at arraignment</w:t>
      </w:r>
      <w:r>
        <w:rPr>
          <w:rFonts w:ascii="Arial" w:eastAsia="Arial" w:hAnsi="Arial" w:cs="Arial"/>
          <w:color w:val="000000"/>
          <w:sz w:val="20"/>
        </w:rPr>
        <w:t xml:space="preserve">: Updike inquired with County staff whether an ASL interpreter would be available at arraignment, yet no interpreter appeared at his January 15, 2013 arraignment. </w:t>
      </w:r>
      <w:bookmarkStart w:id="6510" w:name="Bookmark_I5PJP99Y2D6NYS0020000400"/>
      <w:bookmarkEnd w:id="6510"/>
      <w:r>
        <w:rPr>
          <w:rFonts w:ascii="Arial" w:eastAsia="Arial" w:hAnsi="Arial" w:cs="Arial"/>
          <w:color w:val="000000"/>
          <w:sz w:val="20"/>
        </w:rPr>
        <w:t xml:space="preserve">The County, however, timely communicated Updike's need for an ASL interpreter before his January 15 arraignment by noting  [*957]  it in his pretrial release report. That OJD staff looked at the booking [**39]  register but not the pretrial release report in setting calendar, does not show that the County was deliberately indifferent to Updike's need for an ASL interpreter. As discussed earlier, this sequence of events shows "bureaucratic slippage that constitutes negligence rather than deliberate action or inaction." </w:t>
      </w:r>
      <w:bookmarkStart w:id="6511" w:name="Bookmark_I5PJP99Y2D6NYS0010000400"/>
      <w:bookmarkEnd w:id="6511"/>
      <w:r>
        <w:rPr>
          <w:rFonts w:ascii="Arial" w:eastAsia="Arial" w:hAnsi="Arial" w:cs="Arial"/>
          <w:i/>
          <w:color w:val="000000"/>
          <w:sz w:val="20"/>
        </w:rPr>
        <w:t>Duvall</w:t>
      </w:r>
      <w:r>
        <w:rPr>
          <w:rFonts w:ascii="Arial" w:eastAsia="Arial" w:hAnsi="Arial" w:cs="Arial"/>
          <w:color w:val="000000"/>
          <w:sz w:val="20"/>
        </w:rPr>
        <w:t>, 260 F.3d at 1139. Summary judgment was appropriate on this facet of Updike's claim.</w:t>
      </w:r>
    </w:p>
    <w:p w:rsidR="00E456CD" w:rsidRDefault="00000000">
      <w:pPr>
        <w:pStyle w:val="Normal41"/>
        <w:widowControl w:val="0"/>
        <w:spacing w:before="200" w:line="260" w:lineRule="atLeast"/>
        <w:jc w:val="both"/>
      </w:pPr>
      <w:bookmarkStart w:id="6512" w:name="Bookmark_para_79_2"/>
      <w:bookmarkEnd w:id="6512"/>
      <w:r>
        <w:rPr>
          <w:rFonts w:ascii="Arial" w:eastAsia="Arial" w:hAnsi="Arial" w:cs="Arial"/>
          <w:color w:val="000000"/>
          <w:sz w:val="20"/>
        </w:rPr>
        <w:t>* * *</w:t>
      </w:r>
    </w:p>
    <w:p w:rsidR="00E456CD" w:rsidRDefault="00000000">
      <w:pPr>
        <w:pStyle w:val="Normal41"/>
        <w:widowControl w:val="0"/>
        <w:spacing w:before="200" w:line="260" w:lineRule="atLeast"/>
        <w:jc w:val="both"/>
      </w:pPr>
      <w:bookmarkStart w:id="6513" w:name="Bookmark_para_80_2"/>
      <w:bookmarkEnd w:id="6513"/>
      <w:r>
        <w:rPr>
          <w:rFonts w:ascii="Arial" w:eastAsia="Arial" w:hAnsi="Arial" w:cs="Arial"/>
          <w:color w:val="000000"/>
          <w:sz w:val="20"/>
        </w:rPr>
        <w:t>The County's employees knew that Updike was deaf but did not provide Updike with an ASL interpreter, TTY device, or closed captioning for television, despite his repeated requests for these accommodations. Updike put forth evidence that he made repeated requests for an ASL translator and other auxiliary services with respect to various aspects of his time in custody and under pretrial supervision. The County was also on notice that Updike believed that his disability would impact his ability to understand instructions while detained. Updike contends that the County's failure to provide auxiliary aids and services limited his ability to communicate effectively, speak with his attorney and family members, and enjoy other programs and services on par with non-hearing impaired inmates.</w:t>
      </w:r>
    </w:p>
    <w:p w:rsidR="00E456CD" w:rsidRDefault="00000000">
      <w:pPr>
        <w:pStyle w:val="Normal41"/>
        <w:widowControl w:val="0"/>
        <w:spacing w:before="200" w:line="260" w:lineRule="atLeast"/>
        <w:jc w:val="both"/>
      </w:pPr>
      <w:bookmarkStart w:id="6514" w:name="Bookmark_para_81_2"/>
      <w:bookmarkEnd w:id="6514"/>
      <w:r>
        <w:rPr>
          <w:rFonts w:ascii="Arial" w:eastAsia="Arial" w:hAnsi="Arial" w:cs="Arial"/>
          <w:color w:val="000000"/>
          <w:sz w:val="20"/>
        </w:rPr>
        <w:t xml:space="preserve">Updike disputes the County's [**40]  assertion that he was able to communicate fine using pen and paper, and instead contends that communication between him and corrections staff during the course of his detention and supervision were ineffective. </w:t>
      </w:r>
      <w:bookmarkStart w:id="6515" w:name="Bookmark_I833DBR51B400002S1N00376"/>
      <w:bookmarkStart w:id="6516" w:name="Bookmark_I833DBR52WP00002S1N00377"/>
      <w:bookmarkStart w:id="6517" w:name="Bookmark_I5PJP99Y2D6NYS0040000400"/>
      <w:bookmarkEnd w:id="6515"/>
      <w:bookmarkEnd w:id="6516"/>
      <w:bookmarkEnd w:id="6517"/>
      <w:r>
        <w:rPr>
          <w:rFonts w:ascii="Arial" w:eastAsia="Arial" w:hAnsi="Arial" w:cs="Arial"/>
          <w:color w:val="000000"/>
          <w:sz w:val="20"/>
        </w:rPr>
        <w:t xml:space="preserve">Even if a jury ultimately determines that the County is correct—a matter that must be left to the jury where, as here, there are disputes of material fact—summary judgment was improper because the County never meaningfully assessed Updike's limitations and comprehension abilities. At no time was Updike assessed to determine to what extent he would need accommodation to ensure that he could communicate effectively with others during his time in custody and under pretrial supervision. Yet </w:t>
      </w:r>
      <w:bookmarkStart w:id="6518" w:name="Bookmark_LNHNREFclscc21_4"/>
      <w:bookmarkEnd w:id="6518"/>
      <w:r>
        <w:rPr>
          <w:rFonts w:ascii="Arial" w:eastAsia="Arial" w:hAnsi="Arial" w:cs="Arial"/>
          <w:color w:val="000000"/>
          <w:sz w:val="20"/>
        </w:rPr>
        <w:t xml:space="preserve">"[w]hen an entity is on notice of the need for accommodation, it 'is required to undertake a fact-specific investigation to determine what constitutes a reasonable accommodation.'" </w:t>
      </w:r>
      <w:bookmarkStart w:id="6519" w:name="Bookmark_I5PJP99Y2D6NYS0030000400"/>
      <w:bookmarkEnd w:id="6519"/>
      <w:r>
        <w:rPr>
          <w:rFonts w:ascii="Arial" w:eastAsia="Arial" w:hAnsi="Arial" w:cs="Arial"/>
          <w:i/>
          <w:color w:val="000000"/>
          <w:sz w:val="20"/>
        </w:rPr>
        <w:t>A.G. v. Paradise Valley Unified Sch. Dist. No. 69</w:t>
      </w:r>
      <w:r>
        <w:rPr>
          <w:rFonts w:ascii="Arial" w:eastAsia="Arial" w:hAnsi="Arial" w:cs="Arial"/>
          <w:color w:val="000000"/>
          <w:sz w:val="20"/>
        </w:rPr>
        <w:t xml:space="preserve">, 815 F.3d 1195, 1207 (9th Cir. 2016) (quoting </w:t>
      </w:r>
      <w:bookmarkStart w:id="6520" w:name="Bookmark_I5PJP99Y2D6NYS0050000400"/>
      <w:bookmarkEnd w:id="6520"/>
      <w:r>
        <w:rPr>
          <w:rFonts w:ascii="Arial" w:eastAsia="Arial" w:hAnsi="Arial" w:cs="Arial"/>
          <w:i/>
          <w:color w:val="000000"/>
          <w:sz w:val="20"/>
        </w:rPr>
        <w:t>Duvall</w:t>
      </w:r>
      <w:r>
        <w:rPr>
          <w:rFonts w:ascii="Arial" w:eastAsia="Arial" w:hAnsi="Arial" w:cs="Arial"/>
          <w:color w:val="000000"/>
          <w:sz w:val="20"/>
        </w:rPr>
        <w:t>, 260 F.3d at 1139). Nor did the County present evidence that it engaged in any inquiry as to why an ASL interpreter or TTY would be unreasonable or could not be accommodated.</w:t>
      </w:r>
      <w:r>
        <w:rPr>
          <w:rFonts w:ascii="Arial" w:eastAsia="Arial" w:hAnsi="Arial" w:cs="Arial"/>
          <w:vertAlign w:val="superscript"/>
        </w:rPr>
        <w:footnoteReference w:customMarkFollows="1" w:id="280"/>
        <w:t>7</w:t>
      </w:r>
      <w:r>
        <w:rPr>
          <w:rFonts w:ascii="Arial" w:eastAsia="Arial" w:hAnsi="Arial" w:cs="Arial"/>
          <w:color w:val="000000"/>
          <w:sz w:val="20"/>
        </w:rPr>
        <w:t xml:space="preserve"> The record sets forth that it was not until his January 16, 2013 arraignment that Updike was provided with an ASL interpreter, and that it was not until Updike [**41]  was released from custody that he was provided with a TTD. For these reasons, the district court erred in granting summary judgment in favor of the County on Updike's ADA and § 504 claims.</w:t>
      </w:r>
    </w:p>
    <w:p w:rsidR="00E456CD" w:rsidRDefault="00000000">
      <w:pPr>
        <w:pStyle w:val="Normal41"/>
        <w:widowControl w:val="0"/>
        <w:spacing w:before="200" w:line="260" w:lineRule="atLeast"/>
        <w:jc w:val="both"/>
      </w:pPr>
      <w:bookmarkStart w:id="6522" w:name="Bookmark_para_82_2"/>
      <w:bookmarkStart w:id="6523" w:name="Bookmark_I5PJP99Y2SF7KN0030000400"/>
      <w:bookmarkEnd w:id="6522"/>
      <w:bookmarkEnd w:id="6523"/>
      <w:r>
        <w:rPr>
          <w:rFonts w:ascii="Arial" w:eastAsia="Arial" w:hAnsi="Arial" w:cs="Arial"/>
          <w:color w:val="000000"/>
          <w:sz w:val="20"/>
        </w:rPr>
        <w:t xml:space="preserve">The district court, in granting summary judgment in favor of the County, concluded that Updike was not actually excluded from services that similarly-situated non-deaf individuals also accessed. We emphasize, however, that </w:t>
      </w:r>
      <w:bookmarkStart w:id="6524" w:name="Bookmark_LNHNREFclscc22_3"/>
      <w:bookmarkEnd w:id="6524"/>
      <w:r>
        <w:rPr>
          <w:rFonts w:ascii="Arial" w:eastAsia="Arial" w:hAnsi="Arial" w:cs="Arial"/>
          <w:color w:val="000000"/>
          <w:sz w:val="20"/>
        </w:rPr>
        <w:t xml:space="preserve">a public entity can be liable for damages under Title II and § 504 if it intentionally or with deliberate indifferences does not provide a reasonable accommodation to a deaf or hearing-impaired person. </w:t>
      </w:r>
      <w:r>
        <w:rPr>
          <w:rFonts w:ascii="Arial" w:eastAsia="Arial" w:hAnsi="Arial" w:cs="Arial"/>
          <w:i/>
          <w:color w:val="000000"/>
          <w:sz w:val="20"/>
        </w:rPr>
        <w:t xml:space="preserve">See </w:t>
      </w:r>
      <w:bookmarkStart w:id="6525" w:name="Bookmark_I5PJP99Y2SF7KN0020000400"/>
      <w:bookmarkEnd w:id="6525"/>
      <w:r>
        <w:rPr>
          <w:rFonts w:ascii="Arial" w:eastAsia="Arial" w:hAnsi="Arial" w:cs="Arial"/>
          <w:i/>
          <w:color w:val="000000"/>
          <w:sz w:val="20"/>
        </w:rPr>
        <w:t>Duvall</w:t>
      </w:r>
      <w:r>
        <w:rPr>
          <w:rFonts w:ascii="Arial" w:eastAsia="Arial" w:hAnsi="Arial" w:cs="Arial"/>
          <w:color w:val="000000"/>
          <w:sz w:val="20"/>
        </w:rPr>
        <w:t xml:space="preserve">, 260 F.3d 1138-39; </w:t>
      </w:r>
      <w:bookmarkStart w:id="6526" w:name="Bookmark_I5PJP99Y2SF7KN0040000400"/>
      <w:bookmarkEnd w:id="6526"/>
      <w:r>
        <w:rPr>
          <w:rFonts w:ascii="Arial" w:eastAsia="Arial" w:hAnsi="Arial" w:cs="Arial"/>
          <w:i/>
          <w:color w:val="000000"/>
          <w:sz w:val="20"/>
        </w:rPr>
        <w:t>Mark H.</w:t>
      </w:r>
      <w:r>
        <w:rPr>
          <w:rFonts w:ascii="Arial" w:eastAsia="Arial" w:hAnsi="Arial" w:cs="Arial"/>
          <w:color w:val="000000"/>
          <w:sz w:val="20"/>
        </w:rPr>
        <w:t>, 513 F.3d at 938.</w:t>
      </w:r>
    </w:p>
    <w:p w:rsidR="00E456CD" w:rsidRDefault="00000000">
      <w:pPr>
        <w:pStyle w:val="Normal41"/>
        <w:widowControl w:val="0"/>
        <w:spacing w:before="200" w:line="260" w:lineRule="atLeast"/>
        <w:jc w:val="both"/>
      </w:pPr>
      <w:bookmarkStart w:id="6527" w:name="Bookmark_para_83_2"/>
      <w:bookmarkEnd w:id="6527"/>
      <w:r>
        <w:rPr>
          <w:rFonts w:ascii="Arial" w:eastAsia="Arial" w:hAnsi="Arial" w:cs="Arial"/>
          <w:color w:val="000000"/>
          <w:sz w:val="20"/>
        </w:rPr>
        <w:t xml:space="preserve"> [*958]  </w:t>
      </w:r>
      <w:bookmarkStart w:id="6528" w:name="Bookmark_I5PJP99Y2N1R9T0020000400"/>
      <w:bookmarkEnd w:id="6528"/>
      <w:r>
        <w:rPr>
          <w:rFonts w:ascii="Arial" w:eastAsia="Arial" w:hAnsi="Arial" w:cs="Arial"/>
          <w:color w:val="000000"/>
          <w:sz w:val="20"/>
        </w:rPr>
        <w:t xml:space="preserve">In reversing the grant of summary judgment in favor of the County on Updike's claims for damages, we do not hold that Updike necessarily was entitled to have an ASL interpreter as a matter of course to achieve effective communication with County employees or that the County should be subject to liability for failing to provide one. However, whether the County provided appropriate auxiliary aids where necessary is a fact-intensive exercise. </w:t>
      </w:r>
      <w:bookmarkStart w:id="6529" w:name="Bookmark_LNHNREFclscc23_3"/>
      <w:bookmarkEnd w:id="6529"/>
      <w:r>
        <w:rPr>
          <w:rFonts w:ascii="Arial" w:eastAsia="Arial" w:hAnsi="Arial" w:cs="Arial"/>
          <w:color w:val="000000"/>
          <w:sz w:val="20"/>
        </w:rPr>
        <w:t xml:space="preserve">Upon notice of the need for an accommodation, a public entity must investigate what constitutes a reasonable accommodation. </w:t>
      </w:r>
      <w:r>
        <w:rPr>
          <w:rFonts w:ascii="Arial" w:eastAsia="Arial" w:hAnsi="Arial" w:cs="Arial"/>
          <w:i/>
          <w:color w:val="000000"/>
          <w:sz w:val="20"/>
        </w:rPr>
        <w:t xml:space="preserve">See </w:t>
      </w:r>
      <w:bookmarkStart w:id="6530" w:name="Bookmark_I5PJP99Y2N1R9T0010000400"/>
      <w:bookmarkEnd w:id="6530"/>
      <w:r>
        <w:rPr>
          <w:rFonts w:ascii="Arial" w:eastAsia="Arial" w:hAnsi="Arial" w:cs="Arial"/>
          <w:i/>
          <w:color w:val="000000"/>
          <w:sz w:val="20"/>
        </w:rPr>
        <w:t>Duvall</w:t>
      </w:r>
      <w:r>
        <w:rPr>
          <w:rFonts w:ascii="Arial" w:eastAsia="Arial" w:hAnsi="Arial" w:cs="Arial"/>
          <w:color w:val="000000"/>
          <w:sz w:val="20"/>
        </w:rPr>
        <w:t xml:space="preserve">, 260 F.3d at 1139. Regulations require that public entities [**42]  give primary consideration to the requests of the deaf individual with respect to auxiliary aid requests and give deference to such requests. 28 C.F.R. § 35.160(b)(2). And the type of auxiliary aid or service that will be appropriate should take into account the context in which the communication is taking place. </w:t>
      </w:r>
      <w:r>
        <w:rPr>
          <w:rFonts w:ascii="Arial" w:eastAsia="Arial" w:hAnsi="Arial" w:cs="Arial"/>
          <w:i/>
          <w:color w:val="000000"/>
          <w:sz w:val="20"/>
        </w:rPr>
        <w:t>Id.</w:t>
      </w:r>
      <w:r>
        <w:rPr>
          <w:rFonts w:ascii="Arial" w:eastAsia="Arial" w:hAnsi="Arial" w:cs="Arial"/>
          <w:color w:val="000000"/>
          <w:sz w:val="20"/>
        </w:rPr>
        <w:t xml:space="preserve"> If the public entity does not defer to the deaf individual's request, then the burden is on the entity to demonstrate that another effective means of communication exists or that the requested auxiliary aid would otherwise not be required. </w:t>
      </w:r>
      <w:r>
        <w:rPr>
          <w:rFonts w:ascii="Arial" w:eastAsia="Arial" w:hAnsi="Arial" w:cs="Arial"/>
          <w:i/>
          <w:color w:val="000000"/>
          <w:sz w:val="20"/>
        </w:rPr>
        <w:t>See</w:t>
      </w:r>
      <w:r>
        <w:rPr>
          <w:rFonts w:ascii="Arial" w:eastAsia="Arial" w:hAnsi="Arial" w:cs="Arial"/>
          <w:color w:val="000000"/>
          <w:sz w:val="20"/>
        </w:rPr>
        <w:t xml:space="preserve"> 28 C.F.R. pt. 35, App. A. </w:t>
      </w:r>
      <w:bookmarkStart w:id="6531" w:name="Bookmark_LNHNREFclscc24_3"/>
      <w:bookmarkEnd w:id="6531"/>
      <w:r>
        <w:rPr>
          <w:rFonts w:ascii="Arial" w:eastAsia="Arial" w:hAnsi="Arial" w:cs="Arial"/>
          <w:color w:val="000000"/>
          <w:sz w:val="20"/>
        </w:rPr>
        <w:t xml:space="preserve">A public entity must "take appropriate steps to ensure that communications" with a person with a disability is "as effective as communications with others." </w:t>
      </w:r>
      <w:r>
        <w:rPr>
          <w:rFonts w:ascii="Arial" w:eastAsia="Arial" w:hAnsi="Arial" w:cs="Arial"/>
          <w:i/>
          <w:color w:val="000000"/>
          <w:sz w:val="20"/>
        </w:rPr>
        <w:t>Id.</w:t>
      </w:r>
      <w:r>
        <w:rPr>
          <w:rFonts w:ascii="Arial" w:eastAsia="Arial" w:hAnsi="Arial" w:cs="Arial"/>
          <w:color w:val="000000"/>
          <w:sz w:val="20"/>
        </w:rPr>
        <w:t xml:space="preserve"> § 35.160(a)(1). To deny a deaf person an ASL interpreter, when ASL is their primary language, is akin to denying a Spanish interpreter to a person who speaks Spanish as their primary language. An ASL interpreter will often be necessary to ensure communication with a deaf person who has become enmeshed in the criminal justice system. At a minimum, officials must conduct an adequate investigation into what accommodations may be necessary to permit effective communication of the deaf while incarcerated.</w:t>
      </w:r>
    </w:p>
    <w:p w:rsidR="00E456CD" w:rsidRDefault="00000000">
      <w:pPr>
        <w:pStyle w:val="Normal41"/>
        <w:widowControl w:val="0"/>
        <w:spacing w:before="200" w:line="260" w:lineRule="atLeast"/>
        <w:jc w:val="both"/>
      </w:pPr>
      <w:bookmarkStart w:id="6532" w:name="Bookmark_para_84_2"/>
      <w:bookmarkEnd w:id="6532"/>
      <w:r>
        <w:rPr>
          <w:rFonts w:ascii="Arial" w:eastAsia="Arial" w:hAnsi="Arial" w:cs="Arial"/>
          <w:color w:val="000000"/>
          <w:sz w:val="20"/>
        </w:rPr>
        <w:t>In this [**43]  case, a reasonable jury could find that the County was deliberately indifferent and violated Title II and § 504 when it did not conduct an informed assessment of Updike's accommodation needs, when it did not give primary deference to Updike's requests or context-specific consideration to his requests, when County employees failed to provide Updike with an ASL interpreter in a multitude of interactions with County employees, when County employees did not offer use of a TTD, and when County employees did not turn on closed captioning. Thus, we reverse the district court's holding that no evidence in the record created a genuine issue of material fact on whether the County violated the ADA or the Rehabilitation Act by inaction and conduct undertaken with deliberate indifference to Updike's legitimate needs as a deaf individual. Stated another way, the County may not turn a blind eye to a deaf ear. Whether it has done so here cannot be resolved at this stage of the proceedings before the consideration of relevant testimony and other evidence that may be offered at trial, and before a jury or the district court has made findings of fact based on trial proceedings. We reverse the grant of summary [**44]  judgment in favor of the County on Updike's compensatory claims under Title II of the ADA and § 504 of the Rehabilitation Act. On the genuine factual disputes that we have identified, the case should proceed to trial.</w:t>
      </w:r>
    </w:p>
    <w:p w:rsidR="00E456CD" w:rsidRDefault="00000000">
      <w:pPr>
        <w:pStyle w:val="Normal41"/>
        <w:widowControl w:val="0"/>
        <w:spacing w:before="240" w:line="260" w:lineRule="atLeast"/>
      </w:pPr>
      <w:r>
        <w:br/>
      </w:r>
      <w:r>
        <w:rPr>
          <w:rFonts w:ascii="Arial" w:eastAsia="Arial" w:hAnsi="Arial" w:cs="Arial"/>
          <w:b/>
          <w:color w:val="000000"/>
          <w:sz w:val="20"/>
        </w:rPr>
        <w:t>V</w:t>
      </w:r>
    </w:p>
    <w:p w:rsidR="00E456CD" w:rsidRDefault="00000000">
      <w:pPr>
        <w:pStyle w:val="Normal41"/>
        <w:widowControl w:val="0"/>
        <w:spacing w:before="200" w:line="260" w:lineRule="atLeast"/>
        <w:jc w:val="both"/>
      </w:pPr>
      <w:bookmarkStart w:id="6533" w:name="Bookmark_para_85_2"/>
      <w:bookmarkEnd w:id="6533"/>
      <w:r>
        <w:rPr>
          <w:rFonts w:ascii="Arial" w:eastAsia="Arial" w:hAnsi="Arial" w:cs="Arial"/>
          <w:color w:val="000000"/>
          <w:sz w:val="20"/>
        </w:rPr>
        <w:t>We affirm in part and reverse in part the district court's summary judgment orders. We affirm the district court's grant of summary judgment in favor of the State. We also affirm the district court's conclusion that Updike lacks standing to pursue his claims for injunctive relief. We reverse the district court's grant of summary judgment in favor of the County on  [*959]  Updike's ADA and § 504 claims for compensatory damages. We remand the case for further proceedings consistent with this opinion.</w:t>
      </w:r>
    </w:p>
    <w:p w:rsidR="00E456CD" w:rsidRDefault="00000000">
      <w:pPr>
        <w:pStyle w:val="Normal41"/>
        <w:widowControl w:val="0"/>
        <w:spacing w:before="200" w:line="260" w:lineRule="atLeast"/>
        <w:jc w:val="both"/>
      </w:pPr>
      <w:bookmarkStart w:id="6534" w:name="Bookmark_para_86_2"/>
      <w:bookmarkEnd w:id="6534"/>
      <w:r>
        <w:rPr>
          <w:rFonts w:ascii="Arial" w:eastAsia="Arial" w:hAnsi="Arial" w:cs="Arial"/>
          <w:b/>
          <w:color w:val="000000"/>
          <w:sz w:val="20"/>
        </w:rPr>
        <w:t>AFFIRMED in part; REVERSED in part; and REMANDED</w:t>
      </w:r>
      <w:r>
        <w:rPr>
          <w:rFonts w:ascii="Arial" w:eastAsia="Arial" w:hAnsi="Arial" w:cs="Arial"/>
          <w:color w:val="000000"/>
          <w:sz w:val="20"/>
        </w:rPr>
        <w:t>. Each party shall bear its own costs on appeal of the summary judgment order entered in favor of the State. We award costs to Updike on appeal of the summary judgment order entered in favor of the County.</w:t>
      </w:r>
    </w:p>
    <w:p w:rsidR="00E456CD" w:rsidRDefault="00E456CD">
      <w:pPr>
        <w:pStyle w:val="Normal41"/>
      </w:pPr>
    </w:p>
    <w:p w:rsidR="00E456CD" w:rsidRDefault="00000000">
      <w:pPr>
        <w:pStyle w:val="Normal41"/>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4732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512136140"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8F769" id="Line 90"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2"/>
        <w:sectPr w:rsidR="00E456CD">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gutter="0"/>
          <w:cols w:space="720"/>
          <w:titlePg/>
        </w:sectPr>
      </w:pPr>
    </w:p>
    <w:p w:rsidR="00E456CD" w:rsidRDefault="00E456CD">
      <w:pPr>
        <w:pStyle w:val="Normal42"/>
      </w:pPr>
    </w:p>
    <w:p w:rsidR="00E456CD" w:rsidRDefault="00000000">
      <w:pPr>
        <w:pStyle w:val="Heading141"/>
        <w:keepNext w:val="0"/>
        <w:widowControl w:val="0"/>
        <w:spacing w:after="200" w:line="340" w:lineRule="atLeast"/>
        <w:jc w:val="center"/>
      </w:pPr>
      <w:r>
        <w:rPr>
          <w:rFonts w:eastAsia="Arial"/>
          <w:color w:val="000000"/>
          <w:sz w:val="28"/>
        </w:rPr>
        <w:t>Cotuna v. Wal-Mart Stores, Inc.</w:t>
      </w:r>
    </w:p>
    <w:p w:rsidR="00E456CD" w:rsidRDefault="00000000">
      <w:pPr>
        <w:pStyle w:val="Normal42"/>
        <w:widowControl w:val="0"/>
        <w:spacing w:before="120" w:line="260" w:lineRule="atLeast"/>
        <w:jc w:val="center"/>
      </w:pPr>
      <w:r>
        <w:rPr>
          <w:rFonts w:ascii="Arial" w:eastAsia="Arial" w:hAnsi="Arial" w:cs="Arial"/>
          <w:color w:val="000000"/>
          <w:sz w:val="20"/>
        </w:rPr>
        <w:t>United States Court of Appeals for the Sixth Circuit</w:t>
      </w:r>
    </w:p>
    <w:p w:rsidR="00E456CD" w:rsidRDefault="00000000">
      <w:pPr>
        <w:pStyle w:val="Normal42"/>
        <w:widowControl w:val="0"/>
        <w:spacing w:before="120" w:line="260" w:lineRule="atLeast"/>
        <w:jc w:val="center"/>
      </w:pPr>
      <w:r>
        <w:rPr>
          <w:rFonts w:ascii="Arial" w:eastAsia="Arial" w:hAnsi="Arial" w:cs="Arial"/>
          <w:color w:val="000000"/>
          <w:sz w:val="20"/>
        </w:rPr>
        <w:t>August 31, 2017, Filed</w:t>
      </w:r>
    </w:p>
    <w:p w:rsidR="00E456CD" w:rsidRDefault="00000000">
      <w:pPr>
        <w:pStyle w:val="Normal42"/>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16-2519</w:t>
      </w:r>
    </w:p>
    <w:p w:rsidR="00E456CD" w:rsidRDefault="00E456CD">
      <w:pPr>
        <w:pStyle w:val="Normal42"/>
        <w:widowControl w:val="0"/>
        <w:spacing w:line="240" w:lineRule="atLeast"/>
        <w:jc w:val="both"/>
      </w:pPr>
      <w:bookmarkStart w:id="6535" w:name="Bookmark_43"/>
      <w:bookmarkEnd w:id="6535"/>
    </w:p>
    <w:p w:rsidR="00E456CD" w:rsidRDefault="00000000">
      <w:pPr>
        <w:pStyle w:val="Normal42"/>
        <w:widowControl w:val="0"/>
        <w:spacing w:before="200" w:line="240" w:lineRule="atLeast"/>
      </w:pPr>
      <w:bookmarkStart w:id="6536" w:name="Reporter_41"/>
      <w:bookmarkEnd w:id="6536"/>
      <w:r>
        <w:rPr>
          <w:rFonts w:ascii="Arial" w:eastAsia="Arial" w:hAnsi="Arial" w:cs="Arial"/>
          <w:b/>
          <w:color w:val="000000"/>
          <w:sz w:val="18"/>
        </w:rPr>
        <w:t>Reporter</w:t>
      </w:r>
    </w:p>
    <w:p w:rsidR="00E456CD" w:rsidRDefault="00000000">
      <w:pPr>
        <w:pStyle w:val="Normal42"/>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2017 U.S. App. LEXIS 22749 *</w:t>
      </w:r>
    </w:p>
    <w:p w:rsidR="00E456CD" w:rsidRDefault="00000000">
      <w:pPr>
        <w:pStyle w:val="Normal42"/>
        <w:widowControl w:val="0"/>
        <w:spacing w:before="120" w:line="260" w:lineRule="atLeast"/>
      </w:pPr>
      <w:r>
        <w:rPr>
          <w:rFonts w:ascii="Arial" w:eastAsia="Arial" w:hAnsi="Arial" w:cs="Arial"/>
          <w:color w:val="000000"/>
          <w:sz w:val="20"/>
        </w:rPr>
        <w:t>VIOREL COTUNA, Plaintiff-Appellant, v. WAL-MART STORES, INC., Defendant-Appellee.</w:t>
      </w:r>
    </w:p>
    <w:p w:rsidR="00E456CD" w:rsidRDefault="00000000">
      <w:pPr>
        <w:pStyle w:val="Normal42"/>
        <w:widowControl w:val="0"/>
        <w:spacing w:before="240" w:line="260" w:lineRule="atLeast"/>
        <w:jc w:val="both"/>
      </w:pPr>
      <w:bookmarkStart w:id="6537" w:name="Notice_21"/>
      <w:bookmarkEnd w:id="6537"/>
      <w:r>
        <w:rPr>
          <w:rFonts w:ascii="Arial" w:eastAsia="Arial" w:hAnsi="Arial" w:cs="Arial"/>
          <w:b/>
          <w:color w:val="000000"/>
          <w:sz w:val="20"/>
        </w:rPr>
        <w:t>Notice:</w:t>
      </w:r>
      <w:r>
        <w:rPr>
          <w:rFonts w:ascii="Arial" w:eastAsia="Arial" w:hAnsi="Arial" w:cs="Arial"/>
          <w:color w:val="000000"/>
          <w:sz w:val="20"/>
        </w:rPr>
        <w:t> </w:t>
      </w:r>
      <w:bookmarkStart w:id="6538" w:name="Bookmark_para_1_41"/>
      <w:bookmarkEnd w:id="6538"/>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E456CD" w:rsidRDefault="00000000">
      <w:pPr>
        <w:pStyle w:val="Normal42"/>
        <w:widowControl w:val="0"/>
        <w:spacing w:before="240" w:line="260" w:lineRule="atLeast"/>
      </w:pPr>
      <w:bookmarkStart w:id="6539" w:name="Subsequent_History_16"/>
      <w:bookmarkEnd w:id="6539"/>
      <w:r>
        <w:rPr>
          <w:rFonts w:ascii="Arial" w:eastAsia="Arial" w:hAnsi="Arial" w:cs="Arial"/>
          <w:b/>
          <w:color w:val="000000"/>
          <w:sz w:val="20"/>
        </w:rPr>
        <w:t>Subsequent History:</w:t>
      </w:r>
      <w:r>
        <w:rPr>
          <w:rFonts w:ascii="Arial" w:eastAsia="Arial" w:hAnsi="Arial" w:cs="Arial"/>
          <w:color w:val="000000"/>
          <w:sz w:val="20"/>
        </w:rPr>
        <w:t> Rehearing denied by Cotuna v. Wal-Mart Stores, Inc., 2017 U.S. App. LEXIS 20517 (6th Cir., Oct. 18, 2017)</w:t>
      </w:r>
    </w:p>
    <w:p w:rsidR="00E456CD" w:rsidRDefault="00000000">
      <w:pPr>
        <w:pStyle w:val="Normal42"/>
        <w:widowControl w:val="0"/>
        <w:spacing w:before="120" w:line="260" w:lineRule="atLeast"/>
      </w:pPr>
      <w:r>
        <w:rPr>
          <w:rFonts w:ascii="Arial" w:eastAsia="Arial" w:hAnsi="Arial" w:cs="Arial"/>
          <w:color w:val="000000"/>
          <w:sz w:val="20"/>
        </w:rPr>
        <w:t>US Supreme Court certiorari denied by Cotuna v. Walmart Stores, Inc., 2018 U.S. LEXIS 2121 (U.S., Apr. 2, 2018)</w:t>
      </w:r>
    </w:p>
    <w:p w:rsidR="00E456CD" w:rsidRDefault="00000000">
      <w:pPr>
        <w:pStyle w:val="Normal42"/>
        <w:widowControl w:val="0"/>
        <w:spacing w:before="240" w:line="260" w:lineRule="atLeast"/>
        <w:jc w:val="both"/>
      </w:pPr>
      <w:bookmarkStart w:id="6540" w:name="Prior_History_41"/>
      <w:bookmarkEnd w:id="6540"/>
      <w:r>
        <w:rPr>
          <w:rFonts w:ascii="Arial" w:eastAsia="Arial" w:hAnsi="Arial" w:cs="Arial"/>
          <w:b/>
          <w:color w:val="000000"/>
          <w:sz w:val="20"/>
        </w:rPr>
        <w:t>Prior History:</w:t>
      </w:r>
      <w:r>
        <w:rPr>
          <w:rFonts w:ascii="Arial" w:eastAsia="Arial" w:hAnsi="Arial" w:cs="Arial"/>
          <w:color w:val="000000"/>
          <w:sz w:val="20"/>
        </w:rPr>
        <w:t> </w:t>
      </w:r>
      <w:bookmarkStart w:id="6541" w:name="Bookmark_para_2_41"/>
      <w:bookmarkEnd w:id="6541"/>
      <w:r>
        <w:rPr>
          <w:rFonts w:ascii="Arial" w:eastAsia="Arial" w:hAnsi="Arial" w:cs="Arial"/>
          <w:color w:val="000000"/>
          <w:sz w:val="20"/>
        </w:rPr>
        <w:t> [*1] ON APPEAL FROM THE UNITED STATES DISTRICT COURT FOR THE EASTERN DISTRICT OF MICHIGAN.</w:t>
      </w:r>
    </w:p>
    <w:p w:rsidR="00E456CD" w:rsidRDefault="00000000">
      <w:pPr>
        <w:pStyle w:val="Normal42"/>
        <w:widowControl w:val="0"/>
        <w:spacing w:before="120" w:line="260" w:lineRule="atLeast"/>
      </w:pPr>
      <w:r>
        <w:rPr>
          <w:rFonts w:ascii="Arial" w:eastAsia="Arial" w:hAnsi="Arial" w:cs="Arial"/>
          <w:color w:val="000000"/>
          <w:sz w:val="20"/>
        </w:rPr>
        <w:t>Cotuna v. Walmart Stores, Inc., 2016 U.S. Dist. LEXIS 135880 ( E.D. Mich., Sept. 30, 2016)</w:t>
      </w:r>
    </w:p>
    <w:p w:rsidR="00E456CD" w:rsidRDefault="00000000">
      <w:pPr>
        <w:pStyle w:val="Normal42"/>
        <w:widowControl w:val="0"/>
        <w:spacing w:before="240" w:line="260" w:lineRule="atLeast"/>
      </w:pPr>
      <w:bookmarkStart w:id="6542" w:name="Counsel_41"/>
      <w:bookmarkEnd w:id="6542"/>
      <w:r>
        <w:rPr>
          <w:rFonts w:ascii="Arial" w:eastAsia="Arial" w:hAnsi="Arial" w:cs="Arial"/>
          <w:b/>
          <w:color w:val="000000"/>
          <w:sz w:val="20"/>
        </w:rPr>
        <w:t>Counsel:</w:t>
      </w:r>
      <w:r>
        <w:rPr>
          <w:rFonts w:ascii="Arial" w:eastAsia="Arial" w:hAnsi="Arial" w:cs="Arial"/>
          <w:color w:val="000000"/>
          <w:sz w:val="20"/>
        </w:rPr>
        <w:t> VIOREL COTUNA, Plaintiff - Appellant, Pro se, New Smyrna Beach, FL.</w:t>
      </w:r>
    </w:p>
    <w:p w:rsidR="00E456CD" w:rsidRDefault="00000000">
      <w:pPr>
        <w:pStyle w:val="Normal42"/>
        <w:widowControl w:val="0"/>
        <w:spacing w:before="120" w:line="260" w:lineRule="atLeast"/>
      </w:pPr>
      <w:r>
        <w:rPr>
          <w:rFonts w:ascii="Arial" w:eastAsia="Arial" w:hAnsi="Arial" w:cs="Arial"/>
          <w:color w:val="000000"/>
          <w:sz w:val="20"/>
        </w:rPr>
        <w:t>For WAL-MART STORES, INC., Defendant - Appellee: Alison M. Day, Littler Mendelson, Columbus, OH; Michael Alan Chichester, Jr., Littler Mendelson, Detroit, MI.</w:t>
      </w:r>
    </w:p>
    <w:p w:rsidR="00E456CD" w:rsidRDefault="00000000">
      <w:pPr>
        <w:pStyle w:val="Normal42"/>
        <w:widowControl w:val="0"/>
        <w:spacing w:before="240" w:line="260" w:lineRule="atLeast"/>
      </w:pPr>
      <w:bookmarkStart w:id="6543" w:name="Judges_41"/>
      <w:bookmarkEnd w:id="6543"/>
      <w:r>
        <w:rPr>
          <w:rFonts w:ascii="Arial" w:eastAsia="Arial" w:hAnsi="Arial" w:cs="Arial"/>
          <w:b/>
          <w:color w:val="000000"/>
          <w:sz w:val="20"/>
        </w:rPr>
        <w:t>Judges:</w:t>
      </w:r>
      <w:r>
        <w:rPr>
          <w:rFonts w:ascii="Arial" w:eastAsia="Arial" w:hAnsi="Arial" w:cs="Arial"/>
          <w:color w:val="000000"/>
          <w:sz w:val="20"/>
        </w:rPr>
        <w:t> Before: ROGERS, GRIFFIN, and KETHLEDGE, Circuit Judges.</w:t>
      </w:r>
    </w:p>
    <w:p w:rsidR="00E456CD" w:rsidRDefault="00000000">
      <w:pPr>
        <w:pStyle w:val="Normal42"/>
        <w:keepNext/>
        <w:widowControl w:val="0"/>
        <w:spacing w:before="240" w:line="340" w:lineRule="atLeast"/>
      </w:pPr>
      <w:bookmarkStart w:id="6544" w:name="Opinion_41"/>
      <w:bookmarkEnd w:id="6544"/>
      <w:r>
        <w:rPr>
          <w:rFonts w:ascii="Arial" w:eastAsia="Arial" w:hAnsi="Arial" w:cs="Arial"/>
          <w:b/>
          <w:color w:val="000000"/>
          <w:sz w:val="28"/>
        </w:rPr>
        <w:t>Opinion</w:t>
      </w:r>
    </w:p>
    <w:p w:rsidR="00E456CD" w:rsidRDefault="00E22289">
      <w:pPr>
        <w:pStyle w:val="Normal42"/>
        <w:spacing w:line="60" w:lineRule="exact"/>
      </w:pPr>
      <w:r>
        <w:rPr>
          <w:noProof/>
        </w:rPr>
        <mc:AlternateContent>
          <mc:Choice Requires="wps">
            <w:drawing>
              <wp:anchor distT="0" distB="0" distL="114300" distR="114300" simplePos="0" relativeHeight="25174835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365240913"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16F01" id="Line 91"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2"/>
        <w:spacing w:line="120" w:lineRule="exact"/>
      </w:pPr>
    </w:p>
    <w:p w:rsidR="00E456CD" w:rsidRDefault="00000000">
      <w:pPr>
        <w:pStyle w:val="Normal42"/>
        <w:widowControl w:val="0"/>
        <w:spacing w:before="240" w:line="260" w:lineRule="atLeast"/>
      </w:pPr>
      <w:r>
        <w:br/>
      </w:r>
      <w:r>
        <w:rPr>
          <w:rFonts w:ascii="Arial" w:eastAsia="Arial" w:hAnsi="Arial" w:cs="Arial"/>
          <w:color w:val="000000"/>
          <w:sz w:val="20"/>
          <w:u w:val="single"/>
        </w:rPr>
        <w:t>ORDER</w:t>
      </w:r>
    </w:p>
    <w:p w:rsidR="00E456CD" w:rsidRDefault="00000000">
      <w:pPr>
        <w:pStyle w:val="Normal42"/>
        <w:widowControl w:val="0"/>
        <w:spacing w:before="200" w:line="260" w:lineRule="atLeast"/>
        <w:jc w:val="both"/>
      </w:pPr>
      <w:bookmarkStart w:id="6545" w:name="Bookmark_para_3_41"/>
      <w:bookmarkEnd w:id="6545"/>
      <w:r>
        <w:rPr>
          <w:rFonts w:ascii="Arial" w:eastAsia="Arial" w:hAnsi="Arial" w:cs="Arial"/>
          <w:color w:val="000000"/>
          <w:sz w:val="20"/>
        </w:rPr>
        <w:t xml:space="preserve">Viorel Cotuna, a pro se Florida resident, appeals the district court's grant of summary judgment for the defendant in this civil suit asserting claims under Title VII of the Civil Rights Act of 1964, Michigan's Elliot-Larsen Civil Rights Act ("ELCRA"), the Americans with Disabilities Act ("ADA"), Michigan's Persons with Disabilities Civil Rights Act ("PWDCRA"), the Equal Pay Act ("EPA"), and Michigan's Compiled Laws ("Mich. Comp. Laws") §§ 408.473, 408.474, and 408.475. This case has been referred to a panel of the court that, upon examination, unanimously agrees that oral argument is not needed. </w:t>
      </w:r>
      <w:r>
        <w:rPr>
          <w:rFonts w:ascii="Arial" w:eastAsia="Arial" w:hAnsi="Arial" w:cs="Arial"/>
          <w:i/>
          <w:color w:val="000000"/>
          <w:sz w:val="20"/>
        </w:rPr>
        <w:t>See</w:t>
      </w:r>
      <w:r>
        <w:rPr>
          <w:rFonts w:ascii="Arial" w:eastAsia="Arial" w:hAnsi="Arial" w:cs="Arial"/>
          <w:color w:val="000000"/>
          <w:sz w:val="20"/>
        </w:rPr>
        <w:t xml:space="preserve"> Fed. R. App. P. 34(a).</w:t>
      </w:r>
    </w:p>
    <w:p w:rsidR="00E456CD" w:rsidRDefault="00000000">
      <w:pPr>
        <w:pStyle w:val="Normal42"/>
        <w:widowControl w:val="0"/>
        <w:spacing w:before="200" w:line="260" w:lineRule="atLeast"/>
        <w:jc w:val="both"/>
      </w:pPr>
      <w:bookmarkStart w:id="6546" w:name="Bookmark_para_4_41"/>
      <w:bookmarkEnd w:id="6546"/>
      <w:r>
        <w:rPr>
          <w:rFonts w:ascii="Arial" w:eastAsia="Arial" w:hAnsi="Arial" w:cs="Arial"/>
          <w:color w:val="000000"/>
          <w:sz w:val="20"/>
        </w:rPr>
        <w:t>Viorel Cotuna is a physically disabled Romanian man. In 2002, he began working for Wal-Mart Stores, Inc. ("Walmart") at a store in Michigan. Walmart promoted Cotuna to assistant manager of a store in Livonia, Michigan, in 2006. Cotuna alleges that [*2]  in 2011, his supervisor, Vicki Ashton-Hendrixson denied him and other similarly situated male coworkers an increase in pay, which was granted to similarly situated female coworkers; unfairly scheduled him; and otherwise harassed him and denied him opportunities. In August and November 2011, Cotuna requested and was granted medical leave due to his back problems. In November 2012 Cotuna filed another leave request, and in December 2012 he filed a complaint against Ashton-Hendrixson. Walmart denied the leave request and terminated both Ashton-Hendrixson and Cotuna in January 2013.</w:t>
      </w:r>
    </w:p>
    <w:p w:rsidR="00E456CD" w:rsidRDefault="00000000">
      <w:pPr>
        <w:pStyle w:val="Normal42"/>
        <w:widowControl w:val="0"/>
        <w:spacing w:before="200" w:line="260" w:lineRule="atLeast"/>
        <w:jc w:val="both"/>
      </w:pPr>
      <w:bookmarkStart w:id="6547" w:name="Bookmark_para_5_41"/>
      <w:bookmarkEnd w:id="6547"/>
      <w:r>
        <w:rPr>
          <w:rFonts w:ascii="Arial" w:eastAsia="Arial" w:hAnsi="Arial" w:cs="Arial"/>
          <w:color w:val="000000"/>
          <w:sz w:val="20"/>
        </w:rPr>
        <w:t>In January 2014, after receiving a right-to-sue letter from the Equal Employment Opportunity Commission, Cotuna filed a complaint against Walmart, and amended his complaint in August 2014. In the amended complaint, Cotuna raised the following claims: (1) discrimination based on gender in violation of Title VII and the ELCRA; (2) discrimination based on national origin in violation of Title VII and the ELCRA; (3) discrimination based on disability in violation of the ADA; (4) failure to accommodate in violation of the ADA and the PWDCRA; (5) refusal to grant him a promotion in violation of the EPA; and (6) violations [*3]  of Mich. Comp. Laws §§ 408.473, 408.474, and 408.475.</w:t>
      </w:r>
    </w:p>
    <w:p w:rsidR="00E456CD" w:rsidRDefault="00000000">
      <w:pPr>
        <w:pStyle w:val="Normal42"/>
        <w:widowControl w:val="0"/>
        <w:spacing w:before="200" w:line="260" w:lineRule="atLeast"/>
        <w:jc w:val="both"/>
      </w:pPr>
      <w:bookmarkStart w:id="6548" w:name="Bookmark_para_6_41"/>
      <w:bookmarkEnd w:id="6548"/>
      <w:r>
        <w:rPr>
          <w:rFonts w:ascii="Arial" w:eastAsia="Arial" w:hAnsi="Arial" w:cs="Arial"/>
          <w:color w:val="000000"/>
          <w:sz w:val="20"/>
        </w:rPr>
        <w:t>In October 2014, Walmart moved for dismissal, and in March 2015 the district court dismissed the gender-discrimination claim for failure to exhaust administrative remedies. In November 2015, Walmart filed a motion for summary judgment. At the summary judgment hearing, Cotuna withdrew his Michigan compensation claim.</w:t>
      </w:r>
    </w:p>
    <w:p w:rsidR="00E456CD" w:rsidRDefault="00000000">
      <w:pPr>
        <w:pStyle w:val="Normal42"/>
        <w:widowControl w:val="0"/>
        <w:spacing w:before="200" w:line="260" w:lineRule="atLeast"/>
        <w:jc w:val="both"/>
      </w:pPr>
      <w:bookmarkStart w:id="6549" w:name="Bookmark_para_7_40"/>
      <w:bookmarkEnd w:id="6549"/>
      <w:r>
        <w:rPr>
          <w:rFonts w:ascii="Arial" w:eastAsia="Arial" w:hAnsi="Arial" w:cs="Arial"/>
          <w:color w:val="000000"/>
          <w:sz w:val="20"/>
        </w:rPr>
        <w:t>The district court granted Walmart's motion for summary judgment with respect to all of Cotuna's remaining claims. Specifically, it granted summary judgment on: (1) the failure to accommodate claim because Cotuna failed to provide medical documentation for the accommodations he requested; (2) the ADA discriminatory discharge claim because Cotuna failed to show that he was able to perform his job, and failed to provide sufficient evidence to show that the reason for dismissal was pretextual; (3) the EPA claim because it was time-barred and because no female assistant managers received a greater raise; (4) the discrimination claims based on national origin and the disability claims because his allegations were insufficient to sustain a claim of a hostile work environment; and (5) the retaliation claim because a sixteen-month leave with insufficient medical documentation [*4]  is a legitimate, nondiscriminatory reason for termination and Cotuna failed to show pretext.</w:t>
      </w:r>
    </w:p>
    <w:p w:rsidR="00E456CD" w:rsidRDefault="00000000">
      <w:pPr>
        <w:pStyle w:val="Normal42"/>
        <w:widowControl w:val="0"/>
        <w:spacing w:before="200" w:line="260" w:lineRule="atLeast"/>
        <w:jc w:val="both"/>
      </w:pPr>
      <w:bookmarkStart w:id="6550" w:name="Bookmark_para_8_40"/>
      <w:bookmarkEnd w:id="6550"/>
      <w:r>
        <w:rPr>
          <w:rFonts w:ascii="Arial" w:eastAsia="Arial" w:hAnsi="Arial" w:cs="Arial"/>
          <w:color w:val="000000"/>
          <w:sz w:val="20"/>
        </w:rPr>
        <w:t>Cotuna now appeals. He argues that his request for medical accommodation was reasonable, that female colleagues did receive a raise in April 2011, and that the EPA claim is within the statute of limitations because he was continually subjected to discriminatory acts. He also repeats his allegations regarding his hostile-workplace and retaliation claims.</w:t>
      </w:r>
    </w:p>
    <w:p w:rsidR="00E456CD" w:rsidRDefault="00000000">
      <w:pPr>
        <w:pStyle w:val="Normal42"/>
        <w:widowControl w:val="0"/>
        <w:spacing w:before="200" w:line="260" w:lineRule="atLeast"/>
        <w:jc w:val="both"/>
      </w:pPr>
      <w:bookmarkStart w:id="6551" w:name="Bookmark_para_9_39"/>
      <w:bookmarkStart w:id="6552" w:name="Bookmark_I5R4P34M2D6NB30020000400"/>
      <w:bookmarkStart w:id="6553" w:name="Bookmark_I5R4P34M2D6NB30040000400"/>
      <w:bookmarkEnd w:id="6551"/>
      <w:bookmarkEnd w:id="6552"/>
      <w:bookmarkEnd w:id="6553"/>
      <w:r>
        <w:rPr>
          <w:rFonts w:ascii="Arial" w:eastAsia="Arial" w:hAnsi="Arial" w:cs="Arial"/>
          <w:color w:val="000000"/>
          <w:sz w:val="20"/>
        </w:rPr>
        <w:t xml:space="preserve">"We review a district court's grant of summary judgment </w:t>
      </w:r>
      <w:r>
        <w:rPr>
          <w:rFonts w:ascii="Arial" w:eastAsia="Arial" w:hAnsi="Arial" w:cs="Arial"/>
          <w:i/>
          <w:color w:val="000000"/>
          <w:sz w:val="20"/>
        </w:rPr>
        <w:t>de novo</w:t>
      </w:r>
      <w:r>
        <w:rPr>
          <w:rFonts w:ascii="Arial" w:eastAsia="Arial" w:hAnsi="Arial" w:cs="Arial"/>
          <w:color w:val="000000"/>
          <w:sz w:val="20"/>
        </w:rPr>
        <w:t xml:space="preserve">." </w:t>
      </w:r>
      <w:bookmarkStart w:id="6554" w:name="Bookmark_I5R4P34M2D6NB30010000400"/>
      <w:bookmarkEnd w:id="6554"/>
      <w:r>
        <w:rPr>
          <w:rFonts w:ascii="Arial" w:eastAsia="Arial" w:hAnsi="Arial" w:cs="Arial"/>
          <w:i/>
          <w:color w:val="000000"/>
          <w:sz w:val="20"/>
        </w:rPr>
        <w:t>Tyson v. Sterling Rental, Inc.</w:t>
      </w:r>
      <w:r>
        <w:rPr>
          <w:rFonts w:ascii="Arial" w:eastAsia="Arial" w:hAnsi="Arial" w:cs="Arial"/>
          <w:color w:val="000000"/>
          <w:sz w:val="20"/>
        </w:rPr>
        <w:t xml:space="preserve">, 836 F.3d 571, 576 (6th Cir. 2016). Summary judgment is appropriate when "there is no genuine dispute as to any material fact and the movant is entitled to judgment as a matter of law." Fed. R. Civ. P. 56(a). </w:t>
      </w:r>
      <w:bookmarkStart w:id="6555" w:name="Bookmark_I5R4P34M28T4VS0010000400"/>
      <w:bookmarkEnd w:id="6555"/>
      <w:r>
        <w:rPr>
          <w:rFonts w:ascii="Arial" w:eastAsia="Arial" w:hAnsi="Arial" w:cs="Arial"/>
          <w:color w:val="000000"/>
          <w:sz w:val="20"/>
        </w:rPr>
        <w:t xml:space="preserve">A genuine dispute of material fact exists if "there is sufficient evidence favoring the nonmoving party for a jury to return a verdict for that party." </w:t>
      </w:r>
      <w:bookmarkStart w:id="6556" w:name="Bookmark_I5R4P34M2D6NB30030000400"/>
      <w:bookmarkEnd w:id="6556"/>
      <w:r>
        <w:rPr>
          <w:rFonts w:ascii="Arial" w:eastAsia="Arial" w:hAnsi="Arial" w:cs="Arial"/>
          <w:i/>
          <w:color w:val="000000"/>
          <w:sz w:val="20"/>
        </w:rPr>
        <w:t>Anderson v. Liberty Lobby, Inc.</w:t>
      </w:r>
      <w:r>
        <w:rPr>
          <w:rFonts w:ascii="Arial" w:eastAsia="Arial" w:hAnsi="Arial" w:cs="Arial"/>
          <w:color w:val="000000"/>
          <w:sz w:val="20"/>
        </w:rPr>
        <w:t xml:space="preserve">, 477 U.S. 242, 249, 106 S. Ct. 2505, 91 L. Ed. 2d 202 (1986). </w:t>
      </w:r>
      <w:bookmarkStart w:id="6557" w:name="Bookmark_I5R4P34M28T4VS0010000400_2"/>
      <w:bookmarkEnd w:id="6557"/>
      <w:r>
        <w:rPr>
          <w:rFonts w:ascii="Arial" w:eastAsia="Arial" w:hAnsi="Arial" w:cs="Arial"/>
          <w:color w:val="000000"/>
          <w:sz w:val="20"/>
        </w:rPr>
        <w:t xml:space="preserve">In applying the summary judgment standard, the court must review all materials supplied, including pleadings, in the light most favorable to the nonmoving party. </w:t>
      </w:r>
      <w:bookmarkStart w:id="6558" w:name="Bookmark_I5R4P34M28T4VS0030000400"/>
      <w:bookmarkStart w:id="6559" w:name="Bookmark_I5R4P34M2D6NB30050000400"/>
      <w:bookmarkEnd w:id="6558"/>
      <w:bookmarkEnd w:id="6559"/>
      <w:r>
        <w:rPr>
          <w:rFonts w:ascii="Arial" w:eastAsia="Arial" w:hAnsi="Arial" w:cs="Arial"/>
          <w:i/>
          <w:color w:val="000000"/>
          <w:sz w:val="20"/>
        </w:rPr>
        <w:t>Matsushita Elec. Indus. Co., Ltd. v. Zenith Radio Corp.</w:t>
      </w:r>
      <w:r>
        <w:rPr>
          <w:rFonts w:ascii="Arial" w:eastAsia="Arial" w:hAnsi="Arial" w:cs="Arial"/>
          <w:color w:val="000000"/>
          <w:sz w:val="20"/>
        </w:rPr>
        <w:t xml:space="preserve">, 475 U.S. 574, 587, 106 S. Ct. 1348, 89 L. Ed. 2d 538 (1986). </w:t>
      </w:r>
      <w:bookmarkStart w:id="6560" w:name="Bookmark_I5R4P34M28T4VS0030000400_2"/>
      <w:bookmarkEnd w:id="6560"/>
      <w:r>
        <w:rPr>
          <w:rFonts w:ascii="Arial" w:eastAsia="Arial" w:hAnsi="Arial" w:cs="Arial"/>
          <w:color w:val="000000"/>
          <w:sz w:val="20"/>
        </w:rPr>
        <w:t xml:space="preserve">If the evidence is merely colorable or is not significantly probative, then a court may grant summary judgment. </w:t>
      </w:r>
      <w:bookmarkStart w:id="6561" w:name="Bookmark_I5R4P34M28T4VS0020000400"/>
      <w:bookmarkEnd w:id="6561"/>
      <w:r>
        <w:rPr>
          <w:rFonts w:ascii="Arial" w:eastAsia="Arial" w:hAnsi="Arial" w:cs="Arial"/>
          <w:i/>
          <w:color w:val="000000"/>
          <w:sz w:val="20"/>
        </w:rPr>
        <w:t>Anderson</w:t>
      </w:r>
      <w:r>
        <w:rPr>
          <w:rFonts w:ascii="Arial" w:eastAsia="Arial" w:hAnsi="Arial" w:cs="Arial"/>
          <w:color w:val="000000"/>
          <w:sz w:val="20"/>
        </w:rPr>
        <w:t>, 477 U.S. at 249-50.</w:t>
      </w:r>
    </w:p>
    <w:p w:rsidR="00E456CD" w:rsidRDefault="00000000">
      <w:pPr>
        <w:pStyle w:val="Normal42"/>
        <w:widowControl w:val="0"/>
        <w:spacing w:before="200" w:line="260" w:lineRule="atLeast"/>
        <w:jc w:val="both"/>
      </w:pPr>
      <w:bookmarkStart w:id="6562" w:name="Bookmark_para_10_37"/>
      <w:bookmarkStart w:id="6563" w:name="Bookmark_I5R4P34M28T4VS0050000400"/>
      <w:bookmarkEnd w:id="6562"/>
      <w:bookmarkEnd w:id="6563"/>
      <w:r>
        <w:rPr>
          <w:rFonts w:ascii="Arial" w:eastAsia="Arial" w:hAnsi="Arial" w:cs="Arial"/>
          <w:color w:val="000000"/>
          <w:sz w:val="20"/>
        </w:rPr>
        <w:t xml:space="preserve">The district court properly granted summary judgment on Cotuna's claim for failure to accommodate. </w:t>
      </w:r>
      <w:bookmarkStart w:id="6564" w:name="Bookmark_I468863GJP700079X2M003CW"/>
      <w:bookmarkStart w:id="6565" w:name="Bookmark_I5R4P34M2D6NB50010000400"/>
      <w:bookmarkEnd w:id="6564"/>
      <w:bookmarkEnd w:id="6565"/>
      <w:r>
        <w:rPr>
          <w:rFonts w:ascii="Arial" w:eastAsia="Arial" w:hAnsi="Arial" w:cs="Arial"/>
          <w:color w:val="000000"/>
          <w:sz w:val="20"/>
        </w:rPr>
        <w:t xml:space="preserve">Where [*5]  there is no direct evidence of discrimination, the ADA and ELCRA both use the </w:t>
      </w:r>
      <w:r>
        <w:rPr>
          <w:rFonts w:ascii="Arial" w:eastAsia="Arial" w:hAnsi="Arial" w:cs="Arial"/>
          <w:i/>
          <w:color w:val="000000"/>
          <w:sz w:val="20"/>
        </w:rPr>
        <w:t>McDonnell Douglas</w:t>
      </w:r>
      <w:r>
        <w:rPr>
          <w:rFonts w:ascii="Arial" w:eastAsia="Arial" w:hAnsi="Arial" w:cs="Arial"/>
          <w:color w:val="000000"/>
          <w:sz w:val="20"/>
        </w:rPr>
        <w:t xml:space="preserve"> burden-shifting framework. </w:t>
      </w:r>
      <w:bookmarkStart w:id="6566" w:name="Bookmark_I468863GVBH00079X2M003CY"/>
      <w:bookmarkStart w:id="6567" w:name="Bookmark_I5R4P34M2D6NB50030000400"/>
      <w:bookmarkEnd w:id="6566"/>
      <w:bookmarkEnd w:id="6567"/>
      <w:r>
        <w:rPr>
          <w:rFonts w:ascii="Arial" w:eastAsia="Arial" w:hAnsi="Arial" w:cs="Arial"/>
          <w:i/>
          <w:color w:val="000000"/>
          <w:sz w:val="20"/>
        </w:rPr>
        <w:t xml:space="preserve">See </w:t>
      </w:r>
      <w:bookmarkStart w:id="6568" w:name="Bookmark_I5R4P34M28T4VS0040000400"/>
      <w:bookmarkEnd w:id="6568"/>
      <w:r>
        <w:rPr>
          <w:rFonts w:ascii="Arial" w:eastAsia="Arial" w:hAnsi="Arial" w:cs="Arial"/>
          <w:i/>
          <w:color w:val="000000"/>
          <w:sz w:val="20"/>
        </w:rPr>
        <w:t>McDonnell Douglas Corp. v. Green</w:t>
      </w:r>
      <w:r>
        <w:rPr>
          <w:rFonts w:ascii="Arial" w:eastAsia="Arial" w:hAnsi="Arial" w:cs="Arial"/>
          <w:color w:val="000000"/>
          <w:sz w:val="20"/>
        </w:rPr>
        <w:t xml:space="preserve">, 411 U.S. 792, 802, 93 S. Ct. 1817, 36 L. Ed. 2d 668 (1973); </w:t>
      </w:r>
      <w:bookmarkStart w:id="6569" w:name="Bookmark_I5R4P34M2HM69W0010000400"/>
      <w:bookmarkEnd w:id="6569"/>
      <w:r>
        <w:rPr>
          <w:rFonts w:ascii="Arial" w:eastAsia="Arial" w:hAnsi="Arial" w:cs="Arial"/>
          <w:i/>
          <w:color w:val="000000"/>
          <w:sz w:val="20"/>
        </w:rPr>
        <w:t>Hurtt v. Int'l Servs., Inc.</w:t>
      </w:r>
      <w:r>
        <w:rPr>
          <w:rFonts w:ascii="Arial" w:eastAsia="Arial" w:hAnsi="Arial" w:cs="Arial"/>
          <w:color w:val="000000"/>
          <w:sz w:val="20"/>
        </w:rPr>
        <w:t xml:space="preserve">, 627 F. App'x 414, 419 (6th Cir. 2015); </w:t>
      </w:r>
      <w:bookmarkStart w:id="6570" w:name="Bookmark_I5R4P34M2HM69W0030000400"/>
      <w:bookmarkEnd w:id="6570"/>
      <w:r>
        <w:rPr>
          <w:rFonts w:ascii="Arial" w:eastAsia="Arial" w:hAnsi="Arial" w:cs="Arial"/>
          <w:i/>
          <w:color w:val="000000"/>
          <w:sz w:val="20"/>
        </w:rPr>
        <w:t>Sutherland v. Mich. Dep't of Treasury</w:t>
      </w:r>
      <w:r>
        <w:rPr>
          <w:rFonts w:ascii="Arial" w:eastAsia="Arial" w:hAnsi="Arial" w:cs="Arial"/>
          <w:color w:val="000000"/>
          <w:sz w:val="20"/>
        </w:rPr>
        <w:t xml:space="preserve">, 344 F.3d 603, 614 n.4 (6th Cir. 2003). </w:t>
      </w:r>
      <w:bookmarkStart w:id="6571" w:name="Bookmark_I5R4P34M2D6NB50030000400_2"/>
      <w:bookmarkStart w:id="6572" w:name="Bookmark_I5R4P34M2D6NB50010000400_2"/>
      <w:bookmarkEnd w:id="6571"/>
      <w:bookmarkEnd w:id="6572"/>
      <w:r>
        <w:rPr>
          <w:rFonts w:ascii="Arial" w:eastAsia="Arial" w:hAnsi="Arial" w:cs="Arial"/>
          <w:color w:val="000000"/>
          <w:sz w:val="20"/>
        </w:rPr>
        <w:t xml:space="preserve">Under this framework, "[t]he burden is first on the plaintiff to demonstrate a prima facie case of [] discrimination; it then shifts to the employer to offer a legitimate, non-discriminatory explanation for its actions; finally, the burden shifts back to the plaintiff to show pretext—i.e. that the employer's explanation was fabricated to conceal an illegal motive." </w:t>
      </w:r>
      <w:bookmarkStart w:id="6573" w:name="Bookmark_I5R4P34M2HM69W0050000400"/>
      <w:bookmarkEnd w:id="6573"/>
      <w:r>
        <w:rPr>
          <w:rFonts w:ascii="Arial" w:eastAsia="Arial" w:hAnsi="Arial" w:cs="Arial"/>
          <w:i/>
          <w:color w:val="000000"/>
          <w:sz w:val="20"/>
        </w:rPr>
        <w:t>Chen v. Dow Chem. Co.</w:t>
      </w:r>
      <w:r>
        <w:rPr>
          <w:rFonts w:ascii="Arial" w:eastAsia="Arial" w:hAnsi="Arial" w:cs="Arial"/>
          <w:color w:val="000000"/>
          <w:sz w:val="20"/>
        </w:rPr>
        <w:t xml:space="preserve">, 580 F.3d 394, 400 (6th Cir. 2009). To establish a prima facie failure to accommodate claim, a plaintiff must show that: "(1) he is disabled under the ADA; (2) he is otherwise qualified for the position, with or without a reasonable accommodation; (3) his employer knew or had reason to know of his disability; (4) he requested a reasonable accommodation; and (5) the employer failed to provide the reasonable accommodation." </w:t>
      </w:r>
      <w:bookmarkStart w:id="6574" w:name="Bookmark_I5R4P34M2D6NB50020000400"/>
      <w:bookmarkEnd w:id="6574"/>
      <w:r>
        <w:rPr>
          <w:rFonts w:ascii="Arial" w:eastAsia="Arial" w:hAnsi="Arial" w:cs="Arial"/>
          <w:i/>
          <w:color w:val="000000"/>
          <w:sz w:val="20"/>
        </w:rPr>
        <w:t>Aldini v. Kroger Co. of Mich.</w:t>
      </w:r>
      <w:r>
        <w:rPr>
          <w:rFonts w:ascii="Arial" w:eastAsia="Arial" w:hAnsi="Arial" w:cs="Arial"/>
          <w:color w:val="000000"/>
          <w:sz w:val="20"/>
        </w:rPr>
        <w:t xml:space="preserve">, 628 F. App'x 347, 350 (6th Cir. 2015); </w:t>
      </w:r>
      <w:r>
        <w:rPr>
          <w:rFonts w:ascii="Arial" w:eastAsia="Arial" w:hAnsi="Arial" w:cs="Arial"/>
          <w:i/>
          <w:color w:val="000000"/>
          <w:sz w:val="20"/>
        </w:rPr>
        <w:t xml:space="preserve">see also </w:t>
      </w:r>
      <w:bookmarkStart w:id="6575" w:name="Bookmark_I5R4P34M2D6NB50040000400"/>
      <w:bookmarkEnd w:id="6575"/>
      <w:r>
        <w:rPr>
          <w:rFonts w:ascii="Arial" w:eastAsia="Arial" w:hAnsi="Arial" w:cs="Arial"/>
          <w:i/>
          <w:color w:val="000000"/>
          <w:sz w:val="20"/>
        </w:rPr>
        <w:t>DiCarlo v. Potter</w:t>
      </w:r>
      <w:r>
        <w:rPr>
          <w:rFonts w:ascii="Arial" w:eastAsia="Arial" w:hAnsi="Arial" w:cs="Arial"/>
          <w:color w:val="000000"/>
          <w:sz w:val="20"/>
        </w:rPr>
        <w:t xml:space="preserve">, 358 F.3d 408, 419 (6th Cir. 2004), </w:t>
      </w:r>
      <w:r>
        <w:rPr>
          <w:rFonts w:ascii="Arial" w:eastAsia="Arial" w:hAnsi="Arial" w:cs="Arial"/>
          <w:i/>
          <w:color w:val="000000"/>
          <w:sz w:val="20"/>
        </w:rPr>
        <w:t xml:space="preserve">overruled on other grounds by </w:t>
      </w:r>
      <w:bookmarkStart w:id="6576" w:name="Bookmark_I5R4P34M2SF7TV0010000400"/>
      <w:bookmarkEnd w:id="6576"/>
      <w:r>
        <w:rPr>
          <w:rFonts w:ascii="Arial" w:eastAsia="Arial" w:hAnsi="Arial" w:cs="Arial"/>
          <w:i/>
          <w:color w:val="000000"/>
          <w:sz w:val="20"/>
        </w:rPr>
        <w:t>Gross v. FBL Fin. Servs., Inc.</w:t>
      </w:r>
      <w:r>
        <w:rPr>
          <w:rFonts w:ascii="Arial" w:eastAsia="Arial" w:hAnsi="Arial" w:cs="Arial"/>
          <w:color w:val="000000"/>
          <w:sz w:val="20"/>
        </w:rPr>
        <w:t>, 557 U.S. 167, 180, 129 S. Ct. 2343, 174 L. Ed. 2d 119 (2009).</w:t>
      </w:r>
    </w:p>
    <w:p w:rsidR="00E456CD" w:rsidRDefault="00000000">
      <w:pPr>
        <w:pStyle w:val="Normal42"/>
        <w:widowControl w:val="0"/>
        <w:spacing w:before="200" w:line="260" w:lineRule="atLeast"/>
        <w:jc w:val="both"/>
      </w:pPr>
      <w:bookmarkStart w:id="6577" w:name="Bookmark_para_11_36"/>
      <w:bookmarkStart w:id="6578" w:name="Bookmark_I5R4P34M2SF7TV0040000400"/>
      <w:bookmarkEnd w:id="6577"/>
      <w:bookmarkEnd w:id="6578"/>
      <w:r>
        <w:rPr>
          <w:rFonts w:ascii="Arial" w:eastAsia="Arial" w:hAnsi="Arial" w:cs="Arial"/>
          <w:color w:val="000000"/>
          <w:sz w:val="20"/>
        </w:rPr>
        <w:t xml:space="preserve">The district court held that Walmart's failure to provide Cotuna with written notes detailing work instructions did not constitute a failure to accommodate because Cotuna did not notify Walmart that this request was in connection with his disability. The district court [*6]  held that it was Cotuna's responsibility to inform Walmart that the written notes were a necessary accommodation; Walmart was not required to speculate that this was the case. </w:t>
      </w:r>
      <w:r>
        <w:rPr>
          <w:rFonts w:ascii="Arial" w:eastAsia="Arial" w:hAnsi="Arial" w:cs="Arial"/>
          <w:i/>
          <w:color w:val="000000"/>
          <w:sz w:val="20"/>
        </w:rPr>
        <w:t xml:space="preserve">See </w:t>
      </w:r>
      <w:bookmarkStart w:id="6579" w:name="Bookmark_I5R4P34M2SF7TV0030000400"/>
      <w:bookmarkEnd w:id="6579"/>
      <w:r>
        <w:rPr>
          <w:rFonts w:ascii="Arial" w:eastAsia="Arial" w:hAnsi="Arial" w:cs="Arial"/>
          <w:i/>
          <w:color w:val="000000"/>
          <w:sz w:val="20"/>
        </w:rPr>
        <w:t>Gantt v. Wilson Sporting Goods Co.</w:t>
      </w:r>
      <w:r>
        <w:rPr>
          <w:rFonts w:ascii="Arial" w:eastAsia="Arial" w:hAnsi="Arial" w:cs="Arial"/>
          <w:color w:val="000000"/>
          <w:sz w:val="20"/>
        </w:rPr>
        <w:t xml:space="preserve">, 143 F.3d 1042, 1046-47 (6th Cir. 1998). Cotuna does not dispute this holding on appeal, but argues here that he did not notify Walmart that his request for written notes was a request to accommodate his disability because the "Action Plan" form on which he submitted the request did not have a field for medical accommodation. But what the form provided for is irrelevant; Cotuna still had the burden of informing Walmart that he was requesting an accommodation for his disability. </w:t>
      </w:r>
      <w:r>
        <w:rPr>
          <w:rFonts w:ascii="Arial" w:eastAsia="Arial" w:hAnsi="Arial" w:cs="Arial"/>
          <w:i/>
          <w:color w:val="000000"/>
          <w:sz w:val="20"/>
        </w:rPr>
        <w:t>See id.</w:t>
      </w:r>
    </w:p>
    <w:p w:rsidR="00E456CD" w:rsidRDefault="00000000">
      <w:pPr>
        <w:pStyle w:val="Normal42"/>
        <w:widowControl w:val="0"/>
        <w:spacing w:before="200" w:line="260" w:lineRule="atLeast"/>
        <w:jc w:val="both"/>
      </w:pPr>
      <w:bookmarkStart w:id="6580" w:name="Bookmark_para_12_35"/>
      <w:bookmarkStart w:id="6581" w:name="Bookmark_I5R4P34M28T4VT0010000400"/>
      <w:bookmarkStart w:id="6582" w:name="Bookmark_I5R4P34M28T4VT0030000400"/>
      <w:bookmarkEnd w:id="6580"/>
      <w:bookmarkEnd w:id="6581"/>
      <w:bookmarkEnd w:id="6582"/>
      <w:r>
        <w:rPr>
          <w:rFonts w:ascii="Arial" w:eastAsia="Arial" w:hAnsi="Arial" w:cs="Arial"/>
          <w:color w:val="000000"/>
          <w:sz w:val="20"/>
        </w:rPr>
        <w:t xml:space="preserve">Cotuna argues that indefinite leave can be a reasonable accommodation if it is not an undue hardship, and that it would not be an undue hardship in his case. Cotuna relies on </w:t>
      </w:r>
      <w:bookmarkStart w:id="6583" w:name="Bookmark_I5R4P34M2SF7TV0050000400"/>
      <w:bookmarkEnd w:id="6583"/>
      <w:r>
        <w:rPr>
          <w:rFonts w:ascii="Arial" w:eastAsia="Arial" w:hAnsi="Arial" w:cs="Arial"/>
          <w:i/>
          <w:color w:val="000000"/>
          <w:sz w:val="20"/>
        </w:rPr>
        <w:t>Cleveland v. Federal Express Corp.</w:t>
      </w:r>
      <w:r>
        <w:rPr>
          <w:rFonts w:ascii="Arial" w:eastAsia="Arial" w:hAnsi="Arial" w:cs="Arial"/>
          <w:color w:val="000000"/>
          <w:sz w:val="20"/>
        </w:rPr>
        <w:t xml:space="preserve">, 83 F. App'x 74, 78-79 (6th Cir. 2003), for the proposition that indefinite leave could, in theory, be a reasonable accommodation. But we have held that where, as here, "an employer has already provided a substantial leave, an additional leave period of a significant duration, with no clear prospects of recovery, is an objectively unreasonable accommodation." </w:t>
      </w:r>
      <w:bookmarkStart w:id="6584" w:name="Bookmark_I5R4P34M28T4VT0020000400"/>
      <w:bookmarkEnd w:id="6584"/>
      <w:r>
        <w:rPr>
          <w:rFonts w:ascii="Arial" w:eastAsia="Arial" w:hAnsi="Arial" w:cs="Arial"/>
          <w:i/>
          <w:color w:val="000000"/>
          <w:sz w:val="20"/>
        </w:rPr>
        <w:t>Maat v. Cty. of Ottawa</w:t>
      </w:r>
      <w:r>
        <w:rPr>
          <w:rFonts w:ascii="Arial" w:eastAsia="Arial" w:hAnsi="Arial" w:cs="Arial"/>
          <w:color w:val="000000"/>
          <w:sz w:val="20"/>
        </w:rPr>
        <w:t xml:space="preserve">, 657 F. App'x 404, 412 (6th Cir. 2016) (quoting </w:t>
      </w:r>
      <w:bookmarkStart w:id="6585" w:name="Bookmark_I5R4P34M28T4VT0040000400"/>
      <w:bookmarkEnd w:id="6585"/>
      <w:r>
        <w:rPr>
          <w:rFonts w:ascii="Arial" w:eastAsia="Arial" w:hAnsi="Arial" w:cs="Arial"/>
          <w:i/>
          <w:color w:val="000000"/>
          <w:sz w:val="20"/>
        </w:rPr>
        <w:t>Walsh v. United Parcel Serv.</w:t>
      </w:r>
      <w:r>
        <w:rPr>
          <w:rFonts w:ascii="Arial" w:eastAsia="Arial" w:hAnsi="Arial" w:cs="Arial"/>
          <w:color w:val="000000"/>
          <w:sz w:val="20"/>
        </w:rPr>
        <w:t>, 201 F.3d 718, 727 (6th Cir. 2000)).</w:t>
      </w:r>
    </w:p>
    <w:p w:rsidR="00E456CD" w:rsidRDefault="00000000">
      <w:pPr>
        <w:pStyle w:val="Normal42"/>
        <w:widowControl w:val="0"/>
        <w:spacing w:before="200" w:line="260" w:lineRule="atLeast"/>
        <w:jc w:val="both"/>
      </w:pPr>
      <w:bookmarkStart w:id="6586" w:name="Bookmark_para_13_33"/>
      <w:bookmarkEnd w:id="6586"/>
      <w:r>
        <w:rPr>
          <w:rFonts w:ascii="Arial" w:eastAsia="Arial" w:hAnsi="Arial" w:cs="Arial"/>
          <w:color w:val="000000"/>
          <w:sz w:val="20"/>
        </w:rPr>
        <w:t>Cotuna argues in his reply brief that he did not request indefinite [*7]  leave, because he requested time off only until February 15, 2013. Cotuna was still unable to return to work by October 2015, however, and was still receiving social security disability benefits. His requested leave was therefore functionally for an indefinite period. And Cotuna did not show a clear prospect for recovery. Thus, his reasonable accommodation claim is without merit.</w:t>
      </w:r>
    </w:p>
    <w:p w:rsidR="00E456CD" w:rsidRDefault="00000000">
      <w:pPr>
        <w:pStyle w:val="Normal42"/>
        <w:widowControl w:val="0"/>
        <w:spacing w:before="200" w:line="260" w:lineRule="atLeast"/>
        <w:jc w:val="both"/>
      </w:pPr>
      <w:bookmarkStart w:id="6587" w:name="Bookmark_para_14_32"/>
      <w:bookmarkStart w:id="6588" w:name="Bookmark_I468863H6J700079X2M003D2"/>
      <w:bookmarkStart w:id="6589" w:name="Bookmark_I5R4P34M2N1RBW0020000400"/>
      <w:bookmarkStart w:id="6590" w:name="Bookmark_I5R4P34M2HM69X0010000400"/>
      <w:bookmarkEnd w:id="6587"/>
      <w:bookmarkEnd w:id="6588"/>
      <w:bookmarkEnd w:id="6589"/>
      <w:bookmarkEnd w:id="6590"/>
      <w:r>
        <w:rPr>
          <w:rFonts w:ascii="Arial" w:eastAsia="Arial" w:hAnsi="Arial" w:cs="Arial"/>
          <w:color w:val="000000"/>
          <w:sz w:val="20"/>
        </w:rPr>
        <w:t xml:space="preserve">The district court also properly granted summary judgment on Cotuna's discriminatory discharge claim. To prevail on a claim for discriminatory discharge under the ADA, Cotuna had to show that: "(1) he was disabled, (2) he was otherwise qualified to perform the essential functions of his position, with or without reasonable accommodation; (3) he suffered an adverse employment action; (4) [Walmart] knew or had reason to know of his disability; and (5) the position remained open or a nondisabled person replaced him." </w:t>
      </w:r>
      <w:bookmarkStart w:id="6591" w:name="Bookmark_I5R4P34M2N1RBW0010000400"/>
      <w:bookmarkEnd w:id="6591"/>
      <w:r>
        <w:rPr>
          <w:rFonts w:ascii="Arial" w:eastAsia="Arial" w:hAnsi="Arial" w:cs="Arial"/>
          <w:i/>
          <w:color w:val="000000"/>
          <w:sz w:val="20"/>
        </w:rPr>
        <w:t>Green v. BakeMark USA, LLC</w:t>
      </w:r>
      <w:r>
        <w:rPr>
          <w:rFonts w:ascii="Arial" w:eastAsia="Arial" w:hAnsi="Arial" w:cs="Arial"/>
          <w:color w:val="000000"/>
          <w:sz w:val="20"/>
        </w:rPr>
        <w:t xml:space="preserve">, 683 Fed. Appx. 486, 2017 U.S. App. LEXIS 5488, 2017 WL 1147168, at *7 (6th Cir. Mar. 27, 2017); </w:t>
      </w:r>
      <w:r>
        <w:rPr>
          <w:rFonts w:ascii="Arial" w:eastAsia="Arial" w:hAnsi="Arial" w:cs="Arial"/>
          <w:i/>
          <w:color w:val="000000"/>
          <w:sz w:val="20"/>
        </w:rPr>
        <w:t xml:space="preserve">see also </w:t>
      </w:r>
      <w:bookmarkStart w:id="6592" w:name="Bookmark_I5R4P34M2N1RBW0030000400"/>
      <w:bookmarkEnd w:id="6592"/>
      <w:r>
        <w:rPr>
          <w:rFonts w:ascii="Arial" w:eastAsia="Arial" w:hAnsi="Arial" w:cs="Arial"/>
          <w:i/>
          <w:color w:val="000000"/>
          <w:sz w:val="20"/>
        </w:rPr>
        <w:t>Plant v. Morton Int'l Inc.</w:t>
      </w:r>
      <w:r>
        <w:rPr>
          <w:rFonts w:ascii="Arial" w:eastAsia="Arial" w:hAnsi="Arial" w:cs="Arial"/>
          <w:color w:val="000000"/>
          <w:sz w:val="20"/>
        </w:rPr>
        <w:t xml:space="preserve">, 212 F.3d 929, 936 (6th Cir. 2000). "To be 'qualified' under the ADA, [Cotuna] must be able to 'perform the essential functions of [his position]' 'with or without reasonable accommodation.'" </w:t>
      </w:r>
      <w:bookmarkStart w:id="6593" w:name="Bookmark_I5R4P34M2N1RBW0050000400"/>
      <w:bookmarkEnd w:id="6593"/>
      <w:r>
        <w:rPr>
          <w:rFonts w:ascii="Arial" w:eastAsia="Arial" w:hAnsi="Arial" w:cs="Arial"/>
          <w:i/>
          <w:color w:val="000000"/>
          <w:sz w:val="20"/>
        </w:rPr>
        <w:t>EEOC v. Ford Motor Co.</w:t>
      </w:r>
      <w:r>
        <w:rPr>
          <w:rFonts w:ascii="Arial" w:eastAsia="Arial" w:hAnsi="Arial" w:cs="Arial"/>
          <w:color w:val="000000"/>
          <w:sz w:val="20"/>
        </w:rPr>
        <w:t>, 782 F.3d 753, 761 (6th Cir. 2015) (en banc) (quoting 42 U.S.C. § 12111(8)).</w:t>
      </w:r>
    </w:p>
    <w:p w:rsidR="00E456CD" w:rsidRDefault="00000000">
      <w:pPr>
        <w:pStyle w:val="Normal42"/>
        <w:widowControl w:val="0"/>
        <w:spacing w:before="200" w:line="260" w:lineRule="atLeast"/>
        <w:jc w:val="both"/>
      </w:pPr>
      <w:bookmarkStart w:id="6594" w:name="Bookmark_para_15_32"/>
      <w:bookmarkEnd w:id="6594"/>
      <w:r>
        <w:rPr>
          <w:rFonts w:ascii="Arial" w:eastAsia="Arial" w:hAnsi="Arial" w:cs="Arial"/>
          <w:color w:val="000000"/>
          <w:sz w:val="20"/>
        </w:rPr>
        <w:t xml:space="preserve">Cotuna's disability prevented him from coming into work for over one year, and the accommodation he requested [*8]  would not have enabled him to perform the essential functions of his position. Thus, he was not qualified for the position under the ADA. </w:t>
      </w:r>
      <w:r>
        <w:rPr>
          <w:rFonts w:ascii="Arial" w:eastAsia="Arial" w:hAnsi="Arial" w:cs="Arial"/>
          <w:i/>
          <w:color w:val="000000"/>
          <w:sz w:val="20"/>
        </w:rPr>
        <w:t>See id.</w:t>
      </w:r>
      <w:r>
        <w:rPr>
          <w:rFonts w:ascii="Arial" w:eastAsia="Arial" w:hAnsi="Arial" w:cs="Arial"/>
          <w:color w:val="000000"/>
          <w:sz w:val="20"/>
        </w:rPr>
        <w:t xml:space="preserve"> In his reply brief, Cotuna notes that he was able to perform his job until 2011, but this does not show that he was able to perform the essential functions of his job since that time. Because Cotuna has failed to articulate a prima facie case of discriminatory discharge, it is not necessary to consider whether he demonstrated that Walmart's proffered reason for dismissal was pretextual.</w:t>
      </w:r>
    </w:p>
    <w:p w:rsidR="00E456CD" w:rsidRDefault="00000000">
      <w:pPr>
        <w:pStyle w:val="Normal42"/>
        <w:widowControl w:val="0"/>
        <w:spacing w:before="200" w:line="260" w:lineRule="atLeast"/>
        <w:jc w:val="both"/>
      </w:pPr>
      <w:bookmarkStart w:id="6595" w:name="Bookmark_para_16_31"/>
      <w:bookmarkStart w:id="6596" w:name="Bookmark_I5R4P34M2HM69X0030000400"/>
      <w:bookmarkEnd w:id="6595"/>
      <w:bookmarkEnd w:id="6596"/>
      <w:r>
        <w:rPr>
          <w:rFonts w:ascii="Arial" w:eastAsia="Arial" w:hAnsi="Arial" w:cs="Arial"/>
          <w:color w:val="000000"/>
          <w:sz w:val="20"/>
        </w:rPr>
        <w:t xml:space="preserve">Cotuna also failed to establish a prima facie case of wage discrimination. "[I]n order to establish a prima facie case of wage discrimination under the EPA, plaintiffs must show that an employer pays different wages to employees of opposite sexes for equal work on jobs the performance of which requires equal skill, effort, and responsibility, and which are performed under similar working conditions." </w:t>
      </w:r>
      <w:bookmarkStart w:id="6597" w:name="Bookmark_I5R4P34M2HM69X0020000400"/>
      <w:bookmarkEnd w:id="6597"/>
      <w:r>
        <w:rPr>
          <w:rFonts w:ascii="Arial" w:eastAsia="Arial" w:hAnsi="Arial" w:cs="Arial"/>
          <w:i/>
          <w:color w:val="000000"/>
          <w:sz w:val="20"/>
        </w:rPr>
        <w:t>Schleicher v. Preferred Solutions, Inc.</w:t>
      </w:r>
      <w:r>
        <w:rPr>
          <w:rFonts w:ascii="Arial" w:eastAsia="Arial" w:hAnsi="Arial" w:cs="Arial"/>
          <w:color w:val="000000"/>
          <w:sz w:val="20"/>
        </w:rPr>
        <w:t xml:space="preserve">, 831 F.3d 746, 752 (6th Cir. 2016) (quoting </w:t>
      </w:r>
      <w:bookmarkStart w:id="6598" w:name="Bookmark_I5R4P34M2HM69X0040000400"/>
      <w:bookmarkEnd w:id="6598"/>
      <w:r>
        <w:rPr>
          <w:rFonts w:ascii="Arial" w:eastAsia="Arial" w:hAnsi="Arial" w:cs="Arial"/>
          <w:i/>
          <w:color w:val="000000"/>
          <w:sz w:val="20"/>
        </w:rPr>
        <w:t>Beck-Wilson v. Principi</w:t>
      </w:r>
      <w:r>
        <w:rPr>
          <w:rFonts w:ascii="Arial" w:eastAsia="Arial" w:hAnsi="Arial" w:cs="Arial"/>
          <w:color w:val="000000"/>
          <w:sz w:val="20"/>
        </w:rPr>
        <w:t>, 441 F.3d 353, 359 (6th Cir. 2006)). Cotuna's allegations that a female coworker received a raise when he did not are conclusory and unsupported by the record. The declarations Cotuna cites do not demonstrate that a female colleague received a raise, but only that she received a satisfactory [*9]  performance review. Cotuna also cites Walmart's internal investigation by Ken Brewer. Although that report identified other misconduct by Ashton-Hendrixson, it did not substantiate Cotuna's claim of unequal pay. Because Cotuna did not show that female colleagues received different pay for the same work as male colleagues, he did not establish a prima facie case of wage discrimination, and therefore the district court properly granted summary judgment on this claim.</w:t>
      </w:r>
    </w:p>
    <w:p w:rsidR="00E456CD" w:rsidRDefault="00000000">
      <w:pPr>
        <w:pStyle w:val="Normal42"/>
        <w:widowControl w:val="0"/>
        <w:spacing w:before="200" w:line="260" w:lineRule="atLeast"/>
        <w:jc w:val="both"/>
      </w:pPr>
      <w:bookmarkStart w:id="6599" w:name="Bookmark_para_17_30"/>
      <w:bookmarkStart w:id="6600" w:name="Bookmark_I468863H2R300079X2M003D1"/>
      <w:bookmarkStart w:id="6601" w:name="Bookmark_I5R4P34M2SF7TW0020000400"/>
      <w:bookmarkEnd w:id="6599"/>
      <w:bookmarkEnd w:id="6600"/>
      <w:bookmarkEnd w:id="6601"/>
      <w:r>
        <w:rPr>
          <w:rFonts w:ascii="Arial" w:eastAsia="Arial" w:hAnsi="Arial" w:cs="Arial"/>
          <w:color w:val="000000"/>
          <w:sz w:val="20"/>
        </w:rPr>
        <w:t xml:space="preserve">The district court properly dismissed Cotuna's hostile work environment claims arising under Title VII and the ELCRA. To establish a prima facie case of a hostile work environment, a plaintiff must show that: "(1) he is a member of a protected class; (2) he was subjected to unwelcome harassment; (3) the harassment was based on plaintiff's protected status; (4) the harassment was sufficiently severe or pervasive to affect a term, condition, or privilege of employment; and (5) the employer knew or should have known about the harassing conduct but failed to take corrective or preventative actions." </w:t>
      </w:r>
      <w:bookmarkStart w:id="6602" w:name="Bookmark_I5R4P34M2SF7TW0010000400"/>
      <w:bookmarkEnd w:id="6602"/>
      <w:r>
        <w:rPr>
          <w:rFonts w:ascii="Arial" w:eastAsia="Arial" w:hAnsi="Arial" w:cs="Arial"/>
          <w:i/>
          <w:color w:val="000000"/>
          <w:sz w:val="20"/>
        </w:rPr>
        <w:t>Fullen v. City of Columbus</w:t>
      </w:r>
      <w:r>
        <w:rPr>
          <w:rFonts w:ascii="Arial" w:eastAsia="Arial" w:hAnsi="Arial" w:cs="Arial"/>
          <w:color w:val="000000"/>
          <w:sz w:val="20"/>
        </w:rPr>
        <w:t xml:space="preserve">, 514 F. App'x 601, 606-07 (6th Cir. 2013) (citing </w:t>
      </w:r>
      <w:bookmarkStart w:id="6603" w:name="Bookmark_I5R4P34M2SF7TW0030000400"/>
      <w:bookmarkEnd w:id="6603"/>
      <w:r>
        <w:rPr>
          <w:rFonts w:ascii="Arial" w:eastAsia="Arial" w:hAnsi="Arial" w:cs="Arial"/>
          <w:i/>
          <w:color w:val="000000"/>
          <w:sz w:val="20"/>
        </w:rPr>
        <w:t>Bailey v. USF Holland, Inc.</w:t>
      </w:r>
      <w:r>
        <w:rPr>
          <w:rFonts w:ascii="Arial" w:eastAsia="Arial" w:hAnsi="Arial" w:cs="Arial"/>
          <w:color w:val="000000"/>
          <w:sz w:val="20"/>
        </w:rPr>
        <w:t xml:space="preserve">, 526 F.3d 880, 885 (6th Cir. 2008)); </w:t>
      </w:r>
      <w:r>
        <w:rPr>
          <w:rFonts w:ascii="Arial" w:eastAsia="Arial" w:hAnsi="Arial" w:cs="Arial"/>
          <w:i/>
          <w:color w:val="000000"/>
          <w:sz w:val="20"/>
        </w:rPr>
        <w:t xml:space="preserve">see also </w:t>
      </w:r>
      <w:bookmarkStart w:id="6604" w:name="Bookmark_I5R4P34M2SF7TW0050000400"/>
      <w:bookmarkEnd w:id="6604"/>
      <w:r>
        <w:rPr>
          <w:rFonts w:ascii="Arial" w:eastAsia="Arial" w:hAnsi="Arial" w:cs="Arial"/>
          <w:i/>
          <w:color w:val="000000"/>
          <w:sz w:val="20"/>
        </w:rPr>
        <w:t>Kalich v. AT&amp;T Mobility, LLC</w:t>
      </w:r>
      <w:r>
        <w:rPr>
          <w:rFonts w:ascii="Arial" w:eastAsia="Arial" w:hAnsi="Arial" w:cs="Arial"/>
          <w:color w:val="000000"/>
          <w:sz w:val="20"/>
        </w:rPr>
        <w:t>, 679 F.3d 464, 470 (6th Cir. 2012).</w:t>
      </w:r>
    </w:p>
    <w:p w:rsidR="00E456CD" w:rsidRDefault="00000000">
      <w:pPr>
        <w:pStyle w:val="Normal42"/>
        <w:widowControl w:val="0"/>
        <w:spacing w:before="200" w:line="260" w:lineRule="atLeast"/>
        <w:jc w:val="both"/>
      </w:pPr>
      <w:bookmarkStart w:id="6605" w:name="Bookmark_para_18_29"/>
      <w:bookmarkEnd w:id="6605"/>
      <w:r>
        <w:rPr>
          <w:rFonts w:ascii="Arial" w:eastAsia="Arial" w:hAnsi="Arial" w:cs="Arial"/>
          <w:color w:val="000000"/>
          <w:sz w:val="20"/>
        </w:rPr>
        <w:t xml:space="preserve">Cotuna asserts that he faced a hostile work environment due to his national origin and disability. However, [*10]  in his deposition he admitted that nobody made any comments about his national origin beyond asking him to speak better English, and that his belief that the treatment was due to his national origin was largely subjective. Cotuna points to Walmart's termination of Ashton-Hendrixson to support his claim. </w:t>
      </w:r>
      <w:bookmarkStart w:id="6606" w:name="Bookmark_I5R4P34M2D6NB60030000400"/>
      <w:bookmarkEnd w:id="6606"/>
      <w:r>
        <w:rPr>
          <w:rFonts w:ascii="Arial" w:eastAsia="Arial" w:hAnsi="Arial" w:cs="Arial"/>
          <w:color w:val="000000"/>
          <w:sz w:val="20"/>
        </w:rPr>
        <w:t xml:space="preserve">The record shows misconduct by Ashton-Hendrixson, but it does not show she harassed Cotuna because of his national origin. Cotuna also fails to establish that he was harassed on the basis of his disability, because an isolated and ambiguous comment that he needed to move faster does not amount to harassment. </w:t>
      </w:r>
      <w:r>
        <w:rPr>
          <w:rFonts w:ascii="Arial" w:eastAsia="Arial" w:hAnsi="Arial" w:cs="Arial"/>
          <w:i/>
          <w:color w:val="000000"/>
          <w:sz w:val="20"/>
        </w:rPr>
        <w:t xml:space="preserve">See </w:t>
      </w:r>
      <w:bookmarkStart w:id="6607" w:name="Bookmark_I5R4P34M2D6NB60020000400"/>
      <w:bookmarkEnd w:id="6607"/>
      <w:r>
        <w:rPr>
          <w:rFonts w:ascii="Arial" w:eastAsia="Arial" w:hAnsi="Arial" w:cs="Arial"/>
          <w:i/>
          <w:color w:val="000000"/>
          <w:sz w:val="20"/>
        </w:rPr>
        <w:t>Younis v. Pinnacle Airlines, Inc.</w:t>
      </w:r>
      <w:r>
        <w:rPr>
          <w:rFonts w:ascii="Arial" w:eastAsia="Arial" w:hAnsi="Arial" w:cs="Arial"/>
          <w:color w:val="000000"/>
          <w:sz w:val="20"/>
        </w:rPr>
        <w:t xml:space="preserve">, 610 F.3d 359, 362 (6th Cir. 2010); </w:t>
      </w:r>
      <w:bookmarkStart w:id="6608" w:name="Bookmark_I5R4P34M2D6NB60040000400"/>
      <w:bookmarkEnd w:id="6608"/>
      <w:r>
        <w:rPr>
          <w:rFonts w:ascii="Arial" w:eastAsia="Arial" w:hAnsi="Arial" w:cs="Arial"/>
          <w:i/>
          <w:color w:val="000000"/>
          <w:sz w:val="20"/>
        </w:rPr>
        <w:t>Ercegovich v. Goodyear Tire &amp; Rubber Co.</w:t>
      </w:r>
      <w:r>
        <w:rPr>
          <w:rFonts w:ascii="Arial" w:eastAsia="Arial" w:hAnsi="Arial" w:cs="Arial"/>
          <w:color w:val="000000"/>
          <w:sz w:val="20"/>
        </w:rPr>
        <w:t>, 154 F.3d 344, 355 (6th Cir. 1998). Because Cotuna fails to satisfy the third and fourth elements, the district court properly granted summary judgment on this claim.</w:t>
      </w:r>
    </w:p>
    <w:p w:rsidR="00E456CD" w:rsidRDefault="00000000">
      <w:pPr>
        <w:pStyle w:val="Normal42"/>
        <w:widowControl w:val="0"/>
        <w:spacing w:before="200" w:line="260" w:lineRule="atLeast"/>
        <w:jc w:val="both"/>
      </w:pPr>
      <w:bookmarkStart w:id="6609" w:name="Bookmark_para_19_28"/>
      <w:bookmarkStart w:id="6610" w:name="Bookmark_I5R4P34M28T4VV0020000400"/>
      <w:bookmarkEnd w:id="6609"/>
      <w:bookmarkEnd w:id="6610"/>
      <w:r>
        <w:rPr>
          <w:rFonts w:ascii="Arial" w:eastAsia="Arial" w:hAnsi="Arial" w:cs="Arial"/>
          <w:color w:val="000000"/>
          <w:sz w:val="20"/>
        </w:rPr>
        <w:t xml:space="preserve">The district court properly granted summary judgment on Cotuna's retaliation claim. Walmart provided a legitimate, nondiscriminatory reason for terminating Cotuna: he failed to return to work after a lengthy leave without proper medical documentation. The burden is then on Cotuna to show that Walmart's reason for termination was pretextual, which he must do by providing evidence "(1) that the proffered reasons had no basis in fact, (2) that the [*11]  proffered reasons did not actually motivate the employer's action, or (3) that they were insufficient to motivate the employer's action." </w:t>
      </w:r>
      <w:bookmarkStart w:id="6611" w:name="Bookmark_I5R4P34M28T4VV0010000400"/>
      <w:bookmarkEnd w:id="6611"/>
      <w:r>
        <w:rPr>
          <w:rFonts w:ascii="Arial" w:eastAsia="Arial" w:hAnsi="Arial" w:cs="Arial"/>
          <w:i/>
          <w:color w:val="000000"/>
          <w:sz w:val="20"/>
        </w:rPr>
        <w:t>Chen</w:t>
      </w:r>
      <w:r>
        <w:rPr>
          <w:rFonts w:ascii="Arial" w:eastAsia="Arial" w:hAnsi="Arial" w:cs="Arial"/>
          <w:color w:val="000000"/>
          <w:sz w:val="20"/>
        </w:rPr>
        <w:t>, 580 F.3d at 400. Cotuna provided no such evidence.</w:t>
      </w:r>
    </w:p>
    <w:p w:rsidR="00E456CD" w:rsidRDefault="00000000">
      <w:pPr>
        <w:pStyle w:val="Normal42"/>
        <w:widowControl w:val="0"/>
        <w:spacing w:before="200" w:line="260" w:lineRule="atLeast"/>
        <w:jc w:val="both"/>
      </w:pPr>
      <w:bookmarkStart w:id="6612" w:name="Bookmark_para_20_27"/>
      <w:bookmarkEnd w:id="6612"/>
      <w:r>
        <w:rPr>
          <w:rFonts w:ascii="Arial" w:eastAsia="Arial" w:hAnsi="Arial" w:cs="Arial"/>
          <w:color w:val="000000"/>
          <w:sz w:val="20"/>
        </w:rPr>
        <w:t xml:space="preserve">For the forgoing reasons, we </w:t>
      </w:r>
      <w:r>
        <w:rPr>
          <w:rFonts w:ascii="Arial" w:eastAsia="Arial" w:hAnsi="Arial" w:cs="Arial"/>
          <w:b/>
          <w:color w:val="000000"/>
          <w:sz w:val="20"/>
        </w:rPr>
        <w:t>AFFIRM</w:t>
      </w:r>
      <w:r>
        <w:rPr>
          <w:rFonts w:ascii="Arial" w:eastAsia="Arial" w:hAnsi="Arial" w:cs="Arial"/>
          <w:color w:val="000000"/>
          <w:sz w:val="20"/>
        </w:rPr>
        <w:t xml:space="preserve"> the judgment of the district court.</w:t>
      </w:r>
    </w:p>
    <w:p w:rsidR="00E456CD" w:rsidRDefault="00E456CD">
      <w:pPr>
        <w:pStyle w:val="Normal42"/>
      </w:pPr>
    </w:p>
    <w:p w:rsidR="00E456CD" w:rsidRDefault="00000000">
      <w:pPr>
        <w:pStyle w:val="Normal42"/>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4937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695390569"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05AD6" id="Line 92"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3"/>
        <w:sectPr w:rsidR="00E456CD">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gutter="0"/>
          <w:cols w:space="720"/>
          <w:titlePg/>
        </w:sectPr>
      </w:pPr>
    </w:p>
    <w:p w:rsidR="00E456CD" w:rsidRDefault="00E456CD">
      <w:pPr>
        <w:pStyle w:val="Normal43"/>
      </w:pPr>
    </w:p>
    <w:p w:rsidR="00E456CD" w:rsidRDefault="00000000">
      <w:pPr>
        <w:pStyle w:val="Heading142"/>
        <w:keepNext w:val="0"/>
        <w:widowControl w:val="0"/>
        <w:spacing w:after="200" w:line="340" w:lineRule="atLeast"/>
        <w:jc w:val="center"/>
      </w:pPr>
      <w:r>
        <w:rPr>
          <w:rFonts w:eastAsia="Arial"/>
          <w:color w:val="000000"/>
          <w:sz w:val="28"/>
        </w:rPr>
        <w:t>Patton v. Jacobs Eng'g Grp., Inc.</w:t>
      </w:r>
    </w:p>
    <w:p w:rsidR="00E456CD" w:rsidRDefault="00000000">
      <w:pPr>
        <w:pStyle w:val="Normal43"/>
        <w:widowControl w:val="0"/>
        <w:spacing w:before="120" w:line="260" w:lineRule="atLeast"/>
        <w:jc w:val="center"/>
      </w:pPr>
      <w:r>
        <w:rPr>
          <w:rFonts w:ascii="Arial" w:eastAsia="Arial" w:hAnsi="Arial" w:cs="Arial"/>
          <w:color w:val="000000"/>
          <w:sz w:val="20"/>
        </w:rPr>
        <w:t>United States Court of Appeals for the Fifth Circuit</w:t>
      </w:r>
    </w:p>
    <w:p w:rsidR="00E456CD" w:rsidRDefault="00000000">
      <w:pPr>
        <w:pStyle w:val="Normal43"/>
        <w:widowControl w:val="0"/>
        <w:spacing w:before="120" w:line="260" w:lineRule="atLeast"/>
        <w:jc w:val="center"/>
      </w:pPr>
      <w:r>
        <w:rPr>
          <w:rFonts w:ascii="Arial" w:eastAsia="Arial" w:hAnsi="Arial" w:cs="Arial"/>
          <w:color w:val="000000"/>
          <w:sz w:val="20"/>
        </w:rPr>
        <w:t>July 17, 2017, Filed</w:t>
      </w:r>
    </w:p>
    <w:p w:rsidR="00E456CD" w:rsidRDefault="00000000">
      <w:pPr>
        <w:pStyle w:val="Normal43"/>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16-30879</w:t>
      </w:r>
    </w:p>
    <w:p w:rsidR="00E456CD" w:rsidRDefault="00E456CD">
      <w:pPr>
        <w:pStyle w:val="Normal43"/>
        <w:widowControl w:val="0"/>
        <w:spacing w:line="240" w:lineRule="atLeast"/>
        <w:jc w:val="both"/>
      </w:pPr>
      <w:bookmarkStart w:id="6613" w:name="Bookmark_44"/>
      <w:bookmarkEnd w:id="6613"/>
    </w:p>
    <w:p w:rsidR="00E456CD" w:rsidRDefault="00000000">
      <w:pPr>
        <w:pStyle w:val="Normal43"/>
        <w:widowControl w:val="0"/>
        <w:spacing w:before="200" w:line="240" w:lineRule="atLeast"/>
      </w:pPr>
      <w:bookmarkStart w:id="6614" w:name="Reporter_42"/>
      <w:bookmarkEnd w:id="6614"/>
      <w:r>
        <w:rPr>
          <w:rFonts w:ascii="Arial" w:eastAsia="Arial" w:hAnsi="Arial" w:cs="Arial"/>
          <w:b/>
          <w:color w:val="000000"/>
          <w:sz w:val="18"/>
        </w:rPr>
        <w:t>Reporter</w:t>
      </w:r>
    </w:p>
    <w:p w:rsidR="00E456CD" w:rsidRDefault="00000000">
      <w:pPr>
        <w:pStyle w:val="Normal43"/>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863 F.3d 419 *; 2017 U.S. App. LEXIS 12763 **; 33 Am. Disabilities Cas. (BNA) 957; 17 Accom. Disabilities Dec. (CCH) P17-178; 2017 WL 3014429</w:t>
      </w:r>
    </w:p>
    <w:p w:rsidR="00E456CD" w:rsidRDefault="00000000">
      <w:pPr>
        <w:pStyle w:val="Normal43"/>
        <w:widowControl w:val="0"/>
        <w:spacing w:before="120" w:line="260" w:lineRule="atLeast"/>
      </w:pPr>
      <w:r>
        <w:rPr>
          <w:rFonts w:ascii="Arial" w:eastAsia="Arial" w:hAnsi="Arial" w:cs="Arial"/>
          <w:color w:val="000000"/>
          <w:sz w:val="20"/>
        </w:rPr>
        <w:t>TIMOTHY PATTON, Plaintiff—Appellant, v. JACOBS ENGINEERING GROUP, INCORPORATED; TALASCEND, L.L.C., Defendants—Appellees.</w:t>
      </w:r>
    </w:p>
    <w:p w:rsidR="00E456CD" w:rsidRDefault="00000000">
      <w:pPr>
        <w:pStyle w:val="Normal43"/>
        <w:widowControl w:val="0"/>
        <w:spacing w:before="240" w:line="260" w:lineRule="atLeast"/>
      </w:pPr>
      <w:bookmarkStart w:id="6615" w:name="Subsequent_History_17"/>
      <w:bookmarkEnd w:id="6615"/>
      <w:r>
        <w:rPr>
          <w:rFonts w:ascii="Arial" w:eastAsia="Arial" w:hAnsi="Arial" w:cs="Arial"/>
          <w:b/>
          <w:color w:val="000000"/>
          <w:sz w:val="20"/>
        </w:rPr>
        <w:t>Subsequent History:</w:t>
      </w:r>
      <w:r>
        <w:rPr>
          <w:rFonts w:ascii="Arial" w:eastAsia="Arial" w:hAnsi="Arial" w:cs="Arial"/>
          <w:color w:val="000000"/>
          <w:sz w:val="20"/>
        </w:rPr>
        <w:t> Rehearing denied by, Opinion withdrawn by, Substituted opinion at Patton v. Jacobs Eng'g Grp., Inc., 874 F.3d 437, 2017 U.S. App. LEXIS 21028 (5th Cir. La., Oct. 24, 2017)</w:t>
      </w:r>
    </w:p>
    <w:p w:rsidR="00E456CD" w:rsidRDefault="00000000">
      <w:pPr>
        <w:pStyle w:val="Normal43"/>
        <w:widowControl w:val="0"/>
        <w:spacing w:before="240" w:line="260" w:lineRule="atLeast"/>
        <w:jc w:val="both"/>
      </w:pPr>
      <w:bookmarkStart w:id="6616" w:name="Prior_History_42"/>
      <w:bookmarkEnd w:id="6616"/>
      <w:r>
        <w:rPr>
          <w:rFonts w:ascii="Arial" w:eastAsia="Arial" w:hAnsi="Arial" w:cs="Arial"/>
          <w:b/>
          <w:color w:val="000000"/>
          <w:sz w:val="20"/>
        </w:rPr>
        <w:t>Prior History:</w:t>
      </w:r>
      <w:r>
        <w:rPr>
          <w:rFonts w:ascii="Arial" w:eastAsia="Arial" w:hAnsi="Arial" w:cs="Arial"/>
          <w:color w:val="000000"/>
          <w:sz w:val="20"/>
        </w:rPr>
        <w:t> </w:t>
      </w:r>
      <w:bookmarkStart w:id="6617" w:name="Bookmark_para_1_42"/>
      <w:bookmarkEnd w:id="6617"/>
      <w:r>
        <w:rPr>
          <w:rFonts w:ascii="Arial" w:eastAsia="Arial" w:hAnsi="Arial" w:cs="Arial"/>
          <w:color w:val="000000"/>
          <w:sz w:val="20"/>
        </w:rPr>
        <w:t> [**1] Appeal from the United States District Court for the Middle District of Louisiana.</w:t>
      </w:r>
    </w:p>
    <w:p w:rsidR="00E456CD" w:rsidRDefault="00000000">
      <w:pPr>
        <w:pStyle w:val="Normal43"/>
        <w:widowControl w:val="0"/>
        <w:spacing w:before="120" w:line="260" w:lineRule="atLeast"/>
      </w:pPr>
      <w:r>
        <w:rPr>
          <w:rFonts w:ascii="Arial" w:eastAsia="Arial" w:hAnsi="Arial" w:cs="Arial"/>
          <w:color w:val="000000"/>
          <w:sz w:val="20"/>
        </w:rPr>
        <w:t>Patton v. Jacobs Eng'g Group, Inc., 2016 U.S. Dist. LEXIS 83441 (M.D. La., June 24, 2016)</w:t>
      </w:r>
    </w:p>
    <w:p w:rsidR="00E456CD" w:rsidRDefault="00000000">
      <w:pPr>
        <w:pStyle w:val="Normal43"/>
        <w:widowControl w:val="0"/>
        <w:spacing w:before="240" w:line="260" w:lineRule="atLeast"/>
      </w:pPr>
      <w:bookmarkStart w:id="6618" w:name="Counsel_42"/>
      <w:bookmarkEnd w:id="6618"/>
      <w:r>
        <w:rPr>
          <w:rFonts w:ascii="Arial" w:eastAsia="Arial" w:hAnsi="Arial" w:cs="Arial"/>
          <w:b/>
          <w:color w:val="000000"/>
          <w:sz w:val="20"/>
        </w:rPr>
        <w:t>Counsel:</w:t>
      </w:r>
      <w:r>
        <w:rPr>
          <w:rFonts w:ascii="Arial" w:eastAsia="Arial" w:hAnsi="Arial" w:cs="Arial"/>
          <w:color w:val="000000"/>
          <w:sz w:val="20"/>
        </w:rPr>
        <w:t> For TIMOTHY PATTON, Plaintiff - Appellant: Kenneth Maurice Willis, Willis Law Firm, Baton Rouge, LA.</w:t>
      </w:r>
    </w:p>
    <w:p w:rsidR="00E456CD" w:rsidRDefault="00000000">
      <w:pPr>
        <w:pStyle w:val="Normal43"/>
        <w:widowControl w:val="0"/>
        <w:spacing w:before="120" w:line="260" w:lineRule="atLeast"/>
      </w:pPr>
      <w:r>
        <w:rPr>
          <w:rFonts w:ascii="Arial" w:eastAsia="Arial" w:hAnsi="Arial" w:cs="Arial"/>
          <w:color w:val="000000"/>
          <w:sz w:val="20"/>
        </w:rPr>
        <w:t>For JACOBS ENGINEERING GROUP, INCORPORATED, Defendant - Appellee: Marion F. Walker, Esq., Fisher &amp; Phillips, L.L.P., Birmingham, AL; Michelle Ilene Anderson, Fisher &amp; Phillips, L.L.P., New Orleans, LA.</w:t>
      </w:r>
    </w:p>
    <w:p w:rsidR="00E456CD" w:rsidRDefault="00000000">
      <w:pPr>
        <w:pStyle w:val="Normal43"/>
        <w:widowControl w:val="0"/>
        <w:spacing w:before="120" w:line="260" w:lineRule="atLeast"/>
      </w:pPr>
      <w:r>
        <w:rPr>
          <w:rFonts w:ascii="Arial" w:eastAsia="Arial" w:hAnsi="Arial" w:cs="Arial"/>
          <w:color w:val="000000"/>
          <w:sz w:val="20"/>
        </w:rPr>
        <w:t>For TALASCEND, L.L.C., Defendant - Appellee: Eric Ray Miller, Esq., Jeremy James Landry, Esq., Kullman Firm, Baton Rouge, LA.</w:t>
      </w:r>
    </w:p>
    <w:p w:rsidR="00E456CD" w:rsidRDefault="00000000">
      <w:pPr>
        <w:pStyle w:val="Normal43"/>
        <w:widowControl w:val="0"/>
        <w:spacing w:before="240" w:line="260" w:lineRule="atLeast"/>
      </w:pPr>
      <w:bookmarkStart w:id="6619" w:name="Judges_42"/>
      <w:bookmarkEnd w:id="6619"/>
      <w:r>
        <w:rPr>
          <w:rFonts w:ascii="Arial" w:eastAsia="Arial" w:hAnsi="Arial" w:cs="Arial"/>
          <w:b/>
          <w:color w:val="000000"/>
          <w:sz w:val="20"/>
        </w:rPr>
        <w:t>Judges:</w:t>
      </w:r>
      <w:r>
        <w:rPr>
          <w:rFonts w:ascii="Arial" w:eastAsia="Arial" w:hAnsi="Arial" w:cs="Arial"/>
          <w:color w:val="000000"/>
          <w:sz w:val="20"/>
        </w:rPr>
        <w:t> Before KING, JOLLY, and PRADO, Circuit Judges.</w:t>
      </w:r>
    </w:p>
    <w:p w:rsidR="00E456CD" w:rsidRDefault="00000000">
      <w:pPr>
        <w:pStyle w:val="Normal43"/>
        <w:widowControl w:val="0"/>
        <w:spacing w:before="240" w:line="260" w:lineRule="atLeast"/>
      </w:pPr>
      <w:bookmarkStart w:id="6620" w:name="Opinion_by_26"/>
      <w:bookmarkEnd w:id="6620"/>
      <w:r>
        <w:rPr>
          <w:rFonts w:ascii="Arial" w:eastAsia="Arial" w:hAnsi="Arial" w:cs="Arial"/>
          <w:b/>
          <w:color w:val="000000"/>
          <w:sz w:val="20"/>
        </w:rPr>
        <w:t>Opinion by:</w:t>
      </w:r>
      <w:r>
        <w:rPr>
          <w:rFonts w:ascii="Arial" w:eastAsia="Arial" w:hAnsi="Arial" w:cs="Arial"/>
          <w:color w:val="000000"/>
          <w:sz w:val="20"/>
        </w:rPr>
        <w:t> EDWARD C. PRADO</w:t>
      </w:r>
    </w:p>
    <w:p w:rsidR="00E456CD" w:rsidRDefault="00000000">
      <w:pPr>
        <w:pStyle w:val="Normal43"/>
        <w:keepNext/>
        <w:widowControl w:val="0"/>
        <w:spacing w:before="240" w:line="340" w:lineRule="atLeast"/>
      </w:pPr>
      <w:bookmarkStart w:id="6621" w:name="Opinion_42"/>
      <w:bookmarkEnd w:id="6621"/>
      <w:r>
        <w:rPr>
          <w:rFonts w:ascii="Arial" w:eastAsia="Arial" w:hAnsi="Arial" w:cs="Arial"/>
          <w:b/>
          <w:color w:val="000000"/>
          <w:sz w:val="28"/>
        </w:rPr>
        <w:t>Opinion</w:t>
      </w:r>
    </w:p>
    <w:p w:rsidR="00E456CD" w:rsidRDefault="00E22289">
      <w:pPr>
        <w:pStyle w:val="Normal43"/>
        <w:spacing w:line="60" w:lineRule="exact"/>
      </w:pPr>
      <w:r>
        <w:rPr>
          <w:noProof/>
        </w:rPr>
        <mc:AlternateContent>
          <mc:Choice Requires="wps">
            <w:drawing>
              <wp:anchor distT="0" distB="0" distL="114300" distR="114300" simplePos="0" relativeHeight="25175040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963146490"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549B5" id="Line 93"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3"/>
      </w:pPr>
    </w:p>
    <w:p w:rsidR="00E456CD" w:rsidRDefault="00000000">
      <w:pPr>
        <w:pStyle w:val="Normal43"/>
        <w:widowControl w:val="0"/>
        <w:spacing w:before="200" w:line="260" w:lineRule="atLeast"/>
        <w:jc w:val="both"/>
      </w:pPr>
      <w:bookmarkStart w:id="6622" w:name="Bookmark_para_2_42"/>
      <w:bookmarkEnd w:id="6622"/>
      <w:r>
        <w:rPr>
          <w:rFonts w:ascii="Arial" w:eastAsia="Arial" w:hAnsi="Arial" w:cs="Arial"/>
          <w:color w:val="000000"/>
          <w:sz w:val="20"/>
        </w:rPr>
        <w:t> [*421]  EDWARD C. PRADO, Circuit Judge:</w:t>
      </w:r>
    </w:p>
    <w:p w:rsidR="00E456CD" w:rsidRDefault="00000000">
      <w:pPr>
        <w:pStyle w:val="Normal43"/>
        <w:widowControl w:val="0"/>
        <w:spacing w:before="200" w:line="260" w:lineRule="atLeast"/>
        <w:jc w:val="both"/>
      </w:pPr>
      <w:bookmarkStart w:id="6623" w:name="Bookmark_para_3_42"/>
      <w:bookmarkEnd w:id="6623"/>
      <w:r>
        <w:rPr>
          <w:rFonts w:ascii="Arial" w:eastAsia="Arial" w:hAnsi="Arial" w:cs="Arial"/>
          <w:color w:val="000000"/>
          <w:sz w:val="20"/>
        </w:rPr>
        <w:t>Plaintiff-Appellant Timothy Patton brought this American Disabilities Act ("ADA") case against Jacobs Engineering Group Inc. ("Jacobs") and Talascend, LLC ("Talascend"). The district court granted summary judgment against Patton on his failure to accommodate and hostile work environment claims. For the reasons stated below, we AFFIRM.</w:t>
      </w:r>
    </w:p>
    <w:p w:rsidR="00E456CD" w:rsidRDefault="00000000">
      <w:pPr>
        <w:pStyle w:val="Normal43"/>
        <w:widowControl w:val="0"/>
        <w:spacing w:before="240" w:line="260" w:lineRule="atLeast"/>
      </w:pPr>
      <w:r>
        <w:br/>
      </w:r>
      <w:r>
        <w:rPr>
          <w:rFonts w:ascii="Arial" w:eastAsia="Arial" w:hAnsi="Arial" w:cs="Arial"/>
          <w:b/>
          <w:color w:val="000000"/>
          <w:sz w:val="20"/>
        </w:rPr>
        <w:t>I. BACKGROUND</w:t>
      </w:r>
    </w:p>
    <w:p w:rsidR="00E456CD" w:rsidRDefault="00000000">
      <w:pPr>
        <w:pStyle w:val="Normal43"/>
        <w:widowControl w:val="0"/>
        <w:spacing w:before="200" w:line="260" w:lineRule="atLeast"/>
        <w:jc w:val="both"/>
      </w:pPr>
      <w:bookmarkStart w:id="6624" w:name="Bookmark_para_4_42"/>
      <w:bookmarkEnd w:id="6624"/>
      <w:r>
        <w:rPr>
          <w:rFonts w:ascii="Arial" w:eastAsia="Arial" w:hAnsi="Arial" w:cs="Arial"/>
          <w:color w:val="000000"/>
          <w:sz w:val="20"/>
        </w:rPr>
        <w:t>Patton designs electrical and instrumentation systems. He also has an obvious stutter. Talascend is a staffing agency which furnishes contract employees, including engineers and designers, to its clients. Jacobs, an engineering firm, is one of Talascend's [**2]  clients. Patton has been an employee of Talascend since October 2012, when he was assigned to work at Jacobs' facility in Baton Rouge, Louisiana. Around the time he was hired, Patton told Emily Wimbley, a Talascend recruiter, about his stuttering and anxiety problems, which he said "all go[] together."</w:t>
      </w:r>
    </w:p>
    <w:p w:rsidR="00E456CD" w:rsidRDefault="00000000">
      <w:pPr>
        <w:pStyle w:val="Normal43"/>
        <w:widowControl w:val="0"/>
        <w:spacing w:before="200" w:line="260" w:lineRule="atLeast"/>
        <w:jc w:val="both"/>
      </w:pPr>
      <w:bookmarkStart w:id="6625" w:name="Bookmark_para_5_42"/>
      <w:bookmarkEnd w:id="6625"/>
      <w:r>
        <w:rPr>
          <w:rFonts w:ascii="Arial" w:eastAsia="Arial" w:hAnsi="Arial" w:cs="Arial"/>
          <w:color w:val="000000"/>
          <w:sz w:val="20"/>
        </w:rPr>
        <w:t>Patton alleges that his coworkers at Jacobs harassed him on account of his stutter. For example, coworkers would call him names such as lawnmower and bush  [*422]  hog (a type of lawnmower). Additionally, coworkers who passed him in the hallway or met him on the elevator would mock his stuttering, and coworkers who sat near him would mock him and make loud noises right behind him. Even his supervisor, Greg Guillory, allegedly mocked him at a department-wide meeting in front of fifty coworkers. Patton testified that he complained about this harassment to Guillory and Wimbley; in addition, he testified that he called and left a message with Talascend's human resources department, but that this call was never returned.</w:t>
      </w:r>
    </w:p>
    <w:p w:rsidR="00E456CD" w:rsidRDefault="00000000">
      <w:pPr>
        <w:pStyle w:val="Normal43"/>
        <w:widowControl w:val="0"/>
        <w:spacing w:before="200" w:line="260" w:lineRule="atLeast"/>
        <w:jc w:val="both"/>
      </w:pPr>
      <w:bookmarkStart w:id="6626" w:name="Bookmark_para_6_42"/>
      <w:bookmarkEnd w:id="6626"/>
      <w:r>
        <w:rPr>
          <w:rFonts w:ascii="Arial" w:eastAsia="Arial" w:hAnsi="Arial" w:cs="Arial"/>
          <w:color w:val="000000"/>
          <w:sz w:val="20"/>
        </w:rPr>
        <w:t>Patton also made a number of complaints about noise while he worked at Jacobs. According to Patton, the work environment at Jacobs was full of "loud laughter, banging, [and] horseplay." [**3]  He complained to Guillory three times about the noise in his work space and asked Guillory "to move [him] to an area that was quiet so that [his] nerves would not affect [his] stuttering." Patton also discussed the noise problem with Wimbley at Talascend. Talascend offered to reassign Patton to another client and also raised the issue with Guillory. But Patton continued working at Jacobs and by all accounts performed his job well.</w:t>
      </w:r>
    </w:p>
    <w:p w:rsidR="00E456CD" w:rsidRDefault="00000000">
      <w:pPr>
        <w:pStyle w:val="Normal43"/>
        <w:widowControl w:val="0"/>
        <w:spacing w:before="200" w:line="260" w:lineRule="atLeast"/>
        <w:jc w:val="both"/>
      </w:pPr>
      <w:bookmarkStart w:id="6627" w:name="Bookmark_para_7_41"/>
      <w:bookmarkEnd w:id="6627"/>
      <w:r>
        <w:rPr>
          <w:rFonts w:ascii="Arial" w:eastAsia="Arial" w:hAnsi="Arial" w:cs="Arial"/>
          <w:color w:val="000000"/>
          <w:sz w:val="20"/>
        </w:rPr>
        <w:t>According to Patton, the harassment and excessive noise at Jacobs caused him to experience severe anxiety. He emailed Bruce Kistrup, a lead engineer, four times about taking off work due to his stress. As a result of this stress, Patton suffered a panic attack while driving and got into a car accident on February 28, 2014. Patton did not return to work at Jacobs after this accident.</w:t>
      </w:r>
    </w:p>
    <w:p w:rsidR="00E456CD" w:rsidRDefault="00000000">
      <w:pPr>
        <w:pStyle w:val="Normal43"/>
        <w:widowControl w:val="0"/>
        <w:spacing w:before="200" w:line="260" w:lineRule="atLeast"/>
        <w:jc w:val="both"/>
      </w:pPr>
      <w:bookmarkStart w:id="6628" w:name="Bookmark_para_8_41"/>
      <w:bookmarkEnd w:id="6628"/>
      <w:r>
        <w:rPr>
          <w:rFonts w:ascii="Arial" w:eastAsia="Arial" w:hAnsi="Arial" w:cs="Arial"/>
          <w:color w:val="000000"/>
          <w:sz w:val="20"/>
        </w:rPr>
        <w:t>On May 7, 2014, Patton filed a charge of discrimination with the Louisiana Commission on Human Rights ("LCHR") and the U.S. Equal Employment Opportunity Commission ("EEOC").</w:t>
      </w:r>
      <w:r>
        <w:rPr>
          <w:rFonts w:ascii="Arial" w:eastAsia="Arial" w:hAnsi="Arial" w:cs="Arial"/>
          <w:vertAlign w:val="superscript"/>
        </w:rPr>
        <w:footnoteReference w:customMarkFollows="1" w:id="281"/>
        <w:t>1</w:t>
      </w:r>
      <w:r>
        <w:rPr>
          <w:rFonts w:ascii="Arial" w:eastAsia="Arial" w:hAnsi="Arial" w:cs="Arial"/>
          <w:color w:val="000000"/>
          <w:sz w:val="20"/>
        </w:rPr>
        <w:t xml:space="preserve"> He asserted that he was harassed on account of his disability. Specifically, Patton alleged the following facts:</w:t>
      </w:r>
    </w:p>
    <w:p w:rsidR="00E456CD" w:rsidRDefault="00000000">
      <w:pPr>
        <w:pStyle w:val="Normal43"/>
        <w:widowControl w:val="0"/>
        <w:spacing w:before="200" w:line="260" w:lineRule="atLeast"/>
        <w:ind w:left="400"/>
        <w:jc w:val="both"/>
      </w:pPr>
      <w:bookmarkStart w:id="6630" w:name="Bookmark_para_9_40"/>
      <w:bookmarkEnd w:id="6630"/>
      <w:r>
        <w:rPr>
          <w:rFonts w:ascii="Arial" w:eastAsia="Arial" w:hAnsi="Arial" w:cs="Arial"/>
          <w:color w:val="000000"/>
          <w:sz w:val="20"/>
        </w:rPr>
        <w:t>I was subjected to psychological violence. People made habitual efforts to talk repetitively in [**4]  an unnatural, intensified loud voice while near me. I was subjected to name calling such as "bush hog", "how pathetic" and "don't fit in." Several people would mock my stuttering while looking directly at me. On one occasion Greg Guillory while speaking in a meeting began to stutter while looking directly at me. I have been excluded from work related lunches/dinners, left out of the communication loop and meeting announcements. I complained on several occasions to management from both Jacobs and Talascend but nothing was done. On February 28, 2014 I was involved in an accident and became stressed to the point that I am currently out on a medical leave.</w:t>
      </w:r>
    </w:p>
    <w:p w:rsidR="00E456CD" w:rsidRDefault="00000000">
      <w:pPr>
        <w:pStyle w:val="Normal43"/>
        <w:widowControl w:val="0"/>
        <w:spacing w:line="260" w:lineRule="atLeast"/>
        <w:jc w:val="both"/>
      </w:pPr>
      <w:r>
        <w:rPr>
          <w:rFonts w:ascii="Arial" w:eastAsia="Arial" w:hAnsi="Arial" w:cs="Arial"/>
          <w:color w:val="000000"/>
          <w:sz w:val="20"/>
        </w:rPr>
        <w:t>Patton also filed an intake questionnaire on May 7, 2014. In the intake questionnaire, Patton clarified that his disability consisted of stuttering, anxiety, and noise sensitivity. He also stated that he requested changes or assistance because of his disability but that his employer did not make any actual changes in response to his requests. Patton later amended his charge of discrimination on September 30, 2014, to add a claim of sex discrimination.</w:t>
      </w:r>
    </w:p>
    <w:p w:rsidR="00E456CD" w:rsidRDefault="00000000">
      <w:pPr>
        <w:pStyle w:val="Normal43"/>
        <w:widowControl w:val="0"/>
        <w:spacing w:before="200" w:line="260" w:lineRule="atLeast"/>
        <w:jc w:val="both"/>
      </w:pPr>
      <w:bookmarkStart w:id="6631" w:name="Bookmark_para_10_38"/>
      <w:bookmarkEnd w:id="6631"/>
      <w:r>
        <w:rPr>
          <w:rFonts w:ascii="Arial" w:eastAsia="Arial" w:hAnsi="Arial" w:cs="Arial"/>
          <w:color w:val="000000"/>
          <w:sz w:val="20"/>
        </w:rPr>
        <w:t>During the EEOC investigation, Talascend and Jacobs submitted position statements in [**5]  which they disputed Patton's allegations of discrimination. These position statements focused on the harassment allegations, though Jacobs also responded to the allegation that it failed to accommodate Patton's disability. The EEOC issued  [*423]  a notice of right to sue letter on November 24, 2014.</w:t>
      </w:r>
    </w:p>
    <w:p w:rsidR="00E456CD" w:rsidRDefault="00000000">
      <w:pPr>
        <w:pStyle w:val="Normal43"/>
        <w:widowControl w:val="0"/>
        <w:spacing w:before="200" w:line="260" w:lineRule="atLeast"/>
        <w:jc w:val="both"/>
      </w:pPr>
      <w:bookmarkStart w:id="6632" w:name="Bookmark_para_11_37"/>
      <w:bookmarkEnd w:id="6632"/>
      <w:r>
        <w:rPr>
          <w:rFonts w:ascii="Arial" w:eastAsia="Arial" w:hAnsi="Arial" w:cs="Arial"/>
          <w:color w:val="000000"/>
          <w:sz w:val="20"/>
        </w:rPr>
        <w:t>Patton filed suit in Louisiana state court on February 6, 2015. He brought four claims against Jacobs and Talascend: (1) intentional infliction of emotional distress; (2) negligent infliction of emotional distress; (3) hostile work environment in violation of the ADA; and (4) failure to accommodate in violation of the ADA. Shortly after the defendants removed the case to federal court, Patton's negligent infliction of emotional distress claim was dismissed. Jacobs and Talascend moved for summary judgment in May 2016.</w:t>
      </w:r>
    </w:p>
    <w:p w:rsidR="00E456CD" w:rsidRDefault="00000000">
      <w:pPr>
        <w:pStyle w:val="Normal43"/>
        <w:widowControl w:val="0"/>
        <w:spacing w:before="200" w:line="260" w:lineRule="atLeast"/>
        <w:jc w:val="both"/>
      </w:pPr>
      <w:bookmarkStart w:id="6633" w:name="Bookmark_para_12_36"/>
      <w:bookmarkEnd w:id="6633"/>
      <w:r>
        <w:rPr>
          <w:rFonts w:ascii="Arial" w:eastAsia="Arial" w:hAnsi="Arial" w:cs="Arial"/>
          <w:color w:val="000000"/>
          <w:sz w:val="20"/>
        </w:rPr>
        <w:t>The district court granted summary judgment in favor of both defendants on all claims. First, the district court held that Patton failed to administratively exhaust his failure to accommodate claim. In the alternative, the district court held that Patton failed to put forth sufficient evidence showing that the defendants were aware of his disability. Second, the district court held that [**6]  Patton failed to introduce sufficient evidence of a hostile work environment. The district court also found that Patton failed to take advantage of the complaint procedures in either defendant's anti-harassment policy. Finally, the district court held that Patton failed to put forth sufficient evidence in support of his intentional infliction of emotional distress claim. This appeal followed.</w:t>
      </w:r>
    </w:p>
    <w:p w:rsidR="00E456CD" w:rsidRDefault="00000000">
      <w:pPr>
        <w:pStyle w:val="Normal43"/>
        <w:widowControl w:val="0"/>
        <w:spacing w:before="240" w:line="260" w:lineRule="atLeast"/>
      </w:pPr>
      <w:r>
        <w:br/>
      </w:r>
      <w:r>
        <w:rPr>
          <w:rFonts w:ascii="Arial" w:eastAsia="Arial" w:hAnsi="Arial" w:cs="Arial"/>
          <w:b/>
          <w:color w:val="000000"/>
          <w:sz w:val="20"/>
        </w:rPr>
        <w:t>II. DISCUSSION</w:t>
      </w:r>
    </w:p>
    <w:p w:rsidR="00E456CD" w:rsidRDefault="00000000">
      <w:pPr>
        <w:pStyle w:val="Normal43"/>
        <w:widowControl w:val="0"/>
        <w:spacing w:before="200" w:line="260" w:lineRule="atLeast"/>
        <w:jc w:val="both"/>
      </w:pPr>
      <w:bookmarkStart w:id="6634" w:name="Bookmark_para_13_34"/>
      <w:bookmarkEnd w:id="6634"/>
      <w:r>
        <w:rPr>
          <w:rFonts w:ascii="Arial" w:eastAsia="Arial" w:hAnsi="Arial" w:cs="Arial"/>
          <w:color w:val="000000"/>
          <w:sz w:val="20"/>
        </w:rPr>
        <w:t>On appeal, Patton argues that the district court erred in granting summary judgment against him on his failure to accommodate and hostile work environment claims. Patton does not brief his intentional infliction of emotional distress claim; accordingly, we confine our review to his ADA claims.</w:t>
      </w:r>
    </w:p>
    <w:p w:rsidR="00E456CD" w:rsidRDefault="00000000">
      <w:pPr>
        <w:pStyle w:val="Normal43"/>
        <w:widowControl w:val="0"/>
        <w:spacing w:before="240" w:line="260" w:lineRule="atLeast"/>
      </w:pPr>
      <w:r>
        <w:br/>
      </w:r>
      <w:r>
        <w:rPr>
          <w:rFonts w:ascii="Arial" w:eastAsia="Arial" w:hAnsi="Arial" w:cs="Arial"/>
          <w:b/>
          <w:color w:val="000000"/>
          <w:sz w:val="20"/>
        </w:rPr>
        <w:t>A. Standard of Review</w:t>
      </w:r>
    </w:p>
    <w:p w:rsidR="00E456CD" w:rsidRDefault="00000000">
      <w:pPr>
        <w:pStyle w:val="Normal43"/>
        <w:widowControl w:val="0"/>
        <w:spacing w:before="200" w:line="260" w:lineRule="atLeast"/>
        <w:jc w:val="both"/>
      </w:pPr>
      <w:bookmarkStart w:id="6635" w:name="Bookmark_para_14_33"/>
      <w:bookmarkStart w:id="6636" w:name="Bookmark_I5P73DB52SF8HS0020000400"/>
      <w:bookmarkStart w:id="6637" w:name="Bookmark_I5P73DB52SF8HT0010000400"/>
      <w:bookmarkStart w:id="6638" w:name="Bookmark_LNHNREFclscc1_34"/>
      <w:bookmarkEnd w:id="6635"/>
      <w:bookmarkEnd w:id="6636"/>
      <w:bookmarkEnd w:id="6637"/>
      <w:bookmarkEnd w:id="6638"/>
      <w:r>
        <w:rPr>
          <w:rFonts w:ascii="Arial" w:eastAsia="Arial" w:hAnsi="Arial" w:cs="Arial"/>
          <w:color w:val="000000"/>
          <w:sz w:val="20"/>
        </w:rPr>
        <w:t xml:space="preserve">"This Court 'reviews de novo the district court's grant of summary judgment, applying the same standard as the district court.'" </w:t>
      </w:r>
      <w:bookmarkStart w:id="6639" w:name="Bookmark_I5P73DB52SF8HS0010000400"/>
      <w:bookmarkEnd w:id="6639"/>
      <w:r>
        <w:rPr>
          <w:rFonts w:ascii="Arial" w:eastAsia="Arial" w:hAnsi="Arial" w:cs="Arial"/>
          <w:i/>
          <w:color w:val="000000"/>
          <w:sz w:val="20"/>
        </w:rPr>
        <w:t>Feist v. La., Dep't of Justice, Office of the Att'y Gen.</w:t>
      </w:r>
      <w:r>
        <w:rPr>
          <w:rFonts w:ascii="Arial" w:eastAsia="Arial" w:hAnsi="Arial" w:cs="Arial"/>
          <w:color w:val="000000"/>
          <w:sz w:val="20"/>
        </w:rPr>
        <w:t xml:space="preserve">, 730 F.3d 450, 452 (5th Cir. 2013) (quoting </w:t>
      </w:r>
      <w:bookmarkStart w:id="6640" w:name="Bookmark_I5P73DB52SF8HS0030000400"/>
      <w:bookmarkEnd w:id="6640"/>
      <w:r>
        <w:rPr>
          <w:rFonts w:ascii="Arial" w:eastAsia="Arial" w:hAnsi="Arial" w:cs="Arial"/>
          <w:i/>
          <w:color w:val="000000"/>
          <w:sz w:val="20"/>
        </w:rPr>
        <w:t>Fabela v. Socorro Indep. Sch. Dist.</w:t>
      </w:r>
      <w:r>
        <w:rPr>
          <w:rFonts w:ascii="Arial" w:eastAsia="Arial" w:hAnsi="Arial" w:cs="Arial"/>
          <w:color w:val="000000"/>
          <w:sz w:val="20"/>
        </w:rPr>
        <w:t xml:space="preserve">, 329 F.3d 409, 414 (5th Cir. 2003)). </w:t>
      </w:r>
      <w:bookmarkStart w:id="6641" w:name="Bookmark_I5P73DB52SF8HT0050000400"/>
      <w:bookmarkEnd w:id="6641"/>
      <w:r>
        <w:rPr>
          <w:rFonts w:ascii="Arial" w:eastAsia="Arial" w:hAnsi="Arial" w:cs="Arial"/>
          <w:color w:val="000000"/>
          <w:sz w:val="20"/>
        </w:rPr>
        <w:t xml:space="preserve">Summary judgment is appropriate "if the movant shows that there is no genuine dispute as to any material fact and the movant is entitled to judgment as a matter of law." Fed. R. Civ. P. 56(a). A genuine dispute of material fact exists if the "evidence is such that a reasonable jury could return a verdict for the nonmoving party." </w:t>
      </w:r>
      <w:bookmarkStart w:id="6642" w:name="Bookmark_I5P73DB52SF8HS0050000400"/>
      <w:bookmarkEnd w:id="6642"/>
      <w:r>
        <w:rPr>
          <w:rFonts w:ascii="Arial" w:eastAsia="Arial" w:hAnsi="Arial" w:cs="Arial"/>
          <w:i/>
          <w:color w:val="000000"/>
          <w:sz w:val="20"/>
        </w:rPr>
        <w:t>Royal v. CCC &amp; R Tres Arboles, L.L.C.</w:t>
      </w:r>
      <w:r>
        <w:rPr>
          <w:rFonts w:ascii="Arial" w:eastAsia="Arial" w:hAnsi="Arial" w:cs="Arial"/>
          <w:color w:val="000000"/>
          <w:sz w:val="20"/>
        </w:rPr>
        <w:t xml:space="preserve">, 736 F.3d 396, 400 (5th Cir. 2013) (quoting </w:t>
      </w:r>
      <w:bookmarkStart w:id="6643" w:name="Bookmark_I5P73DB52SF8HT0020000400"/>
      <w:bookmarkEnd w:id="6643"/>
      <w:r>
        <w:rPr>
          <w:rFonts w:ascii="Arial" w:eastAsia="Arial" w:hAnsi="Arial" w:cs="Arial"/>
          <w:i/>
          <w:color w:val="000000"/>
          <w:sz w:val="20"/>
        </w:rPr>
        <w:t>Anderson v. Liberty Lobby, Inc.</w:t>
      </w:r>
      <w:r>
        <w:rPr>
          <w:rFonts w:ascii="Arial" w:eastAsia="Arial" w:hAnsi="Arial" w:cs="Arial"/>
          <w:color w:val="000000"/>
          <w:sz w:val="20"/>
        </w:rPr>
        <w:t xml:space="preserve">, 477 U.S. 242, 248, 106 S. Ct. 2505, 91 L. Ed. 2d 202 (1986)). </w:t>
      </w:r>
      <w:bookmarkStart w:id="6644" w:name="Bookmark_I5P73DB52SF8HT0050000400_2"/>
      <w:bookmarkEnd w:id="6644"/>
      <w:r>
        <w:rPr>
          <w:rFonts w:ascii="Arial" w:eastAsia="Arial" w:hAnsi="Arial" w:cs="Arial"/>
          <w:color w:val="000000"/>
          <w:sz w:val="20"/>
        </w:rPr>
        <w:t xml:space="preserve">The Court "must [**7]  view all facts and evidence in the light most favorable to the non-moving party." </w:t>
      </w:r>
      <w:bookmarkStart w:id="6645" w:name="Bookmark_I5P73DB52SF8HT0040000400"/>
      <w:bookmarkEnd w:id="6645"/>
      <w:r>
        <w:rPr>
          <w:rFonts w:ascii="Arial" w:eastAsia="Arial" w:hAnsi="Arial" w:cs="Arial"/>
          <w:i/>
          <w:color w:val="000000"/>
          <w:sz w:val="20"/>
        </w:rPr>
        <w:t>Feist</w:t>
      </w:r>
      <w:r>
        <w:rPr>
          <w:rFonts w:ascii="Arial" w:eastAsia="Arial" w:hAnsi="Arial" w:cs="Arial"/>
          <w:color w:val="000000"/>
          <w:sz w:val="20"/>
        </w:rPr>
        <w:t xml:space="preserve">, 730 F.3d at 452 (quoting </w:t>
      </w:r>
      <w:bookmarkStart w:id="6646" w:name="Bookmark_I5P73DB52D6NTB0010000400"/>
      <w:bookmarkEnd w:id="6646"/>
      <w:r>
        <w:rPr>
          <w:rFonts w:ascii="Arial" w:eastAsia="Arial" w:hAnsi="Arial" w:cs="Arial"/>
          <w:i/>
          <w:color w:val="000000"/>
          <w:sz w:val="20"/>
        </w:rPr>
        <w:t>Juino v. Livingston Par. Fire Dist. No. 5</w:t>
      </w:r>
      <w:r>
        <w:rPr>
          <w:rFonts w:ascii="Arial" w:eastAsia="Arial" w:hAnsi="Arial" w:cs="Arial"/>
          <w:color w:val="000000"/>
          <w:sz w:val="20"/>
        </w:rPr>
        <w:t>, 717 F.3d 431, 433 (5th Cir. 2013)).</w:t>
      </w:r>
    </w:p>
    <w:p w:rsidR="00E456CD" w:rsidRDefault="00000000">
      <w:pPr>
        <w:pStyle w:val="Normal43"/>
        <w:widowControl w:val="0"/>
        <w:spacing w:before="240" w:line="260" w:lineRule="atLeast"/>
      </w:pPr>
      <w:r>
        <w:br/>
      </w:r>
      <w:r>
        <w:rPr>
          <w:rFonts w:ascii="Arial" w:eastAsia="Arial" w:hAnsi="Arial" w:cs="Arial"/>
          <w:b/>
          <w:color w:val="000000"/>
          <w:sz w:val="20"/>
        </w:rPr>
        <w:t>B. Analysis</w:t>
      </w:r>
    </w:p>
    <w:p w:rsidR="00E456CD" w:rsidRDefault="00000000">
      <w:pPr>
        <w:pStyle w:val="Normal43"/>
        <w:widowControl w:val="0"/>
        <w:spacing w:before="240" w:line="260" w:lineRule="atLeast"/>
      </w:pPr>
      <w:r>
        <w:br/>
      </w:r>
      <w:r>
        <w:rPr>
          <w:rFonts w:ascii="Arial" w:eastAsia="Arial" w:hAnsi="Arial" w:cs="Arial"/>
          <w:b/>
          <w:i/>
          <w:color w:val="000000"/>
          <w:sz w:val="20"/>
        </w:rPr>
        <w:t>1. Failure to Accommodate</w:t>
      </w:r>
    </w:p>
    <w:p w:rsidR="00E456CD" w:rsidRDefault="00000000">
      <w:pPr>
        <w:pStyle w:val="Normal43"/>
        <w:widowControl w:val="0"/>
        <w:spacing w:before="200" w:line="260" w:lineRule="atLeast"/>
        <w:jc w:val="both"/>
      </w:pPr>
      <w:bookmarkStart w:id="6647" w:name="Bookmark_para_15_33"/>
      <w:bookmarkStart w:id="6648" w:name="Bookmark_I0MRK89CS64000M3DRX005S2"/>
      <w:bookmarkStart w:id="6649" w:name="Bookmark_I5P73DB52D6NTB0040000400"/>
      <w:bookmarkStart w:id="6650" w:name="Bookmark_LNHNREFclscc2_34"/>
      <w:bookmarkEnd w:id="6647"/>
      <w:bookmarkEnd w:id="6648"/>
      <w:bookmarkEnd w:id="6649"/>
      <w:bookmarkEnd w:id="6650"/>
      <w:r>
        <w:rPr>
          <w:rFonts w:ascii="Arial" w:eastAsia="Arial" w:hAnsi="Arial" w:cs="Arial"/>
          <w:color w:val="000000"/>
          <w:sz w:val="20"/>
        </w:rPr>
        <w:t xml:space="preserve">The ADA forbids covered employers from "discriminat[ing] against a qualified individual on the basis of disability" regarding the "terms, conditions, and privileges of employment." 42 U.S.C. § 12112(a). Discrimination includes failure to "mak[e] reasonable accommodations to the known physical or mental limitations of an otherwise qualified individual with a disability . . . , unless [the employer] can demonstrate that the accommodation would impose an undue hardship on the operation of [its] business." </w:t>
      </w:r>
      <w:r>
        <w:rPr>
          <w:rFonts w:ascii="Arial" w:eastAsia="Arial" w:hAnsi="Arial" w:cs="Arial"/>
          <w:i/>
          <w:color w:val="000000"/>
          <w:sz w:val="20"/>
        </w:rPr>
        <w:t>Id.</w:t>
      </w:r>
      <w:r>
        <w:rPr>
          <w:rFonts w:ascii="Arial" w:eastAsia="Arial" w:hAnsi="Arial" w:cs="Arial"/>
          <w:color w:val="000000"/>
          <w:sz w:val="20"/>
        </w:rPr>
        <w:t xml:space="preserve"> § 12112(b)(5)(A). To establish a failure to accommodate claim, the plaintiff must show that: "(1) the plaintiff is a 'qualified individual with a disability'; (2) the disability  [*424]  and its consequential limitations were 'known' by the covered employer; and (3) the employer failed to make 'reasonable accommodations' for such known limitations." </w:t>
      </w:r>
      <w:bookmarkStart w:id="6651" w:name="Bookmark_I5P73DB52D6NTB0030000400"/>
      <w:bookmarkEnd w:id="6651"/>
      <w:r>
        <w:rPr>
          <w:rFonts w:ascii="Arial" w:eastAsia="Arial" w:hAnsi="Arial" w:cs="Arial"/>
          <w:i/>
          <w:color w:val="000000"/>
          <w:sz w:val="20"/>
        </w:rPr>
        <w:t>Feist</w:t>
      </w:r>
      <w:r>
        <w:rPr>
          <w:rFonts w:ascii="Arial" w:eastAsia="Arial" w:hAnsi="Arial" w:cs="Arial"/>
          <w:color w:val="000000"/>
          <w:sz w:val="20"/>
        </w:rPr>
        <w:t>, 730 F.3d at 452 (quoting 42 U.S.C. § 12112(b)(5)(A)).</w:t>
      </w:r>
    </w:p>
    <w:p w:rsidR="00E456CD" w:rsidRDefault="00000000">
      <w:pPr>
        <w:pStyle w:val="Normal43"/>
        <w:widowControl w:val="0"/>
        <w:spacing w:before="200" w:line="260" w:lineRule="atLeast"/>
        <w:jc w:val="both"/>
      </w:pPr>
      <w:bookmarkStart w:id="6652" w:name="Bookmark_para_16_32"/>
      <w:bookmarkEnd w:id="6652"/>
      <w:r>
        <w:rPr>
          <w:rFonts w:ascii="Arial" w:eastAsia="Arial" w:hAnsi="Arial" w:cs="Arial"/>
          <w:color w:val="000000"/>
          <w:sz w:val="20"/>
        </w:rPr>
        <w:t>Patton asserts that he is disabled on account of childhood onset fluency disorder. He contends that "the noisy office environment heightened his anxiety, caused [him] to suffer panic attacks and worsened his stuttering over time." But according to Patton, Jacobs [**8]  and Talascend "did nothing" to address the noise issue. Eventually, Patton's anxiety caused him to miss work and get into a car accident.</w:t>
      </w:r>
    </w:p>
    <w:p w:rsidR="00E456CD" w:rsidRDefault="00000000">
      <w:pPr>
        <w:pStyle w:val="Normal43"/>
        <w:widowControl w:val="0"/>
        <w:spacing w:before="200" w:line="260" w:lineRule="atLeast"/>
        <w:jc w:val="both"/>
      </w:pPr>
      <w:bookmarkStart w:id="6653" w:name="Bookmark_para_17_31"/>
      <w:bookmarkEnd w:id="6653"/>
      <w:r>
        <w:rPr>
          <w:rFonts w:ascii="Arial" w:eastAsia="Arial" w:hAnsi="Arial" w:cs="Arial"/>
          <w:color w:val="000000"/>
          <w:sz w:val="20"/>
        </w:rPr>
        <w:t>Neither Jacobs nor Talascend contests that Patton is a qualified individual with a disability; thus, we assume without deciding that Patton has proved the first element of his failure to accommodate claim. But Jacobs and Talascend dispute the other two elements—whether they knew of his disability and whether they failed to accommodate it. In addition, Jacobs and Talascend argue that Patton failed to administratively exhaust his failure to accommodate claim, and Talascend argues that Patton's charge was not timely. We address the exhaustion argument first.</w:t>
      </w:r>
    </w:p>
    <w:p w:rsidR="00E456CD" w:rsidRDefault="00000000">
      <w:pPr>
        <w:pStyle w:val="Normal43"/>
        <w:widowControl w:val="0"/>
        <w:spacing w:before="240" w:line="260" w:lineRule="atLeast"/>
      </w:pPr>
      <w:r>
        <w:br/>
      </w:r>
      <w:r>
        <w:rPr>
          <w:rFonts w:ascii="Arial" w:eastAsia="Arial" w:hAnsi="Arial" w:cs="Arial"/>
          <w:b/>
          <w:i/>
          <w:color w:val="000000"/>
          <w:sz w:val="20"/>
        </w:rPr>
        <w:t>a. Administrative exhaustion</w:t>
      </w:r>
    </w:p>
    <w:p w:rsidR="00E456CD" w:rsidRDefault="00000000">
      <w:pPr>
        <w:pStyle w:val="Normal43"/>
        <w:widowControl w:val="0"/>
        <w:spacing w:before="200" w:line="260" w:lineRule="atLeast"/>
        <w:jc w:val="both"/>
      </w:pPr>
      <w:bookmarkStart w:id="6654" w:name="Bookmark_para_18_30"/>
      <w:bookmarkStart w:id="6655" w:name="Bookmark_I0MRK89CX18000M3DRX005S3"/>
      <w:bookmarkStart w:id="6656" w:name="Bookmark_I5P73DB52D6NTC0010000400"/>
      <w:bookmarkStart w:id="6657" w:name="Bookmark_LNHNREFclscc3_32"/>
      <w:bookmarkEnd w:id="6654"/>
      <w:bookmarkEnd w:id="6655"/>
      <w:bookmarkEnd w:id="6656"/>
      <w:bookmarkEnd w:id="6657"/>
      <w:r>
        <w:rPr>
          <w:rFonts w:ascii="Arial" w:eastAsia="Arial" w:hAnsi="Arial" w:cs="Arial"/>
          <w:color w:val="000000"/>
          <w:sz w:val="20"/>
        </w:rPr>
        <w:t xml:space="preserve">Before a plaintiff may file her ADA claim in federal court, she must exhaust her administrative remedies. </w:t>
      </w:r>
      <w:r>
        <w:rPr>
          <w:rFonts w:ascii="Arial" w:eastAsia="Arial" w:hAnsi="Arial" w:cs="Arial"/>
          <w:i/>
          <w:color w:val="000000"/>
          <w:sz w:val="20"/>
        </w:rPr>
        <w:t xml:space="preserve">See </w:t>
      </w:r>
      <w:bookmarkStart w:id="6658" w:name="Bookmark_I5P73DB52D6NTB0050000400"/>
      <w:bookmarkEnd w:id="6658"/>
      <w:r>
        <w:rPr>
          <w:rFonts w:ascii="Arial" w:eastAsia="Arial" w:hAnsi="Arial" w:cs="Arial"/>
          <w:i/>
          <w:color w:val="000000"/>
          <w:sz w:val="20"/>
        </w:rPr>
        <w:t>Dao v. Auchan Hypermarket</w:t>
      </w:r>
      <w:r>
        <w:rPr>
          <w:rFonts w:ascii="Arial" w:eastAsia="Arial" w:hAnsi="Arial" w:cs="Arial"/>
          <w:color w:val="000000"/>
          <w:sz w:val="20"/>
        </w:rPr>
        <w:t>, 96 F.3d 787, 789 (5th Cir. 1996) (per curiam) (noting that the ADA incorporates by reference Title VII's administrative procedures). Specifically, the plaintiff must file a charge of discrimination with the EEOC within 180 days of "the alleged unlawful employment practice," or within 300 days if the charge is filed with a state or local agency—here, the LCHR. 42 U.S.C. § 2000e-5(e)(1).</w:t>
      </w:r>
    </w:p>
    <w:p w:rsidR="00E456CD" w:rsidRDefault="00000000">
      <w:pPr>
        <w:pStyle w:val="Normal43"/>
        <w:widowControl w:val="0"/>
        <w:spacing w:before="200" w:line="260" w:lineRule="atLeast"/>
        <w:jc w:val="both"/>
      </w:pPr>
      <w:bookmarkStart w:id="6659" w:name="Bookmark_para_19_29"/>
      <w:bookmarkStart w:id="6660" w:name="Bookmark_I0MRK89D1VD000M3DRX0022P"/>
      <w:bookmarkStart w:id="6661" w:name="Bookmark_I5P73DB52D6NTC0030000400"/>
      <w:bookmarkStart w:id="6662" w:name="Bookmark_I5P73DB52D6NTC0050000400"/>
      <w:bookmarkStart w:id="6663" w:name="Bookmark_I0MRK89D5NJ000M3DRX0022R"/>
      <w:bookmarkStart w:id="6664" w:name="Bookmark_I0MRK89D9GP000M3DRX0022S"/>
      <w:bookmarkStart w:id="6665" w:name="Bookmark_I5P73DB528T4SR0020000400"/>
      <w:bookmarkStart w:id="6666" w:name="Bookmark_LNHNREFclscc4_31"/>
      <w:bookmarkEnd w:id="6659"/>
      <w:bookmarkEnd w:id="6660"/>
      <w:bookmarkEnd w:id="6661"/>
      <w:bookmarkEnd w:id="6662"/>
      <w:bookmarkEnd w:id="6663"/>
      <w:bookmarkEnd w:id="6664"/>
      <w:bookmarkEnd w:id="6665"/>
      <w:bookmarkEnd w:id="6666"/>
      <w:r>
        <w:rPr>
          <w:rFonts w:ascii="Arial" w:eastAsia="Arial" w:hAnsi="Arial" w:cs="Arial"/>
          <w:color w:val="000000"/>
          <w:sz w:val="20"/>
        </w:rPr>
        <w:t xml:space="preserve">In determining whether a plaintiff [**9]  has exhausted a particular claim, we have noted that "the scope of an EEOC complaint should be construed liberally." </w:t>
      </w:r>
      <w:bookmarkStart w:id="6667" w:name="Bookmark_I5P73DB52D6NTC0020000400"/>
      <w:bookmarkEnd w:id="6667"/>
      <w:r>
        <w:rPr>
          <w:rFonts w:ascii="Arial" w:eastAsia="Arial" w:hAnsi="Arial" w:cs="Arial"/>
          <w:i/>
          <w:color w:val="000000"/>
          <w:sz w:val="20"/>
        </w:rPr>
        <w:t>Pacheco v. Mineta</w:t>
      </w:r>
      <w:r>
        <w:rPr>
          <w:rFonts w:ascii="Arial" w:eastAsia="Arial" w:hAnsi="Arial" w:cs="Arial"/>
          <w:color w:val="000000"/>
          <w:sz w:val="20"/>
        </w:rPr>
        <w:t xml:space="preserve">, 448 F.3d 783, 788 (5th Cir. 2006). "On the other hand, a primary purpose of Title VII is to trigger the investigatory and conciliatory procedures of the EEOC, in attempt to achieve non-judicial resolution of employment discrimination claims." </w:t>
      </w:r>
      <w:bookmarkStart w:id="6668" w:name="Bookmark_I5P73DB52D6NTC0040000400"/>
      <w:bookmarkEnd w:id="6668"/>
      <w:r>
        <w:rPr>
          <w:rFonts w:ascii="Arial" w:eastAsia="Arial" w:hAnsi="Arial" w:cs="Arial"/>
          <w:i/>
          <w:color w:val="000000"/>
          <w:sz w:val="20"/>
        </w:rPr>
        <w:t>Id.</w:t>
      </w:r>
      <w:r>
        <w:rPr>
          <w:rFonts w:ascii="Arial" w:eastAsia="Arial" w:hAnsi="Arial" w:cs="Arial"/>
          <w:color w:val="000000"/>
          <w:sz w:val="20"/>
        </w:rPr>
        <w:t xml:space="preserve"> at 788-89. To balance these considerations, "this court interprets what is properly embraced in review of a Title-VII claim somewhat broadly, not solely by the scope of the administrative charge itself, but by the scope of the EEOC investigation which 'can reasonably be expected to grow out of the charge of discrimination.'" </w:t>
      </w:r>
      <w:bookmarkStart w:id="6669" w:name="Bookmark_I5P73DB528T4SR0010000400"/>
      <w:bookmarkEnd w:id="6669"/>
      <w:r>
        <w:rPr>
          <w:rFonts w:ascii="Arial" w:eastAsia="Arial" w:hAnsi="Arial" w:cs="Arial"/>
          <w:i/>
          <w:color w:val="000000"/>
          <w:sz w:val="20"/>
        </w:rPr>
        <w:t>Id.</w:t>
      </w:r>
      <w:r>
        <w:rPr>
          <w:rFonts w:ascii="Arial" w:eastAsia="Arial" w:hAnsi="Arial" w:cs="Arial"/>
          <w:color w:val="000000"/>
          <w:sz w:val="20"/>
        </w:rPr>
        <w:t xml:space="preserve"> at 789 (quoting </w:t>
      </w:r>
      <w:bookmarkStart w:id="6670" w:name="Bookmark_I5P73DB528T4SR0030000400"/>
      <w:bookmarkEnd w:id="6670"/>
      <w:r>
        <w:rPr>
          <w:rFonts w:ascii="Arial" w:eastAsia="Arial" w:hAnsi="Arial" w:cs="Arial"/>
          <w:i/>
          <w:color w:val="000000"/>
          <w:sz w:val="20"/>
        </w:rPr>
        <w:t>Sanchez v. Standard Brands, Inc.</w:t>
      </w:r>
      <w:r>
        <w:rPr>
          <w:rFonts w:ascii="Arial" w:eastAsia="Arial" w:hAnsi="Arial" w:cs="Arial"/>
          <w:color w:val="000000"/>
          <w:sz w:val="20"/>
        </w:rPr>
        <w:t xml:space="preserve">, 431 F.2d 455, 466 (5th Cir. 1970)). "We engage in fact-intensive analysis of the statement given by the plaintiff in the administrative charge, and look slightly beyond its four corners, to its substance rather than its label." </w:t>
      </w:r>
      <w:r>
        <w:rPr>
          <w:rFonts w:ascii="Arial" w:eastAsia="Arial" w:hAnsi="Arial" w:cs="Arial"/>
          <w:i/>
          <w:color w:val="000000"/>
          <w:sz w:val="20"/>
        </w:rPr>
        <w:t>Id.</w:t>
      </w:r>
    </w:p>
    <w:p w:rsidR="00E456CD" w:rsidRDefault="00000000">
      <w:pPr>
        <w:pStyle w:val="Normal43"/>
        <w:widowControl w:val="0"/>
        <w:spacing w:before="200" w:line="260" w:lineRule="atLeast"/>
        <w:jc w:val="both"/>
      </w:pPr>
      <w:bookmarkStart w:id="6671" w:name="Bookmark_para_20_28"/>
      <w:bookmarkEnd w:id="6671"/>
      <w:r>
        <w:rPr>
          <w:rFonts w:ascii="Arial" w:eastAsia="Arial" w:hAnsi="Arial" w:cs="Arial"/>
          <w:color w:val="000000"/>
          <w:sz w:val="20"/>
        </w:rPr>
        <w:t>The district court held that Patton failed to exhaust his failure to accommodate claim by not including it in the charge. As the district court found, the formal charge does not suggest that either Talascend or Jacobs failed to accommodate Patton's disability. But Patton did state in the intake questionnaire that he requested changes or assistance [**10]  because of his disability, and that Jacobs and Talascend "brushed [him] off" and made "no actual changes."</w:t>
      </w:r>
    </w:p>
    <w:p w:rsidR="00E456CD" w:rsidRDefault="00000000">
      <w:pPr>
        <w:pStyle w:val="Normal43"/>
        <w:widowControl w:val="0"/>
        <w:spacing w:before="200" w:line="260" w:lineRule="atLeast"/>
        <w:jc w:val="both"/>
      </w:pPr>
      <w:bookmarkStart w:id="6672" w:name="Bookmark_para_21_26"/>
      <w:bookmarkStart w:id="6673" w:name="Bookmark_I5P73DB52HM6B60010000400"/>
      <w:bookmarkStart w:id="6674" w:name="Bookmark_I0MRK89DF9V000M3DRX004DC"/>
      <w:bookmarkStart w:id="6675" w:name="Bookmark_I5P73DB52HM6B60030000400"/>
      <w:bookmarkEnd w:id="6672"/>
      <w:bookmarkEnd w:id="6673"/>
      <w:bookmarkEnd w:id="6674"/>
      <w:bookmarkEnd w:id="6675"/>
      <w:r>
        <w:rPr>
          <w:rFonts w:ascii="Arial" w:eastAsia="Arial" w:hAnsi="Arial" w:cs="Arial"/>
          <w:color w:val="000000"/>
          <w:sz w:val="20"/>
        </w:rPr>
        <w:t xml:space="preserve">Patton argues that the intake questionnaire should be considered a charge under </w:t>
      </w:r>
      <w:bookmarkStart w:id="6676" w:name="Bookmark_I5P73DB528T4SR0050000400"/>
      <w:bookmarkEnd w:id="6676"/>
      <w:r>
        <w:rPr>
          <w:rFonts w:ascii="Arial" w:eastAsia="Arial" w:hAnsi="Arial" w:cs="Arial"/>
          <w:i/>
          <w:color w:val="000000"/>
          <w:sz w:val="20"/>
        </w:rPr>
        <w:t>Federal Express Corp. v. Holowecki</w:t>
      </w:r>
      <w:r>
        <w:rPr>
          <w:rFonts w:ascii="Arial" w:eastAsia="Arial" w:hAnsi="Arial" w:cs="Arial"/>
          <w:color w:val="000000"/>
          <w:sz w:val="20"/>
        </w:rPr>
        <w:t xml:space="preserve">, 552 U.S. 389, 128 S. Ct. 1147, 170 L. Ed. 2d 10 (2008). There, the Court recognized that </w:t>
      </w:r>
      <w:bookmarkStart w:id="6677" w:name="Bookmark_LNHNREFclscc5_30"/>
      <w:bookmarkEnd w:id="6677"/>
      <w:r>
        <w:rPr>
          <w:rFonts w:ascii="Arial" w:eastAsia="Arial" w:hAnsi="Arial" w:cs="Arial"/>
          <w:color w:val="000000"/>
          <w:sz w:val="20"/>
        </w:rPr>
        <w:t xml:space="preserve">an intake questionnaire may constitute a charge under the Age Discrimination in Employment Act. The Court specified that "a filing is to be deemed a charge" if it  [*425]  both satisfies the regulatory requirements of a charge and may be "reasonably construed as a request for the agency to take remedial action to protect the employee's rights or otherwise settle a dispute between the employer and the employee." </w:t>
      </w:r>
      <w:bookmarkStart w:id="6678" w:name="Bookmark_I5P73DB52HM6B60020000400"/>
      <w:bookmarkEnd w:id="6678"/>
      <w:r>
        <w:rPr>
          <w:rFonts w:ascii="Arial" w:eastAsia="Arial" w:hAnsi="Arial" w:cs="Arial"/>
          <w:i/>
          <w:color w:val="000000"/>
          <w:sz w:val="20"/>
        </w:rPr>
        <w:t>Id.</w:t>
      </w:r>
      <w:r>
        <w:rPr>
          <w:rFonts w:ascii="Arial" w:eastAsia="Arial" w:hAnsi="Arial" w:cs="Arial"/>
          <w:color w:val="000000"/>
          <w:sz w:val="20"/>
        </w:rPr>
        <w:t xml:space="preserve"> at 402. Patton's intake questionnaire, however, is not verified as required by EEOC regulations. 29 C.F.R. § 1601.7. Thus, the questionnaire alone cannot be deemed a charge.</w:t>
      </w:r>
    </w:p>
    <w:p w:rsidR="00E456CD" w:rsidRDefault="00000000">
      <w:pPr>
        <w:pStyle w:val="Normal43"/>
        <w:widowControl w:val="0"/>
        <w:spacing w:before="200" w:line="260" w:lineRule="atLeast"/>
        <w:jc w:val="both"/>
      </w:pPr>
      <w:bookmarkStart w:id="6679" w:name="Bookmark_para_22_25"/>
      <w:bookmarkEnd w:id="6679"/>
      <w:r>
        <w:rPr>
          <w:rFonts w:ascii="Arial" w:eastAsia="Arial" w:hAnsi="Arial" w:cs="Arial"/>
          <w:color w:val="000000"/>
          <w:sz w:val="20"/>
        </w:rPr>
        <w:t xml:space="preserve">Nevertheless, if the intake questionnaire is considered </w:t>
      </w:r>
      <w:r>
        <w:rPr>
          <w:rFonts w:ascii="Arial" w:eastAsia="Arial" w:hAnsi="Arial" w:cs="Arial"/>
          <w:i/>
          <w:color w:val="000000"/>
          <w:sz w:val="20"/>
        </w:rPr>
        <w:t>part</w:t>
      </w:r>
      <w:r>
        <w:rPr>
          <w:rFonts w:ascii="Arial" w:eastAsia="Arial" w:hAnsi="Arial" w:cs="Arial"/>
          <w:color w:val="000000"/>
          <w:sz w:val="20"/>
        </w:rPr>
        <w:t xml:space="preserve"> of the formal charge Patton did file, the scope of the EEOC investigation growing out of the charge could reasonably be expected to include a failure to accommodate claim. We find that Patton's intake questionnaire should be construed as part of the EEOC charge. Patton filed his intake questionnaire together with his formal charge of discrimination on May 7, 2014. [**11]  The charge form directs complainants to "attach extra sheet(s)" "[i]f additional paper is needed." Moreover, the EEOC investigation clearly encompassed Patton's failure to accommodate claim. </w:t>
      </w:r>
      <w:bookmarkStart w:id="6680" w:name="Bookmark_I5P73DB52HM6B60050000400"/>
      <w:bookmarkEnd w:id="6680"/>
      <w:r>
        <w:rPr>
          <w:rFonts w:ascii="Arial" w:eastAsia="Arial" w:hAnsi="Arial" w:cs="Arial"/>
          <w:color w:val="000000"/>
          <w:sz w:val="20"/>
        </w:rPr>
        <w:t xml:space="preserve">In its position statement, Jacobs stated that "Patton never made any request for reasonable accommodation from Jacobs." The position statement also responds to a question—presumably posed by the EEOC—about Patton's request for a reasonable accommodation. Thus, Patton did in fact "trigger the investigatory and conciliatory procedures of the EEOC" regarding his failure to accommodate claim. </w:t>
      </w:r>
      <w:bookmarkStart w:id="6681" w:name="Bookmark_I5P73DB52HM6B60040000400"/>
      <w:bookmarkEnd w:id="6681"/>
      <w:r>
        <w:rPr>
          <w:rFonts w:ascii="Arial" w:eastAsia="Arial" w:hAnsi="Arial" w:cs="Arial"/>
          <w:i/>
          <w:color w:val="000000"/>
          <w:sz w:val="20"/>
        </w:rPr>
        <w:t>Pacheco</w:t>
      </w:r>
      <w:r>
        <w:rPr>
          <w:rFonts w:ascii="Arial" w:eastAsia="Arial" w:hAnsi="Arial" w:cs="Arial"/>
          <w:color w:val="000000"/>
          <w:sz w:val="20"/>
        </w:rPr>
        <w:t>, 448 F.3d at 788-89. Construing the scope of Patton's charge liberally, we hold that his failure to accommodate claim could reasonably be expected to—and in fact did—grow out of his charge of discrimination.</w:t>
      </w:r>
    </w:p>
    <w:p w:rsidR="00E456CD" w:rsidRDefault="00000000">
      <w:pPr>
        <w:pStyle w:val="Normal43"/>
        <w:widowControl w:val="0"/>
        <w:spacing w:before="240" w:line="260" w:lineRule="atLeast"/>
      </w:pPr>
      <w:r>
        <w:br/>
      </w:r>
      <w:r>
        <w:rPr>
          <w:rFonts w:ascii="Arial" w:eastAsia="Arial" w:hAnsi="Arial" w:cs="Arial"/>
          <w:b/>
          <w:i/>
          <w:color w:val="000000"/>
          <w:sz w:val="20"/>
        </w:rPr>
        <w:t>b. Knowledge of disability</w:t>
      </w:r>
    </w:p>
    <w:p w:rsidR="00E456CD" w:rsidRDefault="00000000">
      <w:pPr>
        <w:pStyle w:val="Normal43"/>
        <w:widowControl w:val="0"/>
        <w:spacing w:before="200" w:line="260" w:lineRule="atLeast"/>
        <w:jc w:val="both"/>
      </w:pPr>
      <w:bookmarkStart w:id="6682" w:name="Bookmark_para_23_25"/>
      <w:bookmarkStart w:id="6683" w:name="Bookmark_I5P73DB528T4SS0020000400"/>
      <w:bookmarkStart w:id="6684" w:name="Bookmark_I0MRK89DS7V000M3DRX004DD"/>
      <w:bookmarkStart w:id="6685" w:name="Bookmark_I0MRK89DYBP000M3DRX004DF"/>
      <w:bookmarkStart w:id="6686" w:name="Bookmark_I5P73DB528T4SS0040000400"/>
      <w:bookmarkEnd w:id="6682"/>
      <w:bookmarkEnd w:id="6683"/>
      <w:bookmarkEnd w:id="6684"/>
      <w:bookmarkEnd w:id="6685"/>
      <w:bookmarkEnd w:id="6686"/>
      <w:r>
        <w:rPr>
          <w:rFonts w:ascii="Arial" w:eastAsia="Arial" w:hAnsi="Arial" w:cs="Arial"/>
          <w:color w:val="000000"/>
          <w:sz w:val="20"/>
        </w:rPr>
        <w:t xml:space="preserve">In addition to finding Patton's failure to accommodate claim unexhausted, the district court granted summary judgment on the alternative ground that Patton failed to put forth sufficient evidence showing that either Jacobs or Talascend knew of his disability. </w:t>
      </w:r>
      <w:bookmarkStart w:id="6687" w:name="Bookmark_LNHNREFclscc6_27"/>
      <w:bookmarkEnd w:id="6687"/>
      <w:r>
        <w:rPr>
          <w:rFonts w:ascii="Arial" w:eastAsia="Arial" w:hAnsi="Arial" w:cs="Arial"/>
          <w:color w:val="000000"/>
          <w:sz w:val="20"/>
        </w:rPr>
        <w:t xml:space="preserve">"Under the ADA, an actionable disability means, in relevant part, a physical or mental impairment that substantially limits one or more of the major [**12]  life activities of an individual." </w:t>
      </w:r>
      <w:bookmarkStart w:id="6688" w:name="Bookmark_I5P73DB528T4SS0010000400"/>
      <w:bookmarkEnd w:id="6688"/>
      <w:r>
        <w:rPr>
          <w:rFonts w:ascii="Arial" w:eastAsia="Arial" w:hAnsi="Arial" w:cs="Arial"/>
          <w:i/>
          <w:color w:val="000000"/>
          <w:sz w:val="20"/>
        </w:rPr>
        <w:t>Taylor v. Principal Fin. Grp.</w:t>
      </w:r>
      <w:r>
        <w:rPr>
          <w:rFonts w:ascii="Arial" w:eastAsia="Arial" w:hAnsi="Arial" w:cs="Arial"/>
          <w:color w:val="000000"/>
          <w:sz w:val="20"/>
        </w:rPr>
        <w:t xml:space="preserve">, 93 F.3d 155, 163 (5th Cir. 1996) (footnote omitted) (citing 42 U.S.C. § 12102). "This court has recognized that 'where the disability, resulting limitations, and necessary reasonable accommodations, are not open, obvious, and apparent to the employer, the initial burden rests primarily upon the employee . . . to specifically identify the disability and resulting limitations, and to suggest the reasonable accommodations.'" </w:t>
      </w:r>
      <w:bookmarkStart w:id="6689" w:name="Bookmark_I5P73DB528T4SS0030000400"/>
      <w:bookmarkEnd w:id="6689"/>
      <w:r>
        <w:rPr>
          <w:rFonts w:ascii="Arial" w:eastAsia="Arial" w:hAnsi="Arial" w:cs="Arial"/>
          <w:i/>
          <w:color w:val="000000"/>
          <w:sz w:val="20"/>
        </w:rPr>
        <w:t>EEOC v. Chevron Phillips Chem. Co., LP</w:t>
      </w:r>
      <w:r>
        <w:rPr>
          <w:rFonts w:ascii="Arial" w:eastAsia="Arial" w:hAnsi="Arial" w:cs="Arial"/>
          <w:color w:val="000000"/>
          <w:sz w:val="20"/>
        </w:rPr>
        <w:t xml:space="preserve">, 570 F.3d 606, 621 (5th Cir. 2009) (omission in original) (quoting </w:t>
      </w:r>
      <w:bookmarkStart w:id="6690" w:name="Bookmark_I5P73DB528T4SS0050000400"/>
      <w:bookmarkEnd w:id="6690"/>
      <w:r>
        <w:rPr>
          <w:rFonts w:ascii="Arial" w:eastAsia="Arial" w:hAnsi="Arial" w:cs="Arial"/>
          <w:i/>
          <w:color w:val="000000"/>
          <w:sz w:val="20"/>
        </w:rPr>
        <w:t>Taylor</w:t>
      </w:r>
      <w:r>
        <w:rPr>
          <w:rFonts w:ascii="Arial" w:eastAsia="Arial" w:hAnsi="Arial" w:cs="Arial"/>
          <w:color w:val="000000"/>
          <w:sz w:val="20"/>
        </w:rPr>
        <w:t xml:space="preserve">, 93 F.3d at 165). Although the employee need not utter any magic words, she "must explain that the adjustment in working conditions or duties she is seeking is for a medical condition-related reason." </w:t>
      </w:r>
      <w:r>
        <w:rPr>
          <w:rFonts w:ascii="Arial" w:eastAsia="Arial" w:hAnsi="Arial" w:cs="Arial"/>
          <w:i/>
          <w:color w:val="000000"/>
          <w:sz w:val="20"/>
        </w:rPr>
        <w:t>Id.</w:t>
      </w:r>
    </w:p>
    <w:p w:rsidR="00E456CD" w:rsidRDefault="00000000">
      <w:pPr>
        <w:pStyle w:val="Normal43"/>
        <w:widowControl w:val="0"/>
        <w:spacing w:before="200" w:line="260" w:lineRule="atLeast"/>
        <w:jc w:val="both"/>
      </w:pPr>
      <w:bookmarkStart w:id="6691" w:name="Bookmark_para_24_23"/>
      <w:bookmarkEnd w:id="6691"/>
      <w:r>
        <w:rPr>
          <w:rFonts w:ascii="Arial" w:eastAsia="Arial" w:hAnsi="Arial" w:cs="Arial"/>
          <w:color w:val="000000"/>
          <w:sz w:val="20"/>
        </w:rPr>
        <w:t>We agree with the district court that there is insufficient evidence to prove either Jacobs' or Talascend's knowledge of Patton's disability. Of course, Patton's stutter was obvious. And it is clear that Patton complained about noise on several occasions. But Patton must show that the defendants attributed Patton's limitation—sensitivity to noise—to a physical or mental impairment; in other words, they must have known that Patton sought a quieter work environment because of a medical condition.</w:t>
      </w:r>
    </w:p>
    <w:p w:rsidR="00E456CD" w:rsidRDefault="00000000">
      <w:pPr>
        <w:pStyle w:val="Normal43"/>
        <w:widowControl w:val="0"/>
        <w:spacing w:before="200" w:line="260" w:lineRule="atLeast"/>
        <w:jc w:val="both"/>
      </w:pPr>
      <w:bookmarkStart w:id="6692" w:name="Bookmark_para_25_23"/>
      <w:bookmarkEnd w:id="6692"/>
      <w:r>
        <w:rPr>
          <w:rFonts w:ascii="Arial" w:eastAsia="Arial" w:hAnsi="Arial" w:cs="Arial"/>
          <w:color w:val="000000"/>
          <w:sz w:val="20"/>
        </w:rPr>
        <w:t>The only evidence supporting Talascend's knowledge of Patton's disability [**13]  and resulting limitation is Patton's testimony that he told Emily Wimbley that his stuttering and anxiety problems "all go[] together."  [*426]  He also told her "that at a previous job [he] was sensitive to [noise]." These statements are too vague to show that Patton identified his sensitivity to noise as a limitation resulting from a disability.</w:t>
      </w:r>
      <w:r>
        <w:rPr>
          <w:rFonts w:ascii="Arial" w:eastAsia="Arial" w:hAnsi="Arial" w:cs="Arial"/>
          <w:vertAlign w:val="superscript"/>
        </w:rPr>
        <w:footnoteReference w:customMarkFollows="1" w:id="282"/>
        <w:t>2</w:t>
      </w:r>
    </w:p>
    <w:p w:rsidR="00E456CD" w:rsidRDefault="00000000">
      <w:pPr>
        <w:pStyle w:val="Normal43"/>
        <w:widowControl w:val="0"/>
        <w:spacing w:before="200" w:line="260" w:lineRule="atLeast"/>
        <w:jc w:val="both"/>
      </w:pPr>
      <w:bookmarkStart w:id="6694" w:name="Bookmark_para_26_21"/>
      <w:bookmarkStart w:id="6695" w:name="Bookmark_I5P73DB52N1RVD0030000400"/>
      <w:bookmarkEnd w:id="6694"/>
      <w:bookmarkEnd w:id="6695"/>
      <w:r>
        <w:rPr>
          <w:rFonts w:ascii="Arial" w:eastAsia="Arial" w:hAnsi="Arial" w:cs="Arial"/>
          <w:color w:val="000000"/>
          <w:sz w:val="20"/>
        </w:rPr>
        <w:t xml:space="preserve">Whether sufficient evidence supports Jacobs' knowledge of Patton's disability and resulting limitation is a closer question. Patton testified that he asked Jacobs "to move [him] to a quiet area so that [his] stuttering—[his] nerves would decrease, [his] nervous system problems would stop causing [his] increase in stuttering." It is reasonable to infer that based on this request, Jacobs was on notice that noise aggravated Patton's anxiety, which in turn aggravated his stuttering. </w:t>
      </w:r>
      <w:bookmarkStart w:id="6696" w:name="Bookmark_I5P73DB52N1RVD0050000400"/>
      <w:bookmarkEnd w:id="6696"/>
      <w:r>
        <w:rPr>
          <w:rFonts w:ascii="Arial" w:eastAsia="Arial" w:hAnsi="Arial" w:cs="Arial"/>
          <w:color w:val="000000"/>
          <w:sz w:val="20"/>
        </w:rPr>
        <w:t xml:space="preserve">But this is not enough; a jury must be able to infer Jacobs' knowledge of the "limitations experienced by the employee </w:t>
      </w:r>
      <w:r>
        <w:rPr>
          <w:rFonts w:ascii="Arial" w:eastAsia="Arial" w:hAnsi="Arial" w:cs="Arial"/>
          <w:i/>
          <w:color w:val="000000"/>
          <w:sz w:val="20"/>
        </w:rPr>
        <w:t>as a result of</w:t>
      </w:r>
      <w:r>
        <w:rPr>
          <w:rFonts w:ascii="Arial" w:eastAsia="Arial" w:hAnsi="Arial" w:cs="Arial"/>
          <w:color w:val="000000"/>
          <w:sz w:val="20"/>
        </w:rPr>
        <w:t xml:space="preserve"> [his] disability." </w:t>
      </w:r>
      <w:bookmarkStart w:id="6697" w:name="Bookmark_I5P73DB52N1RVD0020000400"/>
      <w:bookmarkEnd w:id="6697"/>
      <w:r>
        <w:rPr>
          <w:rFonts w:ascii="Arial" w:eastAsia="Arial" w:hAnsi="Arial" w:cs="Arial"/>
          <w:i/>
          <w:color w:val="000000"/>
          <w:sz w:val="20"/>
        </w:rPr>
        <w:t>Taylor</w:t>
      </w:r>
      <w:r>
        <w:rPr>
          <w:rFonts w:ascii="Arial" w:eastAsia="Arial" w:hAnsi="Arial" w:cs="Arial"/>
          <w:color w:val="000000"/>
          <w:sz w:val="20"/>
        </w:rPr>
        <w:t xml:space="preserve">, 93 F.3d at 164 (emphasis added). </w:t>
      </w:r>
      <w:bookmarkStart w:id="6698" w:name="Bookmark_I5P73DB52N1RVD0050000400_2"/>
      <w:bookmarkEnd w:id="6698"/>
      <w:r>
        <w:rPr>
          <w:rFonts w:ascii="Arial" w:eastAsia="Arial" w:hAnsi="Arial" w:cs="Arial"/>
          <w:color w:val="000000"/>
          <w:sz w:val="20"/>
        </w:rPr>
        <w:t xml:space="preserve">In the case of a mental disability such as childhood onset fluency disorder, specificity in attributing a work limitation to a disability is particularly important. </w:t>
      </w:r>
      <w:r>
        <w:rPr>
          <w:rFonts w:ascii="Arial" w:eastAsia="Arial" w:hAnsi="Arial" w:cs="Arial"/>
          <w:i/>
          <w:color w:val="000000"/>
          <w:sz w:val="20"/>
        </w:rPr>
        <w:t xml:space="preserve">See </w:t>
      </w:r>
      <w:bookmarkStart w:id="6699" w:name="Bookmark_I5P73DB52N1RVD0040000400"/>
      <w:bookmarkEnd w:id="6699"/>
      <w:r>
        <w:rPr>
          <w:rFonts w:ascii="Arial" w:eastAsia="Arial" w:hAnsi="Arial" w:cs="Arial"/>
          <w:i/>
          <w:color w:val="000000"/>
          <w:sz w:val="20"/>
        </w:rPr>
        <w:t>id.</w:t>
      </w:r>
      <w:r>
        <w:rPr>
          <w:rFonts w:ascii="Arial" w:eastAsia="Arial" w:hAnsi="Arial" w:cs="Arial"/>
          <w:color w:val="000000"/>
          <w:sz w:val="20"/>
        </w:rPr>
        <w:t xml:space="preserve"> at 164-65. Patton did not tell Jacobs that his [**14]  disability </w:t>
      </w:r>
      <w:r>
        <w:rPr>
          <w:rFonts w:ascii="Arial" w:eastAsia="Arial" w:hAnsi="Arial" w:cs="Arial"/>
          <w:i/>
          <w:color w:val="000000"/>
          <w:sz w:val="20"/>
        </w:rPr>
        <w:t>caused</w:t>
      </w:r>
      <w:r>
        <w:rPr>
          <w:rFonts w:ascii="Arial" w:eastAsia="Arial" w:hAnsi="Arial" w:cs="Arial"/>
          <w:color w:val="000000"/>
          <w:sz w:val="20"/>
        </w:rPr>
        <w:t xml:space="preserve"> his noise sensitivity, nor was this causal relationship obvious. Accordingly, as the district court held, Patton "has not created a genuine dispute of fact that he adequately linked office noise to an aggravation of his disability, which in turn gave rise to a workplace limitation for which [Jacobs] should have been aware." The district court did not err in granting summary judgment against Patton on his failure to accommodate claim.</w:t>
      </w:r>
    </w:p>
    <w:p w:rsidR="00E456CD" w:rsidRDefault="00000000">
      <w:pPr>
        <w:pStyle w:val="Normal43"/>
        <w:widowControl w:val="0"/>
        <w:spacing w:before="240" w:line="260" w:lineRule="atLeast"/>
      </w:pPr>
      <w:r>
        <w:br/>
      </w:r>
      <w:r>
        <w:rPr>
          <w:rFonts w:ascii="Arial" w:eastAsia="Arial" w:hAnsi="Arial" w:cs="Arial"/>
          <w:b/>
          <w:i/>
          <w:color w:val="000000"/>
          <w:sz w:val="20"/>
        </w:rPr>
        <w:t>2. Hostile Work Environment</w:t>
      </w:r>
    </w:p>
    <w:p w:rsidR="00E456CD" w:rsidRDefault="00000000">
      <w:pPr>
        <w:pStyle w:val="Normal43"/>
        <w:widowControl w:val="0"/>
        <w:spacing w:before="200" w:line="260" w:lineRule="atLeast"/>
        <w:jc w:val="both"/>
      </w:pPr>
      <w:bookmarkStart w:id="6700" w:name="Bookmark_para_27_21"/>
      <w:bookmarkStart w:id="6701" w:name="Bookmark_I0MRK89F35V000M3DRX004DG"/>
      <w:bookmarkStart w:id="6702" w:name="Bookmark_I0MRK89FGN8000M3DRX005SB"/>
      <w:bookmarkStart w:id="6703" w:name="Bookmark_I5P73DB52HM6B70020000400"/>
      <w:bookmarkStart w:id="6704" w:name="Bookmark_LNHNREFclscc7_27"/>
      <w:bookmarkEnd w:id="6700"/>
      <w:bookmarkEnd w:id="6701"/>
      <w:bookmarkEnd w:id="6702"/>
      <w:bookmarkEnd w:id="6703"/>
      <w:bookmarkEnd w:id="6704"/>
      <w:r>
        <w:rPr>
          <w:rFonts w:ascii="Arial" w:eastAsia="Arial" w:hAnsi="Arial" w:cs="Arial"/>
          <w:color w:val="000000"/>
          <w:sz w:val="20"/>
        </w:rPr>
        <w:t>To establish a hostile work environment claim under the ADA, a plaintiff must show:</w:t>
      </w:r>
    </w:p>
    <w:p w:rsidR="00E456CD" w:rsidRDefault="00000000">
      <w:pPr>
        <w:pStyle w:val="Normal43"/>
        <w:widowControl w:val="0"/>
        <w:spacing w:before="200" w:line="260" w:lineRule="atLeast"/>
        <w:ind w:left="400"/>
        <w:jc w:val="both"/>
      </w:pPr>
      <w:bookmarkStart w:id="6705" w:name="Bookmark_para_28_21"/>
      <w:bookmarkStart w:id="6706" w:name="Bookmark_I5P73DB52HM6B70020000400_2"/>
      <w:bookmarkStart w:id="6707" w:name="Bookmark_I5P73DB52N1RVF0010000400"/>
      <w:bookmarkEnd w:id="6705"/>
      <w:bookmarkEnd w:id="6706"/>
      <w:bookmarkEnd w:id="6707"/>
      <w:r>
        <w:rPr>
          <w:rFonts w:ascii="Arial" w:eastAsia="Arial" w:hAnsi="Arial" w:cs="Arial"/>
          <w:color w:val="000000"/>
          <w:sz w:val="20"/>
        </w:rPr>
        <w:t>(1) that she belongs to a protected group; (2) that she was subjected to unwelcome harassment; (3) that the harassment complained of was based on her disability or disabilities; (4) that the harassment complained of affected a term, condition, or privilege of employment; and (5) that the employer knew or should have known of the harassment and failed to take prompt, remedial action.</w:t>
      </w:r>
    </w:p>
    <w:p w:rsidR="00E456CD" w:rsidRDefault="00000000">
      <w:pPr>
        <w:pStyle w:val="Normal43"/>
        <w:widowControl w:val="0"/>
        <w:spacing w:before="200" w:line="260" w:lineRule="atLeast"/>
        <w:jc w:val="both"/>
      </w:pPr>
      <w:bookmarkStart w:id="6708" w:name="Bookmark_I5P73DB52N1RVF0010000400_2"/>
      <w:bookmarkStart w:id="6709" w:name="Bookmark_I5P73DB52HM6B70020000400_3"/>
      <w:bookmarkStart w:id="6710" w:name="Bookmark_I6PBP6MW70F00002NJX00469"/>
      <w:bookmarkStart w:id="6711" w:name="Bookmark_I6PBP6MWRK200002NJX0046N"/>
      <w:bookmarkStart w:id="6712" w:name="Bookmark_I5P73DB52N1RVF0050000400"/>
      <w:bookmarkStart w:id="6713" w:name="Bookmark_I5P73DB52HM6B70010000400"/>
      <w:bookmarkEnd w:id="6708"/>
      <w:bookmarkEnd w:id="6709"/>
      <w:bookmarkEnd w:id="6710"/>
      <w:bookmarkEnd w:id="6711"/>
      <w:bookmarkEnd w:id="6712"/>
      <w:bookmarkEnd w:id="6713"/>
      <w:r>
        <w:rPr>
          <w:rFonts w:ascii="Arial" w:eastAsia="Arial" w:hAnsi="Arial" w:cs="Arial"/>
          <w:i/>
          <w:color w:val="000000"/>
          <w:sz w:val="20"/>
        </w:rPr>
        <w:t>Flowers v. S. Reg'l Physician Servs. Inc.</w:t>
      </w:r>
      <w:r>
        <w:rPr>
          <w:rFonts w:ascii="Arial" w:eastAsia="Arial" w:hAnsi="Arial" w:cs="Arial"/>
          <w:color w:val="000000"/>
          <w:sz w:val="20"/>
        </w:rPr>
        <w:t xml:space="preserve">, 247 F.3d 229, 235-36 (5th Cir. 2001) (quoting </w:t>
      </w:r>
      <w:bookmarkStart w:id="6714" w:name="Bookmark_I5P73DB52HM6B70030000400"/>
      <w:bookmarkEnd w:id="6714"/>
      <w:r>
        <w:rPr>
          <w:rFonts w:ascii="Arial" w:eastAsia="Arial" w:hAnsi="Arial" w:cs="Arial"/>
          <w:i/>
          <w:color w:val="000000"/>
          <w:sz w:val="20"/>
        </w:rPr>
        <w:t>McConathy v. Dr. Pepper/Seven Up Corp.</w:t>
      </w:r>
      <w:r>
        <w:rPr>
          <w:rFonts w:ascii="Arial" w:eastAsia="Arial" w:hAnsi="Arial" w:cs="Arial"/>
          <w:color w:val="000000"/>
          <w:sz w:val="20"/>
        </w:rPr>
        <w:t xml:space="preserve">, 131 F.3d 558, 563 (5th Cir. 1998)). </w:t>
      </w:r>
      <w:bookmarkStart w:id="6715" w:name="Bookmark_I0MRK89FYDD000M3DRX004DP"/>
      <w:bookmarkStart w:id="6716" w:name="Bookmark_I0MRK89HGSP000M3DRX005ST"/>
      <w:bookmarkStart w:id="6717" w:name="Bookmark_I5P73DB52N1RVF0050000400_2"/>
      <w:bookmarkEnd w:id="6715"/>
      <w:bookmarkEnd w:id="6716"/>
      <w:bookmarkEnd w:id="6717"/>
      <w:r>
        <w:rPr>
          <w:rFonts w:ascii="Arial" w:eastAsia="Arial" w:hAnsi="Arial" w:cs="Arial"/>
          <w:color w:val="000000"/>
          <w:sz w:val="20"/>
        </w:rPr>
        <w:t xml:space="preserve">"Harassment affects a 'term, condition, or privilege of employment' if it is 'sufficiently severe or pervasive to alter the conditions of the victim's employment and create an abusive working environment.'" </w:t>
      </w:r>
      <w:bookmarkStart w:id="6718" w:name="Bookmark_I5P73DB52HM6B70050000400"/>
      <w:bookmarkEnd w:id="6718"/>
      <w:r>
        <w:rPr>
          <w:rFonts w:ascii="Arial" w:eastAsia="Arial" w:hAnsi="Arial" w:cs="Arial"/>
          <w:i/>
          <w:color w:val="000000"/>
          <w:sz w:val="20"/>
        </w:rPr>
        <w:t>Hernandez v. Yellow Transp., Inc.</w:t>
      </w:r>
      <w:r>
        <w:rPr>
          <w:rFonts w:ascii="Arial" w:eastAsia="Arial" w:hAnsi="Arial" w:cs="Arial"/>
          <w:color w:val="000000"/>
          <w:sz w:val="20"/>
        </w:rPr>
        <w:t xml:space="preserve">, 670 F.3d 644, 651 (5th Cir. 2012) (quoting </w:t>
      </w:r>
      <w:bookmarkStart w:id="6719" w:name="Bookmark_I5P73DB52N1RVF0020000400"/>
      <w:bookmarkEnd w:id="6719"/>
      <w:r>
        <w:rPr>
          <w:rFonts w:ascii="Arial" w:eastAsia="Arial" w:hAnsi="Arial" w:cs="Arial"/>
          <w:i/>
          <w:color w:val="000000"/>
          <w:sz w:val="20"/>
        </w:rPr>
        <w:t>Ramsey v. Henderson</w:t>
      </w:r>
      <w:r>
        <w:rPr>
          <w:rFonts w:ascii="Arial" w:eastAsia="Arial" w:hAnsi="Arial" w:cs="Arial"/>
          <w:color w:val="000000"/>
          <w:sz w:val="20"/>
        </w:rPr>
        <w:t xml:space="preserve">, 286 F.3d 264, 268 (5th Cir. 2002)). </w:t>
      </w:r>
      <w:bookmarkStart w:id="6720" w:name="Bookmark_I5P73DB52N1RVF0050000400_3"/>
      <w:bookmarkStart w:id="6721" w:name="Bookmark_I0MRK89GD5J000M3DRX005SJ"/>
      <w:bookmarkStart w:id="6722" w:name="Bookmark_I5P73DB52SF8HV0040000400"/>
      <w:bookmarkEnd w:id="6720"/>
      <w:bookmarkEnd w:id="6721"/>
      <w:bookmarkEnd w:id="6722"/>
      <w:r>
        <w:rPr>
          <w:rFonts w:ascii="Arial" w:eastAsia="Arial" w:hAnsi="Arial" w:cs="Arial"/>
          <w:color w:val="000000"/>
          <w:sz w:val="20"/>
        </w:rPr>
        <w:t xml:space="preserve">In determining whether [**15]  the work environment is hostile, this Court examines the totality of circumstances, including "the frequency of the discriminatory conduct; its severity; whether it is physically threatening or humiliating, or a mere offensive utterance; and whether it unreasonably interferes with an employee's work performance." </w:t>
      </w:r>
      <w:bookmarkStart w:id="6723" w:name="Bookmark_I5P73DB52N1RVF0040000400"/>
      <w:bookmarkEnd w:id="6723"/>
      <w:r>
        <w:rPr>
          <w:rFonts w:ascii="Arial" w:eastAsia="Arial" w:hAnsi="Arial" w:cs="Arial"/>
          <w:i/>
          <w:color w:val="000000"/>
          <w:sz w:val="20"/>
        </w:rPr>
        <w:t>Id.</w:t>
      </w:r>
      <w:r>
        <w:rPr>
          <w:rFonts w:ascii="Arial" w:eastAsia="Arial" w:hAnsi="Arial" w:cs="Arial"/>
          <w:color w:val="000000"/>
          <w:sz w:val="20"/>
        </w:rPr>
        <w:t xml:space="preserve"> (quoting </w:t>
      </w:r>
      <w:bookmarkStart w:id="6724" w:name="Bookmark_I5P73DB52SF8HV0010000400"/>
      <w:bookmarkEnd w:id="6724"/>
      <w:r>
        <w:rPr>
          <w:rFonts w:ascii="Arial" w:eastAsia="Arial" w:hAnsi="Arial" w:cs="Arial"/>
          <w:i/>
          <w:color w:val="000000"/>
          <w:sz w:val="20"/>
        </w:rPr>
        <w:t>Ramsey</w:t>
      </w:r>
      <w:r>
        <w:rPr>
          <w:rFonts w:ascii="Arial" w:eastAsia="Arial" w:hAnsi="Arial" w:cs="Arial"/>
          <w:color w:val="000000"/>
          <w:sz w:val="20"/>
        </w:rPr>
        <w:t xml:space="preserve">, 286 F.3d at 268). </w:t>
      </w:r>
      <w:bookmarkStart w:id="6725" w:name="Bookmark_I5P73DB52SF8HV0040000400_2"/>
      <w:bookmarkEnd w:id="6725"/>
      <w:r>
        <w:rPr>
          <w:rFonts w:ascii="Arial" w:eastAsia="Arial" w:hAnsi="Arial" w:cs="Arial"/>
          <w:color w:val="000000"/>
          <w:sz w:val="20"/>
        </w:rPr>
        <w:t xml:space="preserve">But "simple teasing, offhand comments, and isolated incidents (unless extremely serious)" do not suffice to alter the terms and conditions of employment. </w:t>
      </w:r>
      <w:bookmarkStart w:id="6726" w:name="Bookmark_I5P73DB52SF8HV0030000400"/>
      <w:bookmarkEnd w:id="6726"/>
      <w:r>
        <w:rPr>
          <w:rFonts w:ascii="Arial" w:eastAsia="Arial" w:hAnsi="Arial" w:cs="Arial"/>
          <w:i/>
          <w:color w:val="000000"/>
          <w:sz w:val="20"/>
        </w:rPr>
        <w:t>Faragher v. City of Boca Raton</w:t>
      </w:r>
      <w:r>
        <w:rPr>
          <w:rFonts w:ascii="Arial" w:eastAsia="Arial" w:hAnsi="Arial" w:cs="Arial"/>
          <w:color w:val="000000"/>
          <w:sz w:val="20"/>
        </w:rPr>
        <w:t>, 524 U.S. 775, 788, 118 S. Ct. 2275, 141 L. Ed. 2d 662 (1998) (citation and internal quotation marks omitted).</w:t>
      </w:r>
    </w:p>
    <w:p w:rsidR="00E456CD" w:rsidRDefault="00000000">
      <w:pPr>
        <w:pStyle w:val="Normal43"/>
        <w:widowControl w:val="0"/>
        <w:spacing w:before="200" w:line="260" w:lineRule="atLeast"/>
        <w:jc w:val="both"/>
      </w:pPr>
      <w:bookmarkStart w:id="6727" w:name="Bookmark_para_29_20"/>
      <w:bookmarkEnd w:id="6727"/>
      <w:r>
        <w:rPr>
          <w:rFonts w:ascii="Arial" w:eastAsia="Arial" w:hAnsi="Arial" w:cs="Arial"/>
          <w:color w:val="000000"/>
          <w:sz w:val="20"/>
        </w:rPr>
        <w:t>The district court held that Patton failed to satisfy the fourth and fifth elements of a  [*427]  hostile work environment claim. On appeal, Patton emphasizes that the "vicious cycle of mental and physical abuse" he experienced while at Jacobs created a "hostile and abusive" work environment.</w:t>
      </w:r>
      <w:r>
        <w:rPr>
          <w:rFonts w:ascii="Arial" w:eastAsia="Arial" w:hAnsi="Arial" w:cs="Arial"/>
          <w:vertAlign w:val="superscript"/>
        </w:rPr>
        <w:footnoteReference w:customMarkFollows="1" w:id="283"/>
        <w:t>3</w:t>
      </w:r>
      <w:r>
        <w:rPr>
          <w:rFonts w:ascii="Arial" w:eastAsia="Arial" w:hAnsi="Arial" w:cs="Arial"/>
          <w:color w:val="000000"/>
          <w:sz w:val="20"/>
        </w:rPr>
        <w:t xml:space="preserve"> Jacobs disputes whether this abuse actually occurred, noting that none of Patton's coworkers corroborated his account and that Patton did not complain of any harassment while he worked at Jacobs. Jacobs also argues that Patton has only pointed to a few instances of teasing and offhand comments, none of which affected Patton's work performance and which do not meet the Fifth Circuit's [**16]  high bar for a hostile work environment.</w:t>
      </w:r>
    </w:p>
    <w:p w:rsidR="00E456CD" w:rsidRDefault="00000000">
      <w:pPr>
        <w:pStyle w:val="Normal43"/>
        <w:widowControl w:val="0"/>
        <w:spacing w:before="200" w:line="260" w:lineRule="atLeast"/>
        <w:jc w:val="both"/>
      </w:pPr>
      <w:bookmarkStart w:id="6732" w:name="Bookmark_para_30_20"/>
      <w:bookmarkStart w:id="6733" w:name="Bookmark_I0MRK89GR3J000M3DRX005SM"/>
      <w:bookmarkStart w:id="6734" w:name="Bookmark_I5P73DB52D6NTD0050000400"/>
      <w:bookmarkEnd w:id="6732"/>
      <w:bookmarkEnd w:id="6733"/>
      <w:bookmarkEnd w:id="6734"/>
      <w:r>
        <w:rPr>
          <w:rFonts w:ascii="Arial" w:eastAsia="Arial" w:hAnsi="Arial" w:cs="Arial"/>
          <w:color w:val="000000"/>
          <w:sz w:val="20"/>
        </w:rPr>
        <w:t xml:space="preserve">Viewing the record in the light most favorable to Patton, a jury could find that the harassment Patton experienced at Jacobs was sufficiently severe or pervasive to alter the terms and conditions of his employment. There is evidence that the alleged harassment was pervasive; for example, Patton testified that "there were a lot of names by quite a few people over an extended period of time," and that he was called names like bush hog and lawnmower every week. Patton was not as clear about how often his coworkers mocked his stuttering, but his testimony suggests that he was repeatedly mocked by various individuals—in the hallway, on the elevator, and around his desk. This conduct rises above simple teasing and offhand comments. </w:t>
      </w:r>
      <w:r>
        <w:rPr>
          <w:rFonts w:ascii="Arial" w:eastAsia="Arial" w:hAnsi="Arial" w:cs="Arial"/>
          <w:i/>
          <w:color w:val="000000"/>
          <w:sz w:val="20"/>
        </w:rPr>
        <w:t xml:space="preserve">Cf. </w:t>
      </w:r>
      <w:bookmarkStart w:id="6735" w:name="Bookmark_I5P73DB52D6NTD0040000400"/>
      <w:bookmarkEnd w:id="6735"/>
      <w:r>
        <w:rPr>
          <w:rFonts w:ascii="Arial" w:eastAsia="Arial" w:hAnsi="Arial" w:cs="Arial"/>
          <w:i/>
          <w:color w:val="000000"/>
          <w:sz w:val="20"/>
        </w:rPr>
        <w:t>EEOC v. WC&amp;M Enters., Inc.</w:t>
      </w:r>
      <w:r>
        <w:rPr>
          <w:rFonts w:ascii="Arial" w:eastAsia="Arial" w:hAnsi="Arial" w:cs="Arial"/>
          <w:color w:val="000000"/>
          <w:sz w:val="20"/>
        </w:rPr>
        <w:t>, 496 F.3d 393, 400-01 (5th Cir. 2007) (holding that "a long-term pattern of ridicule" based on the plaintiff's national origin and religion, including name-calling and mocking, sufficed to establish a hostile work environment claim under Title VII). Patton also testified about a particularly severe incident in which his supervisor, Greg Guillory, mocked him at a department-wide meeting. Furthermore, it is reasonable to infer that this harassment contributed [**17]  to the anxiety that forced Patton to miss work, thus interfering with his work performance. Based on these facts, Patton has put forth sufficient evidence in support of the fourth element of a hostile work environment claim.</w:t>
      </w:r>
    </w:p>
    <w:p w:rsidR="00E456CD" w:rsidRDefault="00000000">
      <w:pPr>
        <w:pStyle w:val="Normal43"/>
        <w:widowControl w:val="0"/>
        <w:spacing w:before="200" w:line="260" w:lineRule="atLeast"/>
        <w:jc w:val="both"/>
      </w:pPr>
      <w:bookmarkStart w:id="6736" w:name="Bookmark_para_31_20"/>
      <w:bookmarkStart w:id="6737" w:name="Bookmark_I0MRK89GX6D000M3DRX005SN"/>
      <w:bookmarkStart w:id="6738" w:name="Bookmark_I5P73DB528T4ST0020000400"/>
      <w:bookmarkEnd w:id="6736"/>
      <w:bookmarkEnd w:id="6737"/>
      <w:bookmarkEnd w:id="6738"/>
      <w:r>
        <w:rPr>
          <w:rFonts w:ascii="Arial" w:eastAsia="Arial" w:hAnsi="Arial" w:cs="Arial"/>
          <w:color w:val="000000"/>
          <w:sz w:val="20"/>
        </w:rPr>
        <w:t xml:space="preserve">Nevertheless, we agree with the district court that Patton has failed to show that either defendant failed to take prompt, remedial action addressing the alleged harassment. </w:t>
      </w:r>
      <w:bookmarkStart w:id="6739" w:name="Bookmark_I0MRK89H21J000M3DRX005SP"/>
      <w:bookmarkStart w:id="6740" w:name="Bookmark_I5P73DB528T4ST0040000400"/>
      <w:bookmarkEnd w:id="6739"/>
      <w:bookmarkEnd w:id="6740"/>
      <w:r>
        <w:rPr>
          <w:rFonts w:ascii="Arial" w:eastAsia="Arial" w:hAnsi="Arial" w:cs="Arial"/>
          <w:color w:val="000000"/>
          <w:sz w:val="20"/>
        </w:rPr>
        <w:t xml:space="preserve">We have held that </w:t>
      </w:r>
      <w:bookmarkStart w:id="6741" w:name="Bookmark_LNHNREFclscc8_25"/>
      <w:bookmarkEnd w:id="6741"/>
      <w:r>
        <w:rPr>
          <w:rFonts w:ascii="Arial" w:eastAsia="Arial" w:hAnsi="Arial" w:cs="Arial"/>
          <w:color w:val="000000"/>
          <w:sz w:val="20"/>
        </w:rPr>
        <w:t xml:space="preserve">a hostile work environment claim fails as a matter of law if the plaintiff "unreasonably failed to take advantage of corrective opportunities provided by" the employer. </w:t>
      </w:r>
      <w:bookmarkStart w:id="6742" w:name="Bookmark_I5P73DB528T4ST0010000400"/>
      <w:bookmarkEnd w:id="6742"/>
      <w:r>
        <w:rPr>
          <w:rFonts w:ascii="Arial" w:eastAsia="Arial" w:hAnsi="Arial" w:cs="Arial"/>
          <w:i/>
          <w:color w:val="000000"/>
          <w:sz w:val="20"/>
        </w:rPr>
        <w:t>Hockman v. Westward Commc'ns, LLC</w:t>
      </w:r>
      <w:r>
        <w:rPr>
          <w:rFonts w:ascii="Arial" w:eastAsia="Arial" w:hAnsi="Arial" w:cs="Arial"/>
          <w:color w:val="000000"/>
          <w:sz w:val="20"/>
        </w:rPr>
        <w:t xml:space="preserve">, 407 F.3d 317, 330, 122 Fed. Appx. 734 (5th Cir. 2004). </w:t>
      </w:r>
      <w:bookmarkStart w:id="6743" w:name="Bookmark_I5P73DB528T4ST0040000400_2"/>
      <w:bookmarkEnd w:id="6743"/>
      <w:r>
        <w:rPr>
          <w:rFonts w:ascii="Arial" w:eastAsia="Arial" w:hAnsi="Arial" w:cs="Arial"/>
          <w:color w:val="000000"/>
          <w:sz w:val="20"/>
        </w:rPr>
        <w:t xml:space="preserve">In </w:t>
      </w:r>
      <w:r>
        <w:rPr>
          <w:rFonts w:ascii="Arial" w:eastAsia="Arial" w:hAnsi="Arial" w:cs="Arial"/>
          <w:i/>
          <w:color w:val="000000"/>
          <w:sz w:val="20"/>
        </w:rPr>
        <w:t>Hockman</w:t>
      </w:r>
      <w:r>
        <w:rPr>
          <w:rFonts w:ascii="Arial" w:eastAsia="Arial" w:hAnsi="Arial" w:cs="Arial"/>
          <w:color w:val="000000"/>
          <w:sz w:val="20"/>
        </w:rPr>
        <w:t xml:space="preserve">, for example, we affirmed summary judgment against a plaintiff who failed to report her complaint to the human resources department even though the employee handbook directed her to do so. </w:t>
      </w:r>
      <w:bookmarkStart w:id="6744" w:name="Bookmark_I5P73DB528T4ST0030000400"/>
      <w:bookmarkEnd w:id="6744"/>
      <w:r>
        <w:rPr>
          <w:rFonts w:ascii="Arial" w:eastAsia="Arial" w:hAnsi="Arial" w:cs="Arial"/>
          <w:i/>
          <w:color w:val="000000"/>
          <w:sz w:val="20"/>
        </w:rPr>
        <w:t>Id.</w:t>
      </w:r>
      <w:r>
        <w:rPr>
          <w:rFonts w:ascii="Arial" w:eastAsia="Arial" w:hAnsi="Arial" w:cs="Arial"/>
          <w:color w:val="000000"/>
          <w:sz w:val="20"/>
        </w:rPr>
        <w:t xml:space="preserve"> at 329-30.</w:t>
      </w:r>
    </w:p>
    <w:p w:rsidR="00E456CD" w:rsidRDefault="00000000">
      <w:pPr>
        <w:pStyle w:val="Normal43"/>
        <w:widowControl w:val="0"/>
        <w:spacing w:before="200" w:line="260" w:lineRule="atLeast"/>
        <w:jc w:val="both"/>
      </w:pPr>
      <w:bookmarkStart w:id="6745" w:name="Bookmark_para_32_20"/>
      <w:bookmarkEnd w:id="6745"/>
      <w:r>
        <w:rPr>
          <w:rFonts w:ascii="Arial" w:eastAsia="Arial" w:hAnsi="Arial" w:cs="Arial"/>
          <w:color w:val="000000"/>
          <w:sz w:val="20"/>
        </w:rPr>
        <w:t xml:space="preserve">Here, the employee handbooks of both Talascend and Jacobs directed employees who experience harassment to contact the human resources department. </w:t>
      </w:r>
      <w:bookmarkStart w:id="6746" w:name="Bookmark_I0MRK89H9NV000M3DRX005SS"/>
      <w:bookmarkStart w:id="6747" w:name="Bookmark_I5P73DB52SF8HW0010000400"/>
      <w:bookmarkEnd w:id="6746"/>
      <w:bookmarkEnd w:id="6747"/>
      <w:r>
        <w:rPr>
          <w:rFonts w:ascii="Arial" w:eastAsia="Arial" w:hAnsi="Arial" w:cs="Arial"/>
          <w:color w:val="000000"/>
          <w:sz w:val="20"/>
        </w:rPr>
        <w:t xml:space="preserve">No evidence in the record suggests that Patton complied with these policies. Patton did testify that he called the Talascend human resources department once in early 2013 and left a message, but he did not describe the content of this message and did not follow up. [**18]  Nor does Patton argue that complying with either Talascend's or Jacobs' reporting policy would have been futile. </w:t>
      </w:r>
      <w:r>
        <w:rPr>
          <w:rFonts w:ascii="Arial" w:eastAsia="Arial" w:hAnsi="Arial" w:cs="Arial"/>
          <w:i/>
          <w:color w:val="000000"/>
          <w:sz w:val="20"/>
        </w:rPr>
        <w:t xml:space="preserve">See </w:t>
      </w:r>
      <w:r>
        <w:rPr>
          <w:rFonts w:ascii="Arial" w:eastAsia="Arial" w:hAnsi="Arial" w:cs="Arial"/>
          <w:color w:val="000000"/>
          <w:sz w:val="20"/>
        </w:rPr>
        <w:t xml:space="preserve"> [*428]  </w:t>
      </w:r>
      <w:bookmarkStart w:id="6748" w:name="Bookmark_I5P73DB528T4ST0050000400"/>
      <w:bookmarkEnd w:id="6748"/>
      <w:r>
        <w:rPr>
          <w:rFonts w:ascii="Arial" w:eastAsia="Arial" w:hAnsi="Arial" w:cs="Arial"/>
          <w:i/>
          <w:color w:val="000000"/>
          <w:sz w:val="20"/>
        </w:rPr>
        <w:t>Woods v. Delta Beverage Grp., Inc.</w:t>
      </w:r>
      <w:r>
        <w:rPr>
          <w:rFonts w:ascii="Arial" w:eastAsia="Arial" w:hAnsi="Arial" w:cs="Arial"/>
          <w:color w:val="000000"/>
          <w:sz w:val="20"/>
        </w:rPr>
        <w:t xml:space="preserve">, 274 F.3d 295, 301 (5th Cir. 2001) (noting that </w:t>
      </w:r>
      <w:bookmarkStart w:id="6749" w:name="Bookmark_LNHNREFclscc9_20"/>
      <w:bookmarkEnd w:id="6749"/>
      <w:r>
        <w:rPr>
          <w:rFonts w:ascii="Arial" w:eastAsia="Arial" w:hAnsi="Arial" w:cs="Arial"/>
          <w:color w:val="000000"/>
          <w:sz w:val="20"/>
        </w:rPr>
        <w:t>"once it becomes objectively obvious that the employer has no real intention of stopping the harassment, the harassed employee is not obliged to go through the wasted motion of reporting the harassment"). Thus, Patton unreasonably failed to take advantage of the corrective opportunities provided by Talascend and Jacobs. The district court did not err in granting summary judgment against Patton on his hostile work environment claim.</w:t>
      </w:r>
    </w:p>
    <w:p w:rsidR="00E456CD" w:rsidRDefault="00000000">
      <w:pPr>
        <w:pStyle w:val="Normal43"/>
        <w:widowControl w:val="0"/>
        <w:spacing w:before="240" w:line="260" w:lineRule="atLeast"/>
      </w:pPr>
      <w:r>
        <w:br/>
      </w:r>
      <w:r>
        <w:rPr>
          <w:rFonts w:ascii="Arial" w:eastAsia="Arial" w:hAnsi="Arial" w:cs="Arial"/>
          <w:b/>
          <w:color w:val="000000"/>
          <w:sz w:val="20"/>
        </w:rPr>
        <w:t>III. CONCLUSION</w:t>
      </w:r>
    </w:p>
    <w:p w:rsidR="00E456CD" w:rsidRDefault="00000000">
      <w:pPr>
        <w:pStyle w:val="Normal43"/>
        <w:widowControl w:val="0"/>
        <w:spacing w:before="200" w:line="260" w:lineRule="atLeast"/>
        <w:jc w:val="both"/>
      </w:pPr>
      <w:bookmarkStart w:id="6750" w:name="Bookmark_para_33_19"/>
      <w:bookmarkEnd w:id="6750"/>
      <w:r>
        <w:rPr>
          <w:rFonts w:ascii="Arial" w:eastAsia="Arial" w:hAnsi="Arial" w:cs="Arial"/>
          <w:color w:val="000000"/>
          <w:sz w:val="20"/>
        </w:rPr>
        <w:t>For the foregoing reasons, the district court's grant of summary judgment against Patton is AFFIRMED.</w:t>
      </w:r>
    </w:p>
    <w:p w:rsidR="00E456CD" w:rsidRDefault="00E456CD">
      <w:pPr>
        <w:pStyle w:val="Normal43"/>
      </w:pPr>
    </w:p>
    <w:p w:rsidR="00E456CD" w:rsidRDefault="00000000">
      <w:pPr>
        <w:pStyle w:val="Normal43"/>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5142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542497744"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E4FC4" id="Line 94"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4"/>
        <w:sectPr w:rsidR="00E456CD">
          <w:headerReference w:type="even" r:id="rId271"/>
          <w:headerReference w:type="default" r:id="rId272"/>
          <w:footerReference w:type="even" r:id="rId273"/>
          <w:footerReference w:type="default" r:id="rId274"/>
          <w:headerReference w:type="first" r:id="rId275"/>
          <w:footerReference w:type="first" r:id="rId276"/>
          <w:pgSz w:w="12240" w:h="15840"/>
          <w:pgMar w:top="840" w:right="1000" w:bottom="840" w:left="1000" w:header="400" w:footer="400" w:gutter="0"/>
          <w:cols w:space="720"/>
          <w:titlePg/>
        </w:sectPr>
      </w:pPr>
    </w:p>
    <w:p w:rsidR="00E456CD" w:rsidRDefault="00E456CD">
      <w:pPr>
        <w:pStyle w:val="Normal44"/>
      </w:pPr>
    </w:p>
    <w:p w:rsidR="00E456CD" w:rsidRDefault="00000000">
      <w:pPr>
        <w:pStyle w:val="Heading143"/>
        <w:keepNext w:val="0"/>
        <w:widowControl w:val="0"/>
        <w:spacing w:after="200" w:line="340" w:lineRule="atLeast"/>
        <w:jc w:val="center"/>
      </w:pPr>
      <w:r>
        <w:rPr>
          <w:rFonts w:eastAsia="Arial"/>
          <w:color w:val="000000"/>
          <w:sz w:val="28"/>
        </w:rPr>
        <w:t>Karczewski v. DCH Mission Valley LLC</w:t>
      </w:r>
    </w:p>
    <w:p w:rsidR="00E456CD" w:rsidRDefault="00000000">
      <w:pPr>
        <w:pStyle w:val="Normal44"/>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44"/>
        <w:widowControl w:val="0"/>
        <w:spacing w:before="120" w:line="260" w:lineRule="atLeast"/>
        <w:jc w:val="center"/>
      </w:pPr>
      <w:r>
        <w:rPr>
          <w:rFonts w:ascii="Arial" w:eastAsia="Arial" w:hAnsi="Arial" w:cs="Arial"/>
          <w:color w:val="000000"/>
          <w:sz w:val="20"/>
        </w:rPr>
        <w:t>February 9, 2017, Argued and Submitted, Pasadena, California; July 10, 2017, Filed</w:t>
      </w:r>
    </w:p>
    <w:p w:rsidR="00E456CD" w:rsidRDefault="00000000">
      <w:pPr>
        <w:pStyle w:val="Normal44"/>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15-55633</w:t>
      </w:r>
    </w:p>
    <w:p w:rsidR="00E456CD" w:rsidRDefault="00E456CD">
      <w:pPr>
        <w:pStyle w:val="Normal44"/>
        <w:widowControl w:val="0"/>
        <w:spacing w:line="240" w:lineRule="atLeast"/>
        <w:jc w:val="both"/>
      </w:pPr>
      <w:bookmarkStart w:id="6751" w:name="Bookmark_45"/>
      <w:bookmarkEnd w:id="6751"/>
    </w:p>
    <w:p w:rsidR="00E456CD" w:rsidRDefault="00000000">
      <w:pPr>
        <w:pStyle w:val="Normal44"/>
        <w:widowControl w:val="0"/>
        <w:spacing w:before="200" w:line="240" w:lineRule="atLeast"/>
      </w:pPr>
      <w:bookmarkStart w:id="6752" w:name="Reporter_43"/>
      <w:bookmarkEnd w:id="6752"/>
      <w:r>
        <w:rPr>
          <w:rFonts w:ascii="Arial" w:eastAsia="Arial" w:hAnsi="Arial" w:cs="Arial"/>
          <w:b/>
          <w:color w:val="000000"/>
          <w:sz w:val="18"/>
        </w:rPr>
        <w:t>Reporter</w:t>
      </w:r>
    </w:p>
    <w:p w:rsidR="00E456CD" w:rsidRDefault="00000000">
      <w:pPr>
        <w:pStyle w:val="Normal44"/>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862 F.3d 1006 *; 2017 U.S. App. LEXIS 12264 **; 2017 WL 2925437</w:t>
      </w:r>
    </w:p>
    <w:p w:rsidR="00E456CD" w:rsidRDefault="00000000">
      <w:pPr>
        <w:pStyle w:val="Normal44"/>
        <w:widowControl w:val="0"/>
        <w:spacing w:before="120" w:line="260" w:lineRule="atLeast"/>
      </w:pPr>
      <w:r>
        <w:rPr>
          <w:rFonts w:ascii="Arial" w:eastAsia="Arial" w:hAnsi="Arial" w:cs="Arial"/>
          <w:color w:val="000000"/>
          <w:sz w:val="20"/>
        </w:rPr>
        <w:t>JOHN KARCZEWSKI, Plaintiff-Appellant, v. DCH MISSION VALLEY LLC, a California Limited Liability Company, Defendant-Appellee.</w:t>
      </w:r>
    </w:p>
    <w:p w:rsidR="00E456CD" w:rsidRDefault="00000000">
      <w:pPr>
        <w:pStyle w:val="Normal44"/>
        <w:widowControl w:val="0"/>
        <w:spacing w:before="240" w:line="260" w:lineRule="atLeast"/>
        <w:jc w:val="both"/>
      </w:pPr>
      <w:bookmarkStart w:id="6753" w:name="Subsequent_History_18"/>
      <w:bookmarkEnd w:id="6753"/>
      <w:r>
        <w:rPr>
          <w:rFonts w:ascii="Arial" w:eastAsia="Arial" w:hAnsi="Arial" w:cs="Arial"/>
          <w:b/>
          <w:color w:val="000000"/>
          <w:sz w:val="20"/>
        </w:rPr>
        <w:t>Subsequent History:</w:t>
      </w:r>
      <w:r>
        <w:rPr>
          <w:rFonts w:ascii="Arial" w:eastAsia="Arial" w:hAnsi="Arial" w:cs="Arial"/>
          <w:color w:val="000000"/>
          <w:sz w:val="20"/>
        </w:rPr>
        <w:t> </w:t>
      </w:r>
      <w:bookmarkStart w:id="6754" w:name="Bookmark_para_1_43"/>
      <w:bookmarkEnd w:id="6754"/>
      <w:r>
        <w:rPr>
          <w:rFonts w:ascii="Arial" w:eastAsia="Arial" w:hAnsi="Arial" w:cs="Arial"/>
          <w:color w:val="000000"/>
          <w:sz w:val="20"/>
        </w:rPr>
        <w:t>As Corrected September 19, 2017.</w:t>
      </w:r>
    </w:p>
    <w:p w:rsidR="00E456CD" w:rsidRDefault="00000000">
      <w:pPr>
        <w:pStyle w:val="Normal44"/>
        <w:widowControl w:val="0"/>
        <w:spacing w:before="240" w:line="260" w:lineRule="atLeast"/>
        <w:jc w:val="both"/>
      </w:pPr>
      <w:bookmarkStart w:id="6755" w:name="Prior_History_43"/>
      <w:bookmarkEnd w:id="6755"/>
      <w:r>
        <w:rPr>
          <w:rFonts w:ascii="Arial" w:eastAsia="Arial" w:hAnsi="Arial" w:cs="Arial"/>
          <w:b/>
          <w:color w:val="000000"/>
          <w:sz w:val="20"/>
        </w:rPr>
        <w:t>Prior History:</w:t>
      </w:r>
      <w:r>
        <w:rPr>
          <w:rFonts w:ascii="Arial" w:eastAsia="Arial" w:hAnsi="Arial" w:cs="Arial"/>
          <w:color w:val="000000"/>
          <w:sz w:val="20"/>
        </w:rPr>
        <w:t> </w:t>
      </w:r>
      <w:bookmarkStart w:id="6756" w:name="Bookmark_para_2_43"/>
      <w:bookmarkEnd w:id="6756"/>
      <w:r>
        <w:rPr>
          <w:rFonts w:ascii="Arial" w:eastAsia="Arial" w:hAnsi="Arial" w:cs="Arial"/>
          <w:color w:val="000000"/>
          <w:sz w:val="20"/>
        </w:rPr>
        <w:t> [**1] Appeal from the United States District Court for the Southern District of California. D.C. No. 3:14-cv-02639-BAS-BLM. Cynthia A. Bashant, District Judge, Presiding.</w:t>
      </w:r>
    </w:p>
    <w:p w:rsidR="00E456CD" w:rsidRDefault="00000000">
      <w:pPr>
        <w:pStyle w:val="Normal44"/>
        <w:widowControl w:val="0"/>
        <w:spacing w:before="240" w:line="260" w:lineRule="atLeast"/>
        <w:jc w:val="both"/>
      </w:pPr>
      <w:bookmarkStart w:id="6757" w:name="Disposition_11"/>
      <w:bookmarkEnd w:id="6757"/>
      <w:r>
        <w:rPr>
          <w:rFonts w:ascii="Arial" w:eastAsia="Arial" w:hAnsi="Arial" w:cs="Arial"/>
          <w:b/>
          <w:color w:val="000000"/>
          <w:sz w:val="20"/>
        </w:rPr>
        <w:t>Disposition:</w:t>
      </w:r>
      <w:r>
        <w:rPr>
          <w:rFonts w:ascii="Arial" w:eastAsia="Arial" w:hAnsi="Arial" w:cs="Arial"/>
          <w:color w:val="000000"/>
          <w:sz w:val="20"/>
        </w:rPr>
        <w:t> </w:t>
      </w:r>
      <w:bookmarkStart w:id="6758" w:name="Bookmark_clspara_4_9"/>
      <w:bookmarkEnd w:id="6758"/>
      <w:r>
        <w:rPr>
          <w:rFonts w:ascii="Arial" w:eastAsia="Arial" w:hAnsi="Arial" w:cs="Arial"/>
          <w:color w:val="000000"/>
          <w:sz w:val="20"/>
        </w:rPr>
        <w:t>REVERSED and REMANDED.</w:t>
      </w:r>
    </w:p>
    <w:p w:rsidR="00E456CD" w:rsidRDefault="00000000">
      <w:pPr>
        <w:pStyle w:val="Normal44"/>
        <w:widowControl w:val="0"/>
        <w:spacing w:before="240" w:line="260" w:lineRule="atLeast"/>
      </w:pPr>
      <w:bookmarkStart w:id="6759" w:name="Summary_2"/>
      <w:bookmarkEnd w:id="6759"/>
      <w:r>
        <w:rPr>
          <w:rFonts w:ascii="Arial" w:eastAsia="Arial" w:hAnsi="Arial" w:cs="Arial"/>
          <w:b/>
          <w:color w:val="000000"/>
          <w:sz w:val="20"/>
        </w:rPr>
        <w:t>Summary:</w:t>
      </w:r>
    </w:p>
    <w:p w:rsidR="00E456CD" w:rsidRDefault="00000000">
      <w:pPr>
        <w:pStyle w:val="Normal44"/>
        <w:widowControl w:val="0"/>
        <w:spacing w:before="240" w:line="260" w:lineRule="atLeast"/>
        <w:jc w:val="both"/>
      </w:pPr>
      <w:bookmarkStart w:id="6760" w:name="Bookmark_clspara_5_2"/>
      <w:bookmarkEnd w:id="6760"/>
      <w:r>
        <w:rPr>
          <w:rFonts w:ascii="Arial" w:eastAsia="Arial" w:hAnsi="Arial" w:cs="Arial"/>
          <w:color w:val="000000"/>
          <w:sz w:val="20"/>
        </w:rPr>
        <w:t>SUMMARY</w:t>
      </w:r>
      <w:r>
        <w:rPr>
          <w:rFonts w:ascii="Arial" w:eastAsia="Arial" w:hAnsi="Arial" w:cs="Arial"/>
          <w:vertAlign w:val="superscript"/>
        </w:rPr>
        <w:footnoteReference w:customMarkFollows="1" w:id="284"/>
        <w:t>*</w:t>
      </w:r>
    </w:p>
    <w:p w:rsidR="00E456CD" w:rsidRDefault="00000000">
      <w:pPr>
        <w:pStyle w:val="Normal44"/>
        <w:widowControl w:val="0"/>
        <w:spacing w:before="240" w:line="260" w:lineRule="atLeast"/>
        <w:jc w:val="both"/>
      </w:pPr>
      <w:bookmarkStart w:id="6762" w:name="Bookmark_clspara_6_2"/>
      <w:bookmarkEnd w:id="6762"/>
      <w:r>
        <w:rPr>
          <w:rFonts w:ascii="Arial" w:eastAsia="Arial" w:hAnsi="Arial" w:cs="Arial"/>
          <w:b/>
          <w:color w:val="000000"/>
          <w:sz w:val="20"/>
        </w:rPr>
        <w:t>Americans with Disabilities Act</w:t>
      </w:r>
    </w:p>
    <w:p w:rsidR="00E456CD" w:rsidRDefault="00000000">
      <w:pPr>
        <w:pStyle w:val="Normal44"/>
        <w:widowControl w:val="0"/>
        <w:spacing w:before="240" w:line="260" w:lineRule="atLeast"/>
        <w:jc w:val="both"/>
      </w:pPr>
      <w:bookmarkStart w:id="6763" w:name="Bookmark_clspara_7_2"/>
      <w:bookmarkEnd w:id="6763"/>
      <w:r>
        <w:rPr>
          <w:rFonts w:ascii="Arial" w:eastAsia="Arial" w:hAnsi="Arial" w:cs="Arial"/>
          <w:color w:val="000000"/>
          <w:sz w:val="20"/>
        </w:rPr>
        <w:t>The panel reversed the district court's dismissal of a claim that the defendant automobile dealership violated Title III of the Americans with Disabilities Act by refusing to install temporary vehicle hand controls for test-drives of a car offered for sale.</w:t>
      </w:r>
    </w:p>
    <w:p w:rsidR="00E456CD" w:rsidRDefault="00000000">
      <w:pPr>
        <w:pStyle w:val="Normal44"/>
        <w:widowControl w:val="0"/>
        <w:spacing w:before="240" w:line="260" w:lineRule="atLeast"/>
        <w:jc w:val="both"/>
      </w:pPr>
      <w:bookmarkStart w:id="6764" w:name="Bookmark_clspara_8_1"/>
      <w:bookmarkEnd w:id="6764"/>
      <w:r>
        <w:rPr>
          <w:rFonts w:ascii="Arial" w:eastAsia="Arial" w:hAnsi="Arial" w:cs="Arial"/>
          <w:color w:val="000000"/>
          <w:sz w:val="20"/>
        </w:rPr>
        <w:t>The panel held that the plaintiff stated a claim under 42 U.S.C. § 12182(b)(2)(A)(ii), which requires a public accommodation to "make reasonable modifications in policies, practices, or procedures, when such modifications are necessary to afford . . . goods, services, facilities, privileges, advantages, or accommodations to individuals with disabilities."</w:t>
      </w:r>
    </w:p>
    <w:p w:rsidR="00E456CD" w:rsidRDefault="00000000">
      <w:pPr>
        <w:pStyle w:val="Normal44"/>
        <w:widowControl w:val="0"/>
        <w:spacing w:before="240" w:line="260" w:lineRule="atLeast"/>
        <w:jc w:val="both"/>
      </w:pPr>
      <w:bookmarkStart w:id="6765" w:name="Bookmark_clspara_9_1"/>
      <w:bookmarkEnd w:id="6765"/>
      <w:r>
        <w:rPr>
          <w:rFonts w:ascii="Arial" w:eastAsia="Arial" w:hAnsi="Arial" w:cs="Arial"/>
          <w:color w:val="000000"/>
          <w:sz w:val="20"/>
        </w:rPr>
        <w:t>The panel held that the plaintiff did not state a claim under § 12182(b)(2)(A)(iv), which requires the removal of architectural barriers in existing facilities, because the "barrier" that the plaintiff encountered could not reasonably be described as an architectural barrier in an existing facility. The barrier was the lack of hand controls in the defendant's cars, and the cars that the defendant offered for sale [**2]  were goods, not facilities.</w:t>
      </w:r>
    </w:p>
    <w:p w:rsidR="00E456CD" w:rsidRDefault="00000000">
      <w:pPr>
        <w:pStyle w:val="Normal44"/>
        <w:widowControl w:val="0"/>
        <w:spacing w:before="240" w:line="260" w:lineRule="atLeast"/>
        <w:jc w:val="both"/>
      </w:pPr>
      <w:bookmarkStart w:id="6766" w:name="Bookmark_clspara_10_1"/>
      <w:bookmarkEnd w:id="6766"/>
      <w:r>
        <w:rPr>
          <w:rFonts w:ascii="Arial" w:eastAsia="Arial" w:hAnsi="Arial" w:cs="Arial"/>
          <w:color w:val="000000"/>
          <w:sz w:val="20"/>
        </w:rPr>
        <w:t>The panel held that two implementing regulations, 28 C.F.R. §§ 36.307(a) and 36.306, did not preclude the plaintiff's statutory claim.</w:t>
      </w:r>
    </w:p>
    <w:p w:rsidR="00E456CD" w:rsidRDefault="00000000">
      <w:pPr>
        <w:pStyle w:val="Normal44"/>
        <w:widowControl w:val="0"/>
        <w:spacing w:before="240" w:line="260" w:lineRule="atLeast"/>
        <w:jc w:val="both"/>
      </w:pPr>
      <w:bookmarkStart w:id="6767" w:name="Bookmark_clspara_11"/>
      <w:bookmarkEnd w:id="6767"/>
      <w:r>
        <w:rPr>
          <w:rFonts w:ascii="Arial" w:eastAsia="Arial" w:hAnsi="Arial" w:cs="Arial"/>
          <w:color w:val="000000"/>
          <w:sz w:val="20"/>
        </w:rPr>
        <w:t xml:space="preserve">Acquiescing </w:t>
      </w:r>
      <w:r>
        <w:rPr>
          <w:rFonts w:ascii="Arial" w:eastAsia="Arial" w:hAnsi="Arial" w:cs="Arial"/>
          <w:i/>
          <w:color w:val="000000"/>
          <w:sz w:val="20"/>
        </w:rPr>
        <w:t>dubitante</w:t>
      </w:r>
      <w:r>
        <w:rPr>
          <w:rFonts w:ascii="Arial" w:eastAsia="Arial" w:hAnsi="Arial" w:cs="Arial"/>
          <w:color w:val="000000"/>
          <w:sz w:val="20"/>
        </w:rPr>
        <w:t>, Judge Bybee wrote that he would hold that 28 C.F.R. § 36.304(b)(21), enforcing the architectural barriers provision of the ADA and requiring the installation of vehicle hand controls, is not a permissible construction of the statute. Judge Bybee objected to the majority's analysis of § 12182(b)(2)(A)(ii) because it enabled anything to be construed as a policy and because the Department of Justice's regulations and manuals had taken a more modest approach to the terms "policies, practices, and procedures."</w:t>
      </w:r>
    </w:p>
    <w:p w:rsidR="00E456CD" w:rsidRDefault="00000000">
      <w:pPr>
        <w:pStyle w:val="Normal44"/>
        <w:widowControl w:val="0"/>
        <w:spacing w:before="240" w:line="260" w:lineRule="atLeast"/>
      </w:pPr>
      <w:bookmarkStart w:id="6768" w:name="Counsel_43"/>
      <w:bookmarkEnd w:id="6768"/>
      <w:r>
        <w:rPr>
          <w:rFonts w:ascii="Arial" w:eastAsia="Arial" w:hAnsi="Arial" w:cs="Arial"/>
          <w:b/>
          <w:color w:val="000000"/>
          <w:sz w:val="20"/>
        </w:rPr>
        <w:t>Counsel:</w:t>
      </w:r>
      <w:r>
        <w:rPr>
          <w:rFonts w:ascii="Arial" w:eastAsia="Arial" w:hAnsi="Arial" w:cs="Arial"/>
          <w:color w:val="000000"/>
          <w:sz w:val="20"/>
        </w:rPr>
        <w:t> Russell Clive Handy (argued), Center for Disability Access, San Diego, California, for Plaintiff-Appellant.</w:t>
      </w:r>
    </w:p>
    <w:p w:rsidR="00E456CD" w:rsidRDefault="00000000">
      <w:pPr>
        <w:pStyle w:val="Normal44"/>
        <w:widowControl w:val="0"/>
        <w:spacing w:before="120" w:line="260" w:lineRule="atLeast"/>
      </w:pPr>
      <w:r>
        <w:rPr>
          <w:rFonts w:ascii="Arial" w:eastAsia="Arial" w:hAnsi="Arial" w:cs="Arial"/>
          <w:color w:val="000000"/>
          <w:sz w:val="20"/>
        </w:rPr>
        <w:t>Lann G. McIntyre (argued), Jonna D. Lothyan, Ryan P. Garchie, and Jeffry A. Miller, Lewis Brisbois Bisgaard &amp; Smith LLP, San Diego, California, for Defendant-Appellee.</w:t>
      </w:r>
    </w:p>
    <w:p w:rsidR="00E456CD" w:rsidRDefault="00000000">
      <w:pPr>
        <w:pStyle w:val="Normal44"/>
        <w:widowControl w:val="0"/>
        <w:spacing w:before="120" w:line="260" w:lineRule="atLeast"/>
      </w:pPr>
      <w:r>
        <w:rPr>
          <w:rFonts w:ascii="Arial" w:eastAsia="Arial" w:hAnsi="Arial" w:cs="Arial"/>
          <w:color w:val="000000"/>
          <w:sz w:val="20"/>
        </w:rPr>
        <w:t>Felicia Ruth Reid (argued), Hirschfeld Kraemer LLP, San Francisco, California, for Amici Curiae National Automobile Dealers Association, California New Car Dealers Association, and National Mobility Equipment Dealers Association.</w:t>
      </w:r>
    </w:p>
    <w:p w:rsidR="00E456CD" w:rsidRDefault="00000000">
      <w:pPr>
        <w:pStyle w:val="Normal44"/>
        <w:widowControl w:val="0"/>
        <w:spacing w:before="120" w:line="260" w:lineRule="atLeast"/>
      </w:pPr>
      <w:r>
        <w:rPr>
          <w:rFonts w:ascii="Arial" w:eastAsia="Arial" w:hAnsi="Arial" w:cs="Arial"/>
          <w:color w:val="000000"/>
          <w:sz w:val="20"/>
        </w:rPr>
        <w:t>Christopher C. Wang and Sharon M. McGowan, Attorneys; Vanita Gupta, Principal [**3]  Deputy Assistant Attorney General; Appellate Section, Civil Rights Division, United States Department of Justice, Washington, D.C.; for Amicus Curiae United States.</w:t>
      </w:r>
    </w:p>
    <w:p w:rsidR="00E456CD" w:rsidRDefault="00000000">
      <w:pPr>
        <w:pStyle w:val="Normal44"/>
        <w:widowControl w:val="0"/>
        <w:spacing w:before="240" w:line="260" w:lineRule="atLeast"/>
      </w:pPr>
      <w:bookmarkStart w:id="6769" w:name="Judges_43"/>
      <w:bookmarkEnd w:id="6769"/>
      <w:r>
        <w:rPr>
          <w:rFonts w:ascii="Arial" w:eastAsia="Arial" w:hAnsi="Arial" w:cs="Arial"/>
          <w:b/>
          <w:color w:val="000000"/>
          <w:sz w:val="20"/>
        </w:rPr>
        <w:t>Judges:</w:t>
      </w:r>
      <w:r>
        <w:rPr>
          <w:rFonts w:ascii="Arial" w:eastAsia="Arial" w:hAnsi="Arial" w:cs="Arial"/>
          <w:color w:val="000000"/>
          <w:sz w:val="20"/>
        </w:rPr>
        <w:t> Before: Susan P. Graber, Jay S. Bybee, and Morgan Christen, Circuit Judges. Opinion by Judge Graber; Concurrence by Judge Bybee, dubitante.</w:t>
      </w:r>
    </w:p>
    <w:p w:rsidR="00E456CD" w:rsidRDefault="00000000">
      <w:pPr>
        <w:pStyle w:val="Normal44"/>
        <w:widowControl w:val="0"/>
        <w:spacing w:before="240" w:line="260" w:lineRule="atLeast"/>
      </w:pPr>
      <w:bookmarkStart w:id="6770" w:name="Opinion_by_27"/>
      <w:bookmarkEnd w:id="6770"/>
      <w:r>
        <w:rPr>
          <w:rFonts w:ascii="Arial" w:eastAsia="Arial" w:hAnsi="Arial" w:cs="Arial"/>
          <w:b/>
          <w:color w:val="000000"/>
          <w:sz w:val="20"/>
        </w:rPr>
        <w:t>Opinion by:</w:t>
      </w:r>
      <w:r>
        <w:rPr>
          <w:rFonts w:ascii="Arial" w:eastAsia="Arial" w:hAnsi="Arial" w:cs="Arial"/>
          <w:color w:val="000000"/>
          <w:sz w:val="20"/>
        </w:rPr>
        <w:t> Susan P. Graber</w:t>
      </w:r>
    </w:p>
    <w:p w:rsidR="00E456CD" w:rsidRDefault="00000000">
      <w:pPr>
        <w:pStyle w:val="Normal44"/>
        <w:keepNext/>
        <w:widowControl w:val="0"/>
        <w:spacing w:before="240" w:line="340" w:lineRule="atLeast"/>
      </w:pPr>
      <w:bookmarkStart w:id="6771" w:name="Opinion_43"/>
      <w:bookmarkEnd w:id="6771"/>
      <w:r>
        <w:rPr>
          <w:rFonts w:ascii="Arial" w:eastAsia="Arial" w:hAnsi="Arial" w:cs="Arial"/>
          <w:b/>
          <w:color w:val="000000"/>
          <w:sz w:val="28"/>
        </w:rPr>
        <w:t>Opinion</w:t>
      </w:r>
    </w:p>
    <w:p w:rsidR="00E456CD" w:rsidRDefault="00E22289">
      <w:pPr>
        <w:pStyle w:val="Normal44"/>
        <w:spacing w:line="60" w:lineRule="exact"/>
      </w:pPr>
      <w:r>
        <w:rPr>
          <w:noProof/>
        </w:rPr>
        <mc:AlternateContent>
          <mc:Choice Requires="wps">
            <w:drawing>
              <wp:anchor distT="0" distB="0" distL="114300" distR="114300" simplePos="0" relativeHeight="25175244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855273600"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24F9C" id="Line 95"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4"/>
      </w:pPr>
    </w:p>
    <w:p w:rsidR="00E456CD" w:rsidRDefault="00000000">
      <w:pPr>
        <w:pStyle w:val="Normal44"/>
        <w:widowControl w:val="0"/>
        <w:spacing w:before="200" w:line="260" w:lineRule="atLeast"/>
        <w:jc w:val="both"/>
      </w:pPr>
      <w:bookmarkStart w:id="6772" w:name="Bookmark_para_3_43"/>
      <w:bookmarkEnd w:id="6772"/>
      <w:r>
        <w:rPr>
          <w:rFonts w:ascii="Arial" w:eastAsia="Arial" w:hAnsi="Arial" w:cs="Arial"/>
          <w:color w:val="000000"/>
          <w:sz w:val="20"/>
        </w:rPr>
        <w:t> [*1008]  GRABER, Circuit Judge:</w:t>
      </w:r>
    </w:p>
    <w:p w:rsidR="00E456CD" w:rsidRDefault="00000000">
      <w:pPr>
        <w:pStyle w:val="Normal44"/>
        <w:widowControl w:val="0"/>
        <w:spacing w:before="200" w:line="260" w:lineRule="atLeast"/>
        <w:jc w:val="both"/>
      </w:pPr>
      <w:bookmarkStart w:id="6773" w:name="Bookmark_para_4_43"/>
      <w:bookmarkEnd w:id="6773"/>
      <w:r>
        <w:rPr>
          <w:rFonts w:ascii="Arial" w:eastAsia="Arial" w:hAnsi="Arial" w:cs="Arial"/>
          <w:color w:val="000000"/>
          <w:sz w:val="20"/>
        </w:rPr>
        <w:t>Plaintiff John Karczewski, who is paralyzed from the waist down, sought to test-drive one of the cars offered for sale by Defendant DCH Mission Valley LLC. He requested that Defendant temporarily install hand controls so that he could test-drive the car, but Defendant declined. Plaintiff then brought this action, alleging that Defendant's refusal to install temporary vehicle hand controls violated the Americans with Disabilities Act ("ADA"). The district court granted Defendant's motion to dismiss, Fed. R. Civ. P. 12(b)(6), holding that, as a matter of law, a plaintiff may not bring a claim under the ADA requiring a public accommodation to install vehicle hand controls for test-drives, no matter the circumstances.</w:t>
      </w:r>
    </w:p>
    <w:p w:rsidR="00E456CD" w:rsidRDefault="00000000">
      <w:pPr>
        <w:pStyle w:val="Normal44"/>
        <w:widowControl w:val="0"/>
        <w:spacing w:before="200" w:line="260" w:lineRule="atLeast"/>
        <w:jc w:val="both"/>
      </w:pPr>
      <w:bookmarkStart w:id="6774" w:name="Bookmark_para_5_43"/>
      <w:bookmarkStart w:id="6775" w:name="Bookmark_I5P5KKKC2N1RNY0020000400"/>
      <w:bookmarkStart w:id="6776" w:name="Bookmark_I5P5KKKC2N1RNY0040000400"/>
      <w:bookmarkEnd w:id="6774"/>
      <w:bookmarkEnd w:id="6775"/>
      <w:bookmarkEnd w:id="6776"/>
      <w:r>
        <w:rPr>
          <w:rFonts w:ascii="Arial" w:eastAsia="Arial" w:hAnsi="Arial" w:cs="Arial"/>
          <w:color w:val="000000"/>
          <w:sz w:val="20"/>
        </w:rPr>
        <w:t xml:space="preserve">Reviewing de novo, </w:t>
      </w:r>
      <w:bookmarkStart w:id="6777" w:name="Bookmark_I5P5KKKC2N1RNY0010000400"/>
      <w:bookmarkEnd w:id="6777"/>
      <w:r>
        <w:rPr>
          <w:rFonts w:ascii="Arial" w:eastAsia="Arial" w:hAnsi="Arial" w:cs="Arial"/>
          <w:i/>
          <w:color w:val="000000"/>
          <w:sz w:val="20"/>
        </w:rPr>
        <w:t>Brown v. Elec. Arts, Inc.</w:t>
      </w:r>
      <w:r>
        <w:rPr>
          <w:rFonts w:ascii="Arial" w:eastAsia="Arial" w:hAnsi="Arial" w:cs="Arial"/>
          <w:color w:val="000000"/>
          <w:sz w:val="20"/>
        </w:rPr>
        <w:t xml:space="preserve">, 724 F.3d 1235, 1240 (9th Cir. 2013), and resolving a split among district courts in our circuit, we reverse and remand. Accepting the allegations in the complaint as true, as we [**4]  must, </w:t>
      </w:r>
      <w:bookmarkStart w:id="6778" w:name="Bookmark_I5P5KKKC2N1RNY0030000400"/>
      <w:bookmarkEnd w:id="6778"/>
      <w:r>
        <w:rPr>
          <w:rFonts w:ascii="Arial" w:eastAsia="Arial" w:hAnsi="Arial" w:cs="Arial"/>
          <w:i/>
          <w:color w:val="000000"/>
          <w:sz w:val="20"/>
        </w:rPr>
        <w:t>id.</w:t>
      </w:r>
      <w:r>
        <w:rPr>
          <w:rFonts w:ascii="Arial" w:eastAsia="Arial" w:hAnsi="Arial" w:cs="Arial"/>
          <w:color w:val="000000"/>
          <w:sz w:val="20"/>
        </w:rPr>
        <w:t xml:space="preserve"> at 1247, Plaintiff has stated a claim under </w:t>
      </w:r>
      <w:bookmarkStart w:id="6779" w:name="Bookmark_LNHNREFclscc1_35"/>
      <w:bookmarkEnd w:id="6779"/>
      <w:r>
        <w:rPr>
          <w:rFonts w:ascii="Arial" w:eastAsia="Arial" w:hAnsi="Arial" w:cs="Arial"/>
          <w:color w:val="000000"/>
          <w:sz w:val="20"/>
        </w:rPr>
        <w:t>42 U.S.C. § 12182(b)(2)(A)(ii), which requires a public accommodation to "make reasonable modifications in policies, practices, or procedures, when such modifications are necessary to afford such goods, services, facilities, privileges, advantages, or accommodations to individuals with disabilities."</w:t>
      </w:r>
    </w:p>
    <w:p w:rsidR="00E456CD" w:rsidRDefault="00000000">
      <w:pPr>
        <w:pStyle w:val="Normal44"/>
        <w:widowControl w:val="0"/>
        <w:spacing w:before="120" w:line="260" w:lineRule="atLeast"/>
      </w:pPr>
      <w:r>
        <w:rPr>
          <w:rFonts w:ascii="Arial" w:eastAsia="Arial" w:hAnsi="Arial" w:cs="Arial"/>
          <w:color w:val="000000"/>
          <w:sz w:val="20"/>
        </w:rPr>
        <w:t>FACTUAL AND PROCEDURAL HISTORY</w:t>
      </w:r>
    </w:p>
    <w:p w:rsidR="00E456CD" w:rsidRDefault="00000000">
      <w:pPr>
        <w:pStyle w:val="Normal44"/>
        <w:widowControl w:val="0"/>
        <w:spacing w:before="200" w:line="260" w:lineRule="atLeast"/>
        <w:jc w:val="both"/>
      </w:pPr>
      <w:bookmarkStart w:id="6780" w:name="Bookmark_para_6_43"/>
      <w:bookmarkEnd w:id="6780"/>
      <w:r>
        <w:rPr>
          <w:rFonts w:ascii="Arial" w:eastAsia="Arial" w:hAnsi="Arial" w:cs="Arial"/>
          <w:color w:val="000000"/>
          <w:sz w:val="20"/>
        </w:rPr>
        <w:t>Plaintiff "is a level T10/11 paraplegic who is paralyzed from the waist down, cannot walk, and . . . uses a wheelchair for mobility." "He drives a specially equipped vehicle with hand controls," and he "has a disabled persons placard . . . [and] a driver's license." Defendant is "a facility open to the public . . . and a business establishment" that sells cars. Defendant permits potential buyers "the opportunity to test drive vehicles that they are considering buying."</w:t>
      </w:r>
    </w:p>
    <w:p w:rsidR="00E456CD" w:rsidRDefault="00000000">
      <w:pPr>
        <w:pStyle w:val="Normal44"/>
        <w:widowControl w:val="0"/>
        <w:spacing w:before="200" w:line="260" w:lineRule="atLeast"/>
        <w:jc w:val="both"/>
      </w:pPr>
      <w:bookmarkStart w:id="6781" w:name="Bookmark_para_7_42"/>
      <w:bookmarkEnd w:id="6781"/>
      <w:r>
        <w:rPr>
          <w:rFonts w:ascii="Arial" w:eastAsia="Arial" w:hAnsi="Arial" w:cs="Arial"/>
          <w:color w:val="000000"/>
          <w:sz w:val="20"/>
        </w:rPr>
        <w:t>Plaintiff visited Defendant's business with the intention of buying a used car. He asked Defendant's employees "for the opportunity to test drive a vehicle and informed them that he could not use his legs and, therefore, needed to have vehicle hand controls temporarily installed on the vehicle so that he could avail himself of this opportunity." The employees told Plaintiff that Defendant [**5]  "does not install vehicle hand controls on any vehicles for sale and that they would not do so for him as an accommodation."</w:t>
      </w:r>
    </w:p>
    <w:p w:rsidR="00E456CD" w:rsidRDefault="00000000">
      <w:pPr>
        <w:pStyle w:val="Normal44"/>
        <w:widowControl w:val="0"/>
        <w:spacing w:before="200" w:line="260" w:lineRule="atLeast"/>
        <w:jc w:val="both"/>
      </w:pPr>
      <w:bookmarkStart w:id="6782" w:name="Bookmark_para_8_42"/>
      <w:bookmarkEnd w:id="6782"/>
      <w:r>
        <w:rPr>
          <w:rFonts w:ascii="Arial" w:eastAsia="Arial" w:hAnsi="Arial" w:cs="Arial"/>
          <w:color w:val="000000"/>
          <w:sz w:val="20"/>
        </w:rPr>
        <w:t>Plaintiff alleges that "[t]here are numerous companies that sell (and will install) vehicle hand controls that are universal in design, meaning that they can be used on any vehicle, and their installation does not render any safety features inoperable or cause any permanent modification or damage to the vehicle itself." "Such hand controls are inexpensive, are widely used within the car rental agency world for temporary installation and removal, and could be easily installed by [Defendant] without much difficulty or expense."</w:t>
      </w:r>
    </w:p>
    <w:p w:rsidR="00E456CD" w:rsidRDefault="00000000">
      <w:pPr>
        <w:pStyle w:val="Normal44"/>
        <w:widowControl w:val="0"/>
        <w:spacing w:before="200" w:line="260" w:lineRule="atLeast"/>
        <w:jc w:val="both"/>
      </w:pPr>
      <w:bookmarkStart w:id="6783" w:name="Bookmark_para_9_41"/>
      <w:bookmarkEnd w:id="6783"/>
      <w:r>
        <w:rPr>
          <w:rFonts w:ascii="Arial" w:eastAsia="Arial" w:hAnsi="Arial" w:cs="Arial"/>
          <w:color w:val="000000"/>
          <w:sz w:val="20"/>
        </w:rPr>
        <w:t>Following Defendant's refusal to facilitate a test-drive, Plaintiff brought this action, alleging that Defendant's failure to  [*1009]  install temporary vehicle hand controls violated the ADA.</w:t>
      </w:r>
      <w:r>
        <w:rPr>
          <w:rFonts w:ascii="Arial" w:eastAsia="Arial" w:hAnsi="Arial" w:cs="Arial"/>
          <w:vertAlign w:val="superscript"/>
        </w:rPr>
        <w:footnoteReference w:customMarkFollows="1" w:id="285"/>
        <w:t>1</w:t>
      </w:r>
      <w:r>
        <w:rPr>
          <w:rFonts w:ascii="Arial" w:eastAsia="Arial" w:hAnsi="Arial" w:cs="Arial"/>
          <w:color w:val="000000"/>
          <w:sz w:val="20"/>
        </w:rPr>
        <w:t xml:space="preserve"> In particular, Plaintiff alleges that Defendant discriminated by reason of:</w:t>
      </w:r>
    </w:p>
    <w:p w:rsidR="00E456CD" w:rsidRDefault="00000000">
      <w:pPr>
        <w:pStyle w:val="Normal44"/>
        <w:widowControl w:val="0"/>
        <w:spacing w:before="200" w:line="260" w:lineRule="atLeast"/>
        <w:ind w:left="400"/>
        <w:jc w:val="both"/>
      </w:pPr>
      <w:bookmarkStart w:id="6785" w:name="Bookmark_para_10_39"/>
      <w:bookmarkEnd w:id="6785"/>
      <w:r>
        <w:rPr>
          <w:rFonts w:ascii="Arial" w:eastAsia="Arial" w:hAnsi="Arial" w:cs="Arial"/>
          <w:color w:val="000000"/>
          <w:sz w:val="20"/>
        </w:rPr>
        <w:t>a. A failure to make reasonable modifications in policies, practices, or procedures, when such modifications are necessary to afford goods, services, facilities, privileges, advantages, or accommodations to individuals with disabilities, unless the accommodation would work a fundamental alteration [**6]  of those services and facilities. 42 U.S.C. § 12182(b)(2)(A)(ii).</w:t>
      </w:r>
    </w:p>
    <w:p w:rsidR="00E456CD" w:rsidRDefault="00000000">
      <w:pPr>
        <w:pStyle w:val="Normal44"/>
        <w:widowControl w:val="0"/>
        <w:spacing w:line="260" w:lineRule="atLeast"/>
        <w:ind w:left="400"/>
        <w:jc w:val="both"/>
      </w:pPr>
      <w:bookmarkStart w:id="6786" w:name="Bookmark_para_11_38"/>
      <w:bookmarkEnd w:id="6786"/>
      <w:r>
        <w:rPr>
          <w:rFonts w:ascii="Arial" w:eastAsia="Arial" w:hAnsi="Arial" w:cs="Arial"/>
          <w:color w:val="000000"/>
          <w:sz w:val="20"/>
        </w:rPr>
        <w:t>b. A failure to remove architectural barriers where such removal is readily achievable. 42 U.S.C. § 12182(b)(2)(A)(iv). . . .</w:t>
      </w:r>
    </w:p>
    <w:p w:rsidR="00E456CD" w:rsidRDefault="00000000">
      <w:pPr>
        <w:pStyle w:val="Normal44"/>
        <w:widowControl w:val="0"/>
        <w:spacing w:line="260" w:lineRule="atLeast"/>
        <w:ind w:left="400"/>
        <w:jc w:val="both"/>
      </w:pPr>
      <w:bookmarkStart w:id="6787" w:name="Bookmark_para_12_37"/>
      <w:bookmarkEnd w:id="6787"/>
      <w:r>
        <w:rPr>
          <w:rFonts w:ascii="Arial" w:eastAsia="Arial" w:hAnsi="Arial" w:cs="Arial"/>
          <w:color w:val="000000"/>
          <w:sz w:val="20"/>
        </w:rPr>
        <w:t>. . . .</w:t>
      </w:r>
    </w:p>
    <w:p w:rsidR="00E456CD" w:rsidRDefault="00000000">
      <w:pPr>
        <w:pStyle w:val="Normal44"/>
        <w:widowControl w:val="0"/>
        <w:spacing w:line="260" w:lineRule="atLeast"/>
        <w:ind w:left="400"/>
        <w:jc w:val="both"/>
      </w:pPr>
      <w:bookmarkStart w:id="6788" w:name="Bookmark_para_13_35"/>
      <w:bookmarkEnd w:id="6788"/>
      <w:r>
        <w:rPr>
          <w:rFonts w:ascii="Arial" w:eastAsia="Arial" w:hAnsi="Arial" w:cs="Arial"/>
          <w:color w:val="000000"/>
          <w:sz w:val="20"/>
        </w:rPr>
        <w:t>Among the barrier removal tasks that are readily achievable to accomplish is installing vehicle hand controls. 28 C.F.R. § 36.304(b)(21).</w:t>
      </w:r>
    </w:p>
    <w:p w:rsidR="00E456CD" w:rsidRDefault="00000000">
      <w:pPr>
        <w:pStyle w:val="Normal44"/>
        <w:widowControl w:val="0"/>
        <w:spacing w:line="260" w:lineRule="atLeast"/>
        <w:jc w:val="both"/>
      </w:pPr>
      <w:r>
        <w:rPr>
          <w:rFonts w:ascii="Arial" w:eastAsia="Arial" w:hAnsi="Arial" w:cs="Arial"/>
          <w:color w:val="000000"/>
          <w:sz w:val="20"/>
        </w:rPr>
        <w:t>The district court dismissed the claim, holding that it was foreclosed by 28 C.F.R. § 36.307(a), which states that "[t]his part does not require a public accommodation to alter its inventory to include accessible or special goods that are designed for, or facilitate use by, individuals with disabilities." Plaintiff timely appeals.</w:t>
      </w:r>
    </w:p>
    <w:p w:rsidR="00E456CD" w:rsidRDefault="00000000">
      <w:pPr>
        <w:pStyle w:val="Normal44"/>
        <w:widowControl w:val="0"/>
        <w:spacing w:before="200" w:line="260" w:lineRule="atLeast"/>
        <w:jc w:val="both"/>
      </w:pPr>
      <w:bookmarkStart w:id="6789" w:name="Bookmark_para_14_34"/>
      <w:bookmarkStart w:id="6790" w:name="Bookmark_I5P5KKKC2D6MV70010000400"/>
      <w:bookmarkEnd w:id="6789"/>
      <w:bookmarkEnd w:id="6790"/>
      <w:r>
        <w:rPr>
          <w:rFonts w:ascii="Arial" w:eastAsia="Arial" w:hAnsi="Arial" w:cs="Arial"/>
          <w:color w:val="000000"/>
          <w:sz w:val="20"/>
        </w:rPr>
        <w:t xml:space="preserve">District courts have divided on the legal question presented in this appeal: whether a person seeking to test-drive a car may bring a claim under the ADA to require an automobile dealership to install temporary vehicle hand controls, at least in some circumstances, or whether such claims necessarily fail. </w:t>
      </w:r>
      <w:r>
        <w:rPr>
          <w:rFonts w:ascii="Arial" w:eastAsia="Arial" w:hAnsi="Arial" w:cs="Arial"/>
          <w:i/>
          <w:color w:val="000000"/>
          <w:sz w:val="20"/>
        </w:rPr>
        <w:t>Compare, e.g.</w:t>
      </w:r>
      <w:r>
        <w:rPr>
          <w:rFonts w:ascii="Arial" w:eastAsia="Arial" w:hAnsi="Arial" w:cs="Arial"/>
          <w:color w:val="000000"/>
          <w:sz w:val="20"/>
        </w:rPr>
        <w:t xml:space="preserve">, </w:t>
      </w:r>
      <w:bookmarkStart w:id="6791" w:name="Bookmark_I5P5KKKC2N1RNY0050000400"/>
      <w:bookmarkEnd w:id="6791"/>
      <w:r>
        <w:rPr>
          <w:rFonts w:ascii="Arial" w:eastAsia="Arial" w:hAnsi="Arial" w:cs="Arial"/>
          <w:i/>
          <w:color w:val="000000"/>
          <w:sz w:val="20"/>
        </w:rPr>
        <w:t>Tate v. Deoca</w:t>
      </w:r>
      <w:r>
        <w:rPr>
          <w:rFonts w:ascii="Arial" w:eastAsia="Arial" w:hAnsi="Arial" w:cs="Arial"/>
          <w:color w:val="000000"/>
          <w:sz w:val="20"/>
        </w:rPr>
        <w:t xml:space="preserve">, No. cv14-08738SJO(MRWx), 2015 U.S. Dist. LEXIS 85144, 2015 WL 12552042 (C.D. Cal. June 30, 2015) (dismissing a claim similar to Plaintiff's claim), </w:t>
      </w:r>
      <w:r>
        <w:rPr>
          <w:rFonts w:ascii="Arial" w:eastAsia="Arial" w:hAnsi="Arial" w:cs="Arial"/>
          <w:i/>
          <w:color w:val="000000"/>
          <w:sz w:val="20"/>
        </w:rPr>
        <w:t xml:space="preserve">and </w:t>
      </w:r>
      <w:bookmarkStart w:id="6792" w:name="Bookmark_I5P5KKKC2D6MV70020000400"/>
      <w:bookmarkEnd w:id="6792"/>
      <w:r>
        <w:rPr>
          <w:rFonts w:ascii="Arial" w:eastAsia="Arial" w:hAnsi="Arial" w:cs="Arial"/>
          <w:i/>
          <w:color w:val="000000"/>
          <w:sz w:val="20"/>
        </w:rPr>
        <w:t>Schutza v. FRN of San Diego, LLC</w:t>
      </w:r>
      <w:r>
        <w:rPr>
          <w:rFonts w:ascii="Arial" w:eastAsia="Arial" w:hAnsi="Arial" w:cs="Arial"/>
          <w:color w:val="000000"/>
          <w:sz w:val="20"/>
        </w:rPr>
        <w:t xml:space="preserve">, No. 14cv628JM(RBB), 2015 U.S. Dist. LEXIS 60212, 2015 WL 2152207 (S.D. Cal. May 7, 2015) (same); </w:t>
      </w:r>
      <w:r>
        <w:rPr>
          <w:rFonts w:ascii="Arial" w:eastAsia="Arial" w:hAnsi="Arial" w:cs="Arial"/>
          <w:i/>
          <w:color w:val="000000"/>
          <w:sz w:val="20"/>
        </w:rPr>
        <w:t xml:space="preserve">with </w:t>
      </w:r>
      <w:bookmarkStart w:id="6793" w:name="Bookmark_I5P5KKKC2D6MV70040000400"/>
      <w:bookmarkEnd w:id="6793"/>
      <w:r>
        <w:rPr>
          <w:rFonts w:ascii="Arial" w:eastAsia="Arial" w:hAnsi="Arial" w:cs="Arial"/>
          <w:i/>
          <w:color w:val="000000"/>
          <w:sz w:val="20"/>
        </w:rPr>
        <w:t>Funches v. Barra</w:t>
      </w:r>
      <w:r>
        <w:rPr>
          <w:rFonts w:ascii="Arial" w:eastAsia="Arial" w:hAnsi="Arial" w:cs="Arial"/>
          <w:color w:val="000000"/>
          <w:sz w:val="20"/>
        </w:rPr>
        <w:t xml:space="preserve">, No. 14civ.7382(KPF), 2016 U.S. Dist. LEXIS 66589, 2016 WL 2939165 (S.D.N.Y. May 17, 2016) (denying a motion to dismiss a similar claim), </w:t>
      </w:r>
      <w:r>
        <w:rPr>
          <w:rFonts w:ascii="Arial" w:eastAsia="Arial" w:hAnsi="Arial" w:cs="Arial"/>
          <w:i/>
          <w:color w:val="000000"/>
          <w:sz w:val="20"/>
        </w:rPr>
        <w:t xml:space="preserve">and </w:t>
      </w:r>
      <w:bookmarkStart w:id="6794" w:name="Bookmark_I5P5KKKC2SF8R60010000400"/>
      <w:bookmarkEnd w:id="6794"/>
      <w:r>
        <w:rPr>
          <w:rFonts w:ascii="Arial" w:eastAsia="Arial" w:hAnsi="Arial" w:cs="Arial"/>
          <w:i/>
          <w:color w:val="000000"/>
          <w:sz w:val="20"/>
        </w:rPr>
        <w:t>Schutza v. CarMax Auto Superstores Cal., LLC</w:t>
      </w:r>
      <w:r>
        <w:rPr>
          <w:rFonts w:ascii="Arial" w:eastAsia="Arial" w:hAnsi="Arial" w:cs="Arial"/>
          <w:color w:val="000000"/>
          <w:sz w:val="20"/>
        </w:rPr>
        <w:t>, No. 14cv2617L(JLB), 2015 U.S. Dist. LEXIS 48383, 2015 WL 1632716 (S.D. Cal. Apr. 13, 2015) (same). We received two helpful [**7]  briefs from amici: a brief from the United States, in support of Plaintiff's position; and a brief from the National Automobile Dealers Association, the California New Car Dealers Association, and the National Mobility Equipment Dealers Association, in support of Defendant's position.</w:t>
      </w:r>
    </w:p>
    <w:p w:rsidR="00E456CD" w:rsidRDefault="00000000">
      <w:pPr>
        <w:pStyle w:val="Normal44"/>
        <w:widowControl w:val="0"/>
        <w:spacing w:before="120" w:line="260" w:lineRule="atLeast"/>
      </w:pPr>
      <w:r>
        <w:rPr>
          <w:rFonts w:ascii="Arial" w:eastAsia="Arial" w:hAnsi="Arial" w:cs="Arial"/>
          <w:color w:val="000000"/>
          <w:sz w:val="20"/>
        </w:rPr>
        <w:t>DISCUSSION</w:t>
      </w:r>
    </w:p>
    <w:p w:rsidR="00E456CD" w:rsidRDefault="00000000">
      <w:pPr>
        <w:pStyle w:val="Normal44"/>
        <w:widowControl w:val="0"/>
        <w:spacing w:before="200" w:line="260" w:lineRule="atLeast"/>
        <w:jc w:val="both"/>
      </w:pPr>
      <w:bookmarkStart w:id="6795" w:name="Bookmark_para_15_34"/>
      <w:bookmarkStart w:id="6796" w:name="Bookmark_I5P5KKKC2SF8R60040000400"/>
      <w:bookmarkStart w:id="6797" w:name="Bookmark_I5P5KKKC28T4JF0010000400"/>
      <w:bookmarkStart w:id="6798" w:name="Bookmark_LNHNREFclscc2_35"/>
      <w:bookmarkEnd w:id="6795"/>
      <w:bookmarkEnd w:id="6796"/>
      <w:bookmarkEnd w:id="6797"/>
      <w:bookmarkEnd w:id="6798"/>
      <w:r>
        <w:rPr>
          <w:rFonts w:ascii="Arial" w:eastAsia="Arial" w:hAnsi="Arial" w:cs="Arial"/>
          <w:color w:val="000000"/>
          <w:sz w:val="20"/>
        </w:rPr>
        <w:t xml:space="preserve">"Title III of the ADA prohibits discrimination by public accommodations . . . ." </w:t>
      </w:r>
      <w:bookmarkStart w:id="6799" w:name="Bookmark_I5P5KKKC2SF8R60030000400"/>
      <w:bookmarkEnd w:id="6799"/>
      <w:r>
        <w:rPr>
          <w:rFonts w:ascii="Arial" w:eastAsia="Arial" w:hAnsi="Arial" w:cs="Arial"/>
          <w:i/>
          <w:color w:val="000000"/>
          <w:sz w:val="20"/>
        </w:rPr>
        <w:t>Arizona ex rel. Goddard v. Harkins Amusement Enters., Inc.</w:t>
      </w:r>
      <w:r>
        <w:rPr>
          <w:rFonts w:ascii="Arial" w:eastAsia="Arial" w:hAnsi="Arial" w:cs="Arial"/>
          <w:color w:val="000000"/>
          <w:sz w:val="20"/>
        </w:rPr>
        <w:t xml:space="preserve">, 603 F.3d 666, 669 (9th Cir. 2010) (citing 42 U.S.C. § 12182(a)). "Public accommodations must start by considering how their facilities are used by non-disabled guests and then take reasonable steps to provide disabled guests with a like experience." </w:t>
      </w:r>
      <w:bookmarkStart w:id="6800" w:name="Bookmark_I5P5KKKC2SF8R60050000400"/>
      <w:bookmarkEnd w:id="6800"/>
      <w:r>
        <w:rPr>
          <w:rFonts w:ascii="Arial" w:eastAsia="Arial" w:hAnsi="Arial" w:cs="Arial"/>
          <w:i/>
          <w:color w:val="000000"/>
          <w:sz w:val="20"/>
        </w:rPr>
        <w:t>Baughman v. Walt Disney World Co.</w:t>
      </w:r>
      <w:r>
        <w:rPr>
          <w:rFonts w:ascii="Arial" w:eastAsia="Arial" w:hAnsi="Arial" w:cs="Arial"/>
          <w:color w:val="000000"/>
          <w:sz w:val="20"/>
        </w:rPr>
        <w:t>, 685 F.3d 1131, 1135 (9th Cir. 2012). Section 12182 begins with a "General rule" in subsection (a):</w:t>
      </w:r>
    </w:p>
    <w:p w:rsidR="00E456CD" w:rsidRDefault="00000000">
      <w:pPr>
        <w:pStyle w:val="Normal44"/>
        <w:widowControl w:val="0"/>
        <w:spacing w:line="260" w:lineRule="atLeast"/>
        <w:ind w:left="400"/>
        <w:jc w:val="both"/>
      </w:pPr>
      <w:bookmarkStart w:id="6801" w:name="Bookmark_para_16_33"/>
      <w:bookmarkEnd w:id="6801"/>
      <w:r>
        <w:rPr>
          <w:rFonts w:ascii="Arial" w:eastAsia="Arial" w:hAnsi="Arial" w:cs="Arial"/>
          <w:color w:val="000000"/>
          <w:sz w:val="20"/>
        </w:rPr>
        <w:t>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p w:rsidR="00E456CD" w:rsidRDefault="00000000">
      <w:pPr>
        <w:pStyle w:val="Normal44"/>
        <w:widowControl w:val="0"/>
        <w:spacing w:line="260" w:lineRule="atLeast"/>
        <w:jc w:val="both"/>
      </w:pPr>
      <w:r>
        <w:rPr>
          <w:rFonts w:ascii="Arial" w:eastAsia="Arial" w:hAnsi="Arial" w:cs="Arial"/>
          <w:color w:val="000000"/>
          <w:sz w:val="20"/>
        </w:rPr>
        <w:t>42 U.S.C. § 12182(a). More specifically:</w:t>
      </w:r>
    </w:p>
    <w:p w:rsidR="00E456CD" w:rsidRDefault="00000000">
      <w:pPr>
        <w:pStyle w:val="Normal44"/>
        <w:widowControl w:val="0"/>
        <w:spacing w:line="260" w:lineRule="atLeast"/>
        <w:ind w:left="400"/>
        <w:jc w:val="both"/>
      </w:pPr>
      <w:bookmarkStart w:id="6802" w:name="Bookmark_para_17_32"/>
      <w:bookmarkEnd w:id="6802"/>
      <w:r>
        <w:rPr>
          <w:rFonts w:ascii="Arial" w:eastAsia="Arial" w:hAnsi="Arial" w:cs="Arial"/>
          <w:color w:val="000000"/>
          <w:sz w:val="20"/>
        </w:rPr>
        <w:t>For purposes of subsection (a) of this section, discrimination includes—</w:t>
      </w:r>
    </w:p>
    <w:p w:rsidR="00E456CD" w:rsidRDefault="00000000">
      <w:pPr>
        <w:pStyle w:val="Normal44"/>
        <w:widowControl w:val="0"/>
        <w:spacing w:before="200" w:line="260" w:lineRule="atLeast"/>
        <w:ind w:left="400"/>
        <w:jc w:val="both"/>
      </w:pPr>
      <w:bookmarkStart w:id="6803" w:name="Bookmark_para_18_31"/>
      <w:bookmarkEnd w:id="6803"/>
      <w:r>
        <w:rPr>
          <w:rFonts w:ascii="Arial" w:eastAsia="Arial" w:hAnsi="Arial" w:cs="Arial"/>
          <w:color w:val="000000"/>
          <w:sz w:val="20"/>
        </w:rPr>
        <w:t> [*1010]  . . . .</w:t>
      </w:r>
    </w:p>
    <w:p w:rsidR="00E456CD" w:rsidRDefault="00000000">
      <w:pPr>
        <w:pStyle w:val="Normal44"/>
        <w:widowControl w:val="0"/>
        <w:spacing w:before="200" w:line="260" w:lineRule="atLeast"/>
        <w:ind w:left="400"/>
        <w:jc w:val="both"/>
      </w:pPr>
      <w:bookmarkStart w:id="6804" w:name="Bookmark_para_19_30"/>
      <w:bookmarkEnd w:id="6804"/>
      <w:r>
        <w:rPr>
          <w:rFonts w:ascii="Arial" w:eastAsia="Arial" w:hAnsi="Arial" w:cs="Arial"/>
          <w:color w:val="000000"/>
          <w:sz w:val="20"/>
        </w:rPr>
        <w:t>(ii) a failure to make reasonable modifications in policies, practices, or procedures, when such modifications are necessary to afford such goods, services, facilities, privileges, advantages, or [**8]  accommodations to individuals with disabilities, unless the entity can demonstrate that making such modifications would fundamentally alter the nature of such goods, services, facilities, privileges, advantages, or accommodations;</w:t>
      </w:r>
    </w:p>
    <w:p w:rsidR="00E456CD" w:rsidRDefault="00000000">
      <w:pPr>
        <w:pStyle w:val="Normal44"/>
        <w:widowControl w:val="0"/>
        <w:spacing w:line="260" w:lineRule="atLeast"/>
        <w:ind w:left="400"/>
        <w:jc w:val="both"/>
      </w:pPr>
      <w:bookmarkStart w:id="6805" w:name="Bookmark_para_20_29"/>
      <w:bookmarkEnd w:id="6805"/>
      <w:r>
        <w:rPr>
          <w:rFonts w:ascii="Arial" w:eastAsia="Arial" w:hAnsi="Arial" w:cs="Arial"/>
          <w:color w:val="000000"/>
          <w:sz w:val="20"/>
        </w:rPr>
        <w:t>. . . .</w:t>
      </w:r>
    </w:p>
    <w:p w:rsidR="00E456CD" w:rsidRDefault="00000000">
      <w:pPr>
        <w:pStyle w:val="Normal44"/>
        <w:widowControl w:val="0"/>
        <w:spacing w:line="260" w:lineRule="atLeast"/>
        <w:ind w:left="400"/>
        <w:jc w:val="both"/>
      </w:pPr>
      <w:bookmarkStart w:id="6806" w:name="Bookmark_para_21_27"/>
      <w:bookmarkEnd w:id="6806"/>
      <w:r>
        <w:rPr>
          <w:rFonts w:ascii="Arial" w:eastAsia="Arial" w:hAnsi="Arial" w:cs="Arial"/>
          <w:color w:val="000000"/>
          <w:sz w:val="20"/>
        </w:rPr>
        <w:t>(iv) a failure to remove architectural barriers, and communication barriers that are structural in nature, in existing facilities, and transportation barriers in existing vehicles and rail passenger cars used by an establishment for transporting individuals (not including barriers that can only be removed through the retrofitting of vehicles or rail passenger cars by the installation of a hydraulic or other lift), where such removal is readily achievable; and</w:t>
      </w:r>
    </w:p>
    <w:p w:rsidR="00E456CD" w:rsidRDefault="00000000">
      <w:pPr>
        <w:pStyle w:val="Normal44"/>
        <w:widowControl w:val="0"/>
        <w:spacing w:line="260" w:lineRule="atLeast"/>
        <w:ind w:left="400"/>
        <w:jc w:val="both"/>
      </w:pPr>
      <w:bookmarkStart w:id="6807" w:name="Bookmark_para_22_26"/>
      <w:bookmarkEnd w:id="6807"/>
      <w:r>
        <w:rPr>
          <w:rFonts w:ascii="Arial" w:eastAsia="Arial" w:hAnsi="Arial" w:cs="Arial"/>
          <w:color w:val="000000"/>
          <w:sz w:val="20"/>
        </w:rPr>
        <w:t>(v) where an entity can demonstrate that the removal of a barrier under clause (iv) is not readily achievable, a failure to make such goods, services, facilities, privileges, advantages, or accommodations available through alternative methods if such methods are readily achievable.</w:t>
      </w:r>
    </w:p>
    <w:p w:rsidR="00E456CD" w:rsidRDefault="00000000">
      <w:pPr>
        <w:pStyle w:val="Normal44"/>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12182(b)(2)(A).</w:t>
      </w:r>
    </w:p>
    <w:p w:rsidR="00E456CD" w:rsidRDefault="00000000">
      <w:pPr>
        <w:pStyle w:val="Normal44"/>
        <w:widowControl w:val="0"/>
        <w:spacing w:before="200" w:line="260" w:lineRule="atLeast"/>
        <w:jc w:val="both"/>
      </w:pPr>
      <w:bookmarkStart w:id="6808" w:name="Bookmark_para_23_26"/>
      <w:bookmarkStart w:id="6809" w:name="Bookmark_I5P5KKKC28T4JF0030000400"/>
      <w:bookmarkStart w:id="6810" w:name="Bookmark_I5P5KKKC28T4JF0050000400"/>
      <w:bookmarkStart w:id="6811" w:name="Bookmark_LNHNREFclscc3_33"/>
      <w:bookmarkEnd w:id="6808"/>
      <w:bookmarkEnd w:id="6809"/>
      <w:bookmarkEnd w:id="6810"/>
      <w:bookmarkEnd w:id="6811"/>
      <w:r>
        <w:rPr>
          <w:rFonts w:ascii="Arial" w:eastAsia="Arial" w:hAnsi="Arial" w:cs="Arial"/>
          <w:color w:val="000000"/>
          <w:sz w:val="20"/>
        </w:rPr>
        <w:t xml:space="preserve">"Congress entrusted the Attorney General with the responsibility of promulgating Title III's implementing regulations," </w:t>
      </w:r>
      <w:bookmarkStart w:id="6812" w:name="Bookmark_I5P5KKKC28T4JF0020000400"/>
      <w:bookmarkEnd w:id="6812"/>
      <w:r>
        <w:rPr>
          <w:rFonts w:ascii="Arial" w:eastAsia="Arial" w:hAnsi="Arial" w:cs="Arial"/>
          <w:i/>
          <w:color w:val="000000"/>
          <w:sz w:val="20"/>
        </w:rPr>
        <w:t>Fortyune v. Am. Multi-Cinema, Inc.</w:t>
      </w:r>
      <w:r>
        <w:rPr>
          <w:rFonts w:ascii="Arial" w:eastAsia="Arial" w:hAnsi="Arial" w:cs="Arial"/>
          <w:color w:val="000000"/>
          <w:sz w:val="20"/>
        </w:rPr>
        <w:t xml:space="preserve">, 364 F.3d 1075, 1080 (9th Cir. 2004) (citing 42 U.S.C. § 12186(b)), and the Attorney General issued regulations, through notice and comment, found at [**9]  28 C.F.R. pt. 36. Accordingly, when analyzing an ambiguity or a gap in the statute, we analyze those regulations under the familiar </w:t>
      </w:r>
      <w:r>
        <w:rPr>
          <w:rFonts w:ascii="Arial" w:eastAsia="Arial" w:hAnsi="Arial" w:cs="Arial"/>
          <w:i/>
          <w:color w:val="000000"/>
          <w:sz w:val="20"/>
        </w:rPr>
        <w:t>Chevron</w:t>
      </w:r>
      <w:r>
        <w:rPr>
          <w:rFonts w:ascii="Arial" w:eastAsia="Arial" w:hAnsi="Arial" w:cs="Arial"/>
          <w:color w:val="000000"/>
          <w:sz w:val="20"/>
        </w:rPr>
        <w:t xml:space="preserve"> framework. </w:t>
      </w:r>
      <w:bookmarkStart w:id="6813" w:name="Bookmark_I5P5KKKC28T4JF0040000400"/>
      <w:bookmarkEnd w:id="6813"/>
      <w:r>
        <w:rPr>
          <w:rFonts w:ascii="Arial" w:eastAsia="Arial" w:hAnsi="Arial" w:cs="Arial"/>
          <w:i/>
          <w:color w:val="000000"/>
          <w:sz w:val="20"/>
        </w:rPr>
        <w:t>Baughman</w:t>
      </w:r>
      <w:r>
        <w:rPr>
          <w:rFonts w:ascii="Arial" w:eastAsia="Arial" w:hAnsi="Arial" w:cs="Arial"/>
          <w:color w:val="000000"/>
          <w:sz w:val="20"/>
        </w:rPr>
        <w:t>, 685 F.3d at 1136.</w:t>
      </w:r>
    </w:p>
    <w:p w:rsidR="00E456CD" w:rsidRDefault="00000000">
      <w:pPr>
        <w:pStyle w:val="Normal44"/>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Reasonable Modifications in Policies, Practices, or Procedures</w:t>
      </w:r>
    </w:p>
    <w:p w:rsidR="00E456CD" w:rsidRDefault="00000000">
      <w:pPr>
        <w:pStyle w:val="Normal44"/>
        <w:widowControl w:val="0"/>
        <w:spacing w:before="200" w:line="260" w:lineRule="atLeast"/>
        <w:jc w:val="both"/>
      </w:pPr>
      <w:bookmarkStart w:id="6814" w:name="Bookmark_para_24_24"/>
      <w:bookmarkEnd w:id="6814"/>
      <w:r>
        <w:rPr>
          <w:rFonts w:ascii="Arial" w:eastAsia="Arial" w:hAnsi="Arial" w:cs="Arial"/>
          <w:color w:val="000000"/>
          <w:sz w:val="20"/>
        </w:rPr>
        <w:t>Plaintiff contends that Defendant's refusal to install vehicle hand controls constitutes</w:t>
      </w:r>
    </w:p>
    <w:p w:rsidR="00E456CD" w:rsidRDefault="00000000">
      <w:pPr>
        <w:pStyle w:val="Normal44"/>
        <w:widowControl w:val="0"/>
        <w:spacing w:line="260" w:lineRule="atLeast"/>
        <w:ind w:left="400"/>
        <w:jc w:val="both"/>
      </w:pPr>
      <w:bookmarkStart w:id="6815" w:name="Bookmark_para_25_24"/>
      <w:bookmarkEnd w:id="6815"/>
      <w:r>
        <w:rPr>
          <w:rFonts w:ascii="Arial" w:eastAsia="Arial" w:hAnsi="Arial" w:cs="Arial"/>
          <w:color w:val="000000"/>
          <w:sz w:val="20"/>
        </w:rPr>
        <w:t>a failure to make reasonable modifications in policies, practices, or procedures, when such modifications are necessary to afford such goods, services, facilities, privileges, advantages, or accommodations to individuals with disabilities, unless the entity can demonstrate that making such modifications would fundamentally alter the nature of such goods, services, facilities, privileges, advantages, or accommodations[.]</w:t>
      </w:r>
    </w:p>
    <w:p w:rsidR="00E456CD" w:rsidRDefault="00000000">
      <w:pPr>
        <w:pStyle w:val="Normal44"/>
        <w:widowControl w:val="0"/>
        <w:spacing w:before="200" w:line="260" w:lineRule="atLeast"/>
        <w:jc w:val="both"/>
      </w:pPr>
      <w:r>
        <w:rPr>
          <w:rFonts w:ascii="Arial" w:eastAsia="Arial" w:hAnsi="Arial" w:cs="Arial"/>
          <w:color w:val="000000"/>
          <w:sz w:val="20"/>
        </w:rPr>
        <w:t xml:space="preserve">42 U.S.C. § 12182(b)(2)(A)(ii). </w:t>
      </w:r>
      <w:bookmarkStart w:id="6816" w:name="Bookmark_I1JNTCM0MKV000PYJ7C00037"/>
      <w:bookmarkStart w:id="6817" w:name="Bookmark_I5P5KKKC2D6MV80020000400"/>
      <w:bookmarkStart w:id="6818" w:name="Bookmark_LNHNREFclscc4_32"/>
      <w:bookmarkEnd w:id="6816"/>
      <w:bookmarkEnd w:id="6817"/>
      <w:bookmarkEnd w:id="6818"/>
      <w:r>
        <w:rPr>
          <w:rFonts w:ascii="Arial" w:eastAsia="Arial" w:hAnsi="Arial" w:cs="Arial"/>
          <w:color w:val="000000"/>
          <w:sz w:val="20"/>
        </w:rPr>
        <w:t>To prevail on a claim under that statutory provision, Plaintiff must establish that:</w:t>
      </w:r>
    </w:p>
    <w:p w:rsidR="00E456CD" w:rsidRDefault="00000000">
      <w:pPr>
        <w:pStyle w:val="Normal44"/>
        <w:widowControl w:val="0"/>
        <w:spacing w:before="200" w:line="260" w:lineRule="atLeast"/>
        <w:ind w:left="400"/>
        <w:jc w:val="both"/>
      </w:pPr>
      <w:bookmarkStart w:id="6819" w:name="Bookmark_para_26_22"/>
      <w:bookmarkStart w:id="6820" w:name="Bookmark_I5P5KKKC2D6MV80020000400_2"/>
      <w:bookmarkEnd w:id="6819"/>
      <w:bookmarkEnd w:id="6820"/>
      <w:r>
        <w:rPr>
          <w:rFonts w:ascii="Arial" w:eastAsia="Arial" w:hAnsi="Arial" w:cs="Arial"/>
          <w:color w:val="000000"/>
          <w:sz w:val="20"/>
        </w:rPr>
        <w:t>(1) he is disabled as that term is defined by the ADA; (2) the defendant is a private entity that owns, leases, or operates a place of public accommodation; (3) the defendant employed a discriminatory policy or practice; and (4) the defendant discriminated against the plaintiff based upon the plaintiff's disability by (a) failing to make a requested reasonable modification that was (b) necessary to [**10]  accommodate the plaintiff's disability.</w:t>
      </w:r>
    </w:p>
    <w:p w:rsidR="00E456CD" w:rsidRDefault="00000000">
      <w:pPr>
        <w:pStyle w:val="Normal44"/>
        <w:widowControl w:val="0"/>
        <w:spacing w:before="200" w:line="260" w:lineRule="atLeast"/>
        <w:jc w:val="both"/>
      </w:pPr>
      <w:bookmarkStart w:id="6821" w:name="Bookmark_I5P5KKKC2D6MV80020000400_3"/>
      <w:bookmarkStart w:id="6822" w:name="Bookmark_I5P5KKKC2D6MV80010000400"/>
      <w:bookmarkEnd w:id="6821"/>
      <w:bookmarkEnd w:id="6822"/>
      <w:r>
        <w:rPr>
          <w:rFonts w:ascii="Arial" w:eastAsia="Arial" w:hAnsi="Arial" w:cs="Arial"/>
          <w:i/>
          <w:color w:val="000000"/>
          <w:sz w:val="20"/>
        </w:rPr>
        <w:t>Fortyune</w:t>
      </w:r>
      <w:r>
        <w:rPr>
          <w:rFonts w:ascii="Arial" w:eastAsia="Arial" w:hAnsi="Arial" w:cs="Arial"/>
          <w:color w:val="000000"/>
          <w:sz w:val="20"/>
        </w:rPr>
        <w:t xml:space="preserve">, 364 F.3d at 1082. If Plaintiff establishes a prima facie case, then Defendant "must make the requested modification unless it proves that doing so would alter the fundamental nature of its business." </w:t>
      </w:r>
      <w:r>
        <w:rPr>
          <w:rFonts w:ascii="Arial" w:eastAsia="Arial" w:hAnsi="Arial" w:cs="Arial"/>
          <w:i/>
          <w:color w:val="000000"/>
          <w:sz w:val="20"/>
        </w:rPr>
        <w:t>Id.</w:t>
      </w:r>
    </w:p>
    <w:p w:rsidR="00E456CD" w:rsidRDefault="00000000">
      <w:pPr>
        <w:pStyle w:val="Normal44"/>
        <w:widowControl w:val="0"/>
        <w:spacing w:before="200" w:line="260" w:lineRule="atLeast"/>
        <w:jc w:val="both"/>
      </w:pPr>
      <w:bookmarkStart w:id="6823" w:name="Bookmark_para_27_22"/>
      <w:bookmarkStart w:id="6824" w:name="Bookmark_I5P5KKKC2D6MV80040000400"/>
      <w:bookmarkEnd w:id="6823"/>
      <w:bookmarkEnd w:id="6824"/>
      <w:r>
        <w:rPr>
          <w:rFonts w:ascii="Arial" w:eastAsia="Arial" w:hAnsi="Arial" w:cs="Arial"/>
          <w:color w:val="000000"/>
          <w:sz w:val="20"/>
        </w:rPr>
        <w:t xml:space="preserve">At this procedural stage, we must take as true the allegations stated in the complaint. </w:t>
      </w:r>
      <w:bookmarkStart w:id="6825" w:name="Bookmark_I5P5KKKC2D6MV80030000400"/>
      <w:bookmarkEnd w:id="6825"/>
      <w:r>
        <w:rPr>
          <w:rFonts w:ascii="Arial" w:eastAsia="Arial" w:hAnsi="Arial" w:cs="Arial"/>
          <w:i/>
          <w:color w:val="000000"/>
          <w:sz w:val="20"/>
        </w:rPr>
        <w:t>Brown</w:t>
      </w:r>
      <w:r>
        <w:rPr>
          <w:rFonts w:ascii="Arial" w:eastAsia="Arial" w:hAnsi="Arial" w:cs="Arial"/>
          <w:color w:val="000000"/>
          <w:sz w:val="20"/>
        </w:rPr>
        <w:t>, 724 F.3d at 1247. Viewing the complaint through that lens, Plaintiff has stated a claim under the ADA. Plaintiff alleges that (1) he is disabled; (2) Defendant operates a car dealership  [*1011]  that is a public accommodation; (3) Defendant employed the discriminatory policy or practice of providing a test-driving privilege or service only to those persons capable of using foot controls; and (4) Defendant discriminated against Plaintiff by (a) failing to make the reasonable modification of temporarily installing hand controls that can be added without significant difficulty or expense, (b) which is necessary to accommodate Plaintiff's disability.</w:t>
      </w:r>
    </w:p>
    <w:p w:rsidR="00E456CD" w:rsidRDefault="00000000">
      <w:pPr>
        <w:pStyle w:val="Normal44"/>
        <w:widowControl w:val="0"/>
        <w:spacing w:before="200" w:line="260" w:lineRule="atLeast"/>
        <w:jc w:val="both"/>
      </w:pPr>
      <w:bookmarkStart w:id="6826" w:name="Bookmark_para_28_22"/>
      <w:bookmarkEnd w:id="6826"/>
      <w:r>
        <w:rPr>
          <w:rFonts w:ascii="Arial" w:eastAsia="Arial" w:hAnsi="Arial" w:cs="Arial"/>
          <w:color w:val="000000"/>
          <w:sz w:val="20"/>
        </w:rPr>
        <w:t>Plaintiff's requested accommodation ultimately may prove to be unreasonable. For example, Defendant asserts that, to meet Plaintiff's needs, Defendant must purchase hand controls; create a training program for its mechanics; retain mechanics trained to install [**11]  the controls; determine the ability of each customer to use hand controls; develop a protocol for evaluating the customer's needs; develop a procedure for determining whether each vehicle can be adapted; maintain a trained mechanic and "qualified driving rehabilitation employee" who would be available during all business hours; and account for increased potential liability and the resulting increase in insurance premiums.</w:t>
      </w:r>
    </w:p>
    <w:p w:rsidR="00E456CD" w:rsidRDefault="00000000">
      <w:pPr>
        <w:pStyle w:val="Normal44"/>
        <w:widowControl w:val="0"/>
        <w:spacing w:before="200" w:line="260" w:lineRule="atLeast"/>
        <w:jc w:val="both"/>
      </w:pPr>
      <w:bookmarkStart w:id="6827" w:name="Bookmark_para_29_21"/>
      <w:bookmarkStart w:id="6828" w:name="Bookmark_I5P5KKKC2HM63P0010000400"/>
      <w:bookmarkStart w:id="6829" w:name="Bookmark_I5P5KKKC2HM63P0030000400"/>
      <w:bookmarkEnd w:id="6827"/>
      <w:bookmarkEnd w:id="6828"/>
      <w:bookmarkEnd w:id="6829"/>
      <w:r>
        <w:rPr>
          <w:rFonts w:ascii="Arial" w:eastAsia="Arial" w:hAnsi="Arial" w:cs="Arial"/>
          <w:color w:val="000000"/>
          <w:sz w:val="20"/>
        </w:rPr>
        <w:t xml:space="preserve">As noted, though, we must take Plaintiff's plausible allegations as true. </w:t>
      </w:r>
      <w:bookmarkStart w:id="6830" w:name="Bookmark_I5P5KKKC2D6MV80050000400"/>
      <w:bookmarkEnd w:id="6830"/>
      <w:r>
        <w:rPr>
          <w:rFonts w:ascii="Arial" w:eastAsia="Arial" w:hAnsi="Arial" w:cs="Arial"/>
          <w:i/>
          <w:color w:val="000000"/>
          <w:sz w:val="20"/>
        </w:rPr>
        <w:t>Brown</w:t>
      </w:r>
      <w:r>
        <w:rPr>
          <w:rFonts w:ascii="Arial" w:eastAsia="Arial" w:hAnsi="Arial" w:cs="Arial"/>
          <w:color w:val="000000"/>
          <w:sz w:val="20"/>
        </w:rPr>
        <w:t xml:space="preserve">, 724 F.3d at 1247. Plaintiff has alleged that hand controls are inexpensive, are easy to obtain, work on all types of vehicles, do not disable any safety features, cause no damage, and can be installed by Defendant "without much difficulty or expense." Defendant's argument to the contrary may ultimately carry the day, perhaps even at summary judgment. </w:t>
      </w:r>
      <w:r>
        <w:rPr>
          <w:rFonts w:ascii="Arial" w:eastAsia="Arial" w:hAnsi="Arial" w:cs="Arial"/>
          <w:i/>
          <w:color w:val="000000"/>
          <w:sz w:val="20"/>
        </w:rPr>
        <w:t xml:space="preserve">See </w:t>
      </w:r>
      <w:bookmarkStart w:id="6831" w:name="Bookmark_I5P5KKKC2HM63P0020000400"/>
      <w:bookmarkEnd w:id="6831"/>
      <w:r>
        <w:rPr>
          <w:rFonts w:ascii="Arial" w:eastAsia="Arial" w:hAnsi="Arial" w:cs="Arial"/>
          <w:i/>
          <w:color w:val="000000"/>
          <w:sz w:val="20"/>
        </w:rPr>
        <w:t>Fortyune</w:t>
      </w:r>
      <w:r>
        <w:rPr>
          <w:rFonts w:ascii="Arial" w:eastAsia="Arial" w:hAnsi="Arial" w:cs="Arial"/>
          <w:color w:val="000000"/>
          <w:sz w:val="20"/>
        </w:rPr>
        <w:t>, 364 F.3d at 1083 ("[W]hether a particular modification is 'reasonable' involves a fact-specific, case-by-case inquiry that considers, among other factors, the effectiveness of the modification in light of the nature of the disability in question and the cost to the organization that would implement it." (internal quotation marks omitted)). But taking the facts alleged in the complaint [**12]  as true, Plaintiff's allegations suffice to establish that the proposed modification to the test-driving privilege or service is a reasonable one.</w:t>
      </w:r>
    </w:p>
    <w:p w:rsidR="00E456CD" w:rsidRDefault="00000000">
      <w:pPr>
        <w:pStyle w:val="Normal44"/>
        <w:widowControl w:val="0"/>
        <w:spacing w:before="200" w:line="260" w:lineRule="atLeast"/>
        <w:jc w:val="both"/>
      </w:pPr>
      <w:bookmarkStart w:id="6832" w:name="Bookmark_para_30_21"/>
      <w:bookmarkStart w:id="6833" w:name="Bookmark_I5P5KKKC2HM63P0050000400"/>
      <w:bookmarkEnd w:id="6832"/>
      <w:bookmarkEnd w:id="6833"/>
      <w:r>
        <w:rPr>
          <w:rFonts w:ascii="Arial" w:eastAsia="Arial" w:hAnsi="Arial" w:cs="Arial"/>
          <w:color w:val="000000"/>
          <w:sz w:val="20"/>
        </w:rPr>
        <w:t xml:space="preserve">Plaintiff's requested accommodation would not "alter the fundamental nature of [Defendant's] business." </w:t>
      </w:r>
      <w:bookmarkStart w:id="6834" w:name="Bookmark_I5P5KKKC2HM63P0040000400"/>
      <w:bookmarkEnd w:id="6834"/>
      <w:r>
        <w:rPr>
          <w:rFonts w:ascii="Arial" w:eastAsia="Arial" w:hAnsi="Arial" w:cs="Arial"/>
          <w:i/>
          <w:color w:val="000000"/>
          <w:sz w:val="20"/>
        </w:rPr>
        <w:t>Id.</w:t>
      </w:r>
      <w:r>
        <w:rPr>
          <w:rFonts w:ascii="Arial" w:eastAsia="Arial" w:hAnsi="Arial" w:cs="Arial"/>
          <w:color w:val="000000"/>
          <w:sz w:val="20"/>
        </w:rPr>
        <w:t xml:space="preserve"> at 1082. </w:t>
      </w:r>
      <w:bookmarkStart w:id="6835" w:name="Bookmark_I5P5KKKC2SF8R70020000400"/>
      <w:bookmarkEnd w:id="6835"/>
      <w:r>
        <w:rPr>
          <w:rFonts w:ascii="Arial" w:eastAsia="Arial" w:hAnsi="Arial" w:cs="Arial"/>
          <w:color w:val="000000"/>
          <w:sz w:val="20"/>
        </w:rPr>
        <w:t xml:space="preserve">If the allegations in the complaint are true, Defendant would still sell cars and would still offer test drives to its customers. Plaintiff's complaint does not suggest that individually tailored controls would be required, nor does it suggest that Defendant's business model would have to accommodate on-demand, unscheduled test drives of modified cars, as Defendant argues. </w:t>
      </w:r>
      <w:bookmarkStart w:id="6836" w:name="Bookmark_I5P5KKKC2SF8R70020000400_2"/>
      <w:bookmarkEnd w:id="6836"/>
      <w:r>
        <w:rPr>
          <w:rFonts w:ascii="Arial" w:eastAsia="Arial" w:hAnsi="Arial" w:cs="Arial"/>
          <w:i/>
          <w:color w:val="000000"/>
          <w:sz w:val="20"/>
        </w:rPr>
        <w:t xml:space="preserve">Cf. </w:t>
      </w:r>
      <w:bookmarkStart w:id="6837" w:name="Bookmark_I5P5KKKC2SF8R70010000400"/>
      <w:bookmarkEnd w:id="6837"/>
      <w:r>
        <w:rPr>
          <w:rFonts w:ascii="Arial" w:eastAsia="Arial" w:hAnsi="Arial" w:cs="Arial"/>
          <w:i/>
          <w:color w:val="000000"/>
          <w:sz w:val="20"/>
        </w:rPr>
        <w:t>id.</w:t>
      </w:r>
      <w:r>
        <w:rPr>
          <w:rFonts w:ascii="Arial" w:eastAsia="Arial" w:hAnsi="Arial" w:cs="Arial"/>
          <w:color w:val="000000"/>
          <w:sz w:val="20"/>
        </w:rPr>
        <w:t xml:space="preserve"> at 1084 (holding that a modification to a seating policy at a movie theater would not fundamentally alter the theater's business).</w:t>
      </w:r>
    </w:p>
    <w:p w:rsidR="00E456CD" w:rsidRDefault="00000000">
      <w:pPr>
        <w:pStyle w:val="Normal44"/>
        <w:widowControl w:val="0"/>
        <w:spacing w:before="200" w:line="260" w:lineRule="atLeast"/>
        <w:jc w:val="both"/>
      </w:pPr>
      <w:bookmarkStart w:id="6838" w:name="Bookmark_para_31_21"/>
      <w:bookmarkEnd w:id="6838"/>
      <w:r>
        <w:rPr>
          <w:rFonts w:ascii="Arial" w:eastAsia="Arial" w:hAnsi="Arial" w:cs="Arial"/>
          <w:color w:val="000000"/>
          <w:sz w:val="20"/>
        </w:rPr>
        <w:t>In sum, taking the allegations in the complaint as true, Plaintiff has stated a claim that Defendant discriminated against him by failing to make a reasonable modification to a policy, practice, or procedure.</w:t>
      </w:r>
    </w:p>
    <w:p w:rsidR="00E456CD" w:rsidRDefault="00000000">
      <w:pPr>
        <w:pStyle w:val="Normal44"/>
        <w:widowControl w:val="0"/>
        <w:spacing w:before="200" w:line="260" w:lineRule="atLeast"/>
        <w:jc w:val="both"/>
      </w:pPr>
      <w:bookmarkStart w:id="6839" w:name="Bookmark_para_32_21"/>
      <w:bookmarkEnd w:id="6839"/>
      <w:r>
        <w:rPr>
          <w:rFonts w:ascii="Arial" w:eastAsia="Arial" w:hAnsi="Arial" w:cs="Arial"/>
          <w:color w:val="000000"/>
          <w:sz w:val="20"/>
        </w:rPr>
        <w:t>In his separate opinion, Judge Bybee objects to the foregoing analysis on a ground not advanced by Defendant. In particular, he worries that Defendant's policy of providing a test-driving privilege or service only to those persons capable [**13]  of using foot controls may not be a "polic[y], practice[], or procedure[]" under the ADA. His separate opinion does not cite any case—and we have found none—supporting its restrictive definition of "policies, practices, or procedures."</w:t>
      </w:r>
    </w:p>
    <w:p w:rsidR="00E456CD" w:rsidRDefault="00000000">
      <w:pPr>
        <w:pStyle w:val="Normal44"/>
        <w:widowControl w:val="0"/>
        <w:spacing w:before="200" w:line="260" w:lineRule="atLeast"/>
        <w:jc w:val="both"/>
      </w:pPr>
      <w:bookmarkStart w:id="6840" w:name="Bookmark_para_33_20"/>
      <w:bookmarkStart w:id="6841" w:name="Bookmark_I5P5KKKC2SF8R70040000400"/>
      <w:bookmarkStart w:id="6842" w:name="Bookmark_I5P5KKKC28T4JG0010000400"/>
      <w:bookmarkEnd w:id="6840"/>
      <w:bookmarkEnd w:id="6841"/>
      <w:bookmarkEnd w:id="6842"/>
      <w:r>
        <w:rPr>
          <w:rFonts w:ascii="Arial" w:eastAsia="Arial" w:hAnsi="Arial" w:cs="Arial"/>
          <w:color w:val="000000"/>
          <w:sz w:val="20"/>
        </w:rPr>
        <w:t xml:space="preserve">To the contrary, </w:t>
      </w:r>
      <w:bookmarkStart w:id="6843" w:name="Bookmark_LNHNREFclscc5_31"/>
      <w:bookmarkEnd w:id="6843"/>
      <w:r>
        <w:rPr>
          <w:rFonts w:ascii="Arial" w:eastAsia="Arial" w:hAnsi="Arial" w:cs="Arial"/>
          <w:color w:val="000000"/>
          <w:sz w:val="20"/>
        </w:rPr>
        <w:t xml:space="preserve">both the statute and our cases generally reject restrictive interpretations of the ADA. </w:t>
      </w:r>
      <w:r>
        <w:rPr>
          <w:rFonts w:ascii="Arial" w:eastAsia="Arial" w:hAnsi="Arial" w:cs="Arial"/>
          <w:i/>
          <w:color w:val="000000"/>
          <w:sz w:val="20"/>
        </w:rPr>
        <w:t>See, e.g.</w:t>
      </w:r>
      <w:r>
        <w:rPr>
          <w:rFonts w:ascii="Arial" w:eastAsia="Arial" w:hAnsi="Arial" w:cs="Arial"/>
          <w:color w:val="000000"/>
          <w:sz w:val="20"/>
        </w:rPr>
        <w:t xml:space="preserve">, 42 U.S.C. § 12101(b)(1) (the stated purpose of the Act is "to provide a clear and comprehensive national mandate for the elimination of discrimination against individuals with  [*1012]  disabilities"); </w:t>
      </w:r>
      <w:bookmarkStart w:id="6844" w:name="Bookmark_I5P5KKKC2SF8R70030000400"/>
      <w:bookmarkEnd w:id="6844"/>
      <w:r>
        <w:rPr>
          <w:rFonts w:ascii="Arial" w:eastAsia="Arial" w:hAnsi="Arial" w:cs="Arial"/>
          <w:i/>
          <w:color w:val="000000"/>
          <w:sz w:val="20"/>
        </w:rPr>
        <w:t>Cohen v. City of Culver City</w:t>
      </w:r>
      <w:r>
        <w:rPr>
          <w:rFonts w:ascii="Arial" w:eastAsia="Arial" w:hAnsi="Arial" w:cs="Arial"/>
          <w:color w:val="000000"/>
          <w:sz w:val="20"/>
        </w:rPr>
        <w:t xml:space="preserve">, 754 F.3d 690, 695 (9th Cir. 2014) ("We construe the language of the ADA broadly to advance its remedial purpose."). The principle of broad construction is particularly apt here. As noted above, </w:t>
      </w:r>
      <w:bookmarkStart w:id="6845" w:name="Bookmark_LNHNREFclscc6_28"/>
      <w:bookmarkEnd w:id="6845"/>
      <w:r>
        <w:rPr>
          <w:rFonts w:ascii="Arial" w:eastAsia="Arial" w:hAnsi="Arial" w:cs="Arial"/>
          <w:color w:val="000000"/>
          <w:sz w:val="20"/>
        </w:rPr>
        <w:t xml:space="preserve">§ 12182 begins with a "[g]eneral rule" in subsection (a) that "[n]o individual shall be discriminated against on the basis of disability . . . ." The "policies, practices, or procedures" text is found in subsection (b)(2)(A) which, by its clear terms, provides a non-exhaustive, illustrative list of certain actions that qualify as discrimination. </w:t>
      </w:r>
      <w:r>
        <w:rPr>
          <w:rFonts w:ascii="Arial" w:eastAsia="Arial" w:hAnsi="Arial" w:cs="Arial"/>
          <w:i/>
          <w:color w:val="000000"/>
          <w:sz w:val="20"/>
        </w:rPr>
        <w:t xml:space="preserve">See also </w:t>
      </w:r>
      <w:bookmarkStart w:id="6846" w:name="Bookmark_I5P5KKKC2SF8R70050000400"/>
      <w:bookmarkEnd w:id="6846"/>
      <w:r>
        <w:rPr>
          <w:rFonts w:ascii="Arial" w:eastAsia="Arial" w:hAnsi="Arial" w:cs="Arial"/>
          <w:i/>
          <w:color w:val="000000"/>
          <w:sz w:val="20"/>
        </w:rPr>
        <w:t>Spector v. Norwegian Cruise Line Ltd.</w:t>
      </w:r>
      <w:r>
        <w:rPr>
          <w:rFonts w:ascii="Arial" w:eastAsia="Arial" w:hAnsi="Arial" w:cs="Arial"/>
          <w:color w:val="000000"/>
          <w:sz w:val="20"/>
        </w:rPr>
        <w:t>, 545 U.S. 119, 128-29, 125 S. Ct. 2169, 162 L. Ed. 2d 97 (2005) (noting that the general non-discrimination rule in subsection (a) is "</w:t>
      </w:r>
      <w:r>
        <w:rPr>
          <w:rFonts w:ascii="Arial" w:eastAsia="Arial" w:hAnsi="Arial" w:cs="Arial"/>
          <w:i/>
          <w:color w:val="000000"/>
          <w:sz w:val="20"/>
        </w:rPr>
        <w:t>supplemented</w:t>
      </w:r>
      <w:r>
        <w:rPr>
          <w:rFonts w:ascii="Arial" w:eastAsia="Arial" w:hAnsi="Arial" w:cs="Arial"/>
          <w:color w:val="000000"/>
          <w:sz w:val="20"/>
        </w:rPr>
        <w:t xml:space="preserve"> by various, more specific requirements," such as those found in subsection (b)(2)(A) (emphasis added)). Against that backdrop, discrimination assuredly includes Defendant's [**14]  denial of a privilege to disabled persons, such as Plaintiff, when an allegedly simple, inexpensive, and temporary solution exists.</w:t>
      </w:r>
    </w:p>
    <w:p w:rsidR="00E456CD" w:rsidRDefault="00000000">
      <w:pPr>
        <w:pStyle w:val="Normal44"/>
        <w:widowControl w:val="0"/>
        <w:spacing w:before="200" w:line="260" w:lineRule="atLeast"/>
        <w:jc w:val="both"/>
      </w:pPr>
      <w:bookmarkStart w:id="6847" w:name="Bookmark_para_34_18"/>
      <w:bookmarkEnd w:id="6847"/>
      <w:r>
        <w:rPr>
          <w:rFonts w:ascii="Arial" w:eastAsia="Arial" w:hAnsi="Arial" w:cs="Arial"/>
          <w:color w:val="000000"/>
          <w:sz w:val="20"/>
        </w:rPr>
        <w:t xml:space="preserve">We disagree with the separate opinion that, under our interpretation, all ordinary "architectural barriers" claims may be recast as "policy or practice" claims. </w:t>
      </w:r>
      <w:bookmarkStart w:id="6848" w:name="Bookmark_LNHNREFclscc7_28"/>
      <w:bookmarkEnd w:id="6848"/>
      <w:r>
        <w:rPr>
          <w:rFonts w:ascii="Arial" w:eastAsia="Arial" w:hAnsi="Arial" w:cs="Arial"/>
          <w:color w:val="000000"/>
          <w:sz w:val="20"/>
        </w:rPr>
        <w:t>A permanent structural change to a building or surrounding fixtures, such as "[m]aking curb cuts in sidewalks and entrances," 28 C.F.R. § 36.304(b)(2), plainly qualifies as an "architectural barriers" claim. But it would defy ordinary usage to assert that cutting a permanent ramp into a sidewalk is a "modification" to a "policy." No matter how artfully drafted, the complaint would seek a permanent structural change in actual concrete. Not even creative lawyers ordinarily would describe such a change as a modification of a policy. Here, by contrast, Plaintiff seeks the temporary modification of a car for the purpose of a short test-drive, relief that fits comfortably within the ordinary understanding of a modification to a policy—perhaps explaining why Defendant did not challenge this aspect of Plaintiff's claim and why the Department of Justice filed an amicus brief urging us to find a viable "policy and practice" claim.</w:t>
      </w:r>
    </w:p>
    <w:p w:rsidR="00E456CD" w:rsidRDefault="00000000">
      <w:pPr>
        <w:pStyle w:val="Normal44"/>
        <w:widowControl w:val="0"/>
        <w:spacing w:before="200" w:line="260" w:lineRule="atLeast"/>
        <w:jc w:val="both"/>
      </w:pPr>
      <w:bookmarkStart w:id="6849" w:name="Bookmark_para_35_17"/>
      <w:bookmarkEnd w:id="6849"/>
      <w:r>
        <w:rPr>
          <w:rFonts w:ascii="Arial" w:eastAsia="Arial" w:hAnsi="Arial" w:cs="Arial"/>
          <w:color w:val="000000"/>
          <w:sz w:val="20"/>
        </w:rPr>
        <w:t>Moreover, [**15]  even assuming that some factual scenarios plausibly could fit within more than one of Congress' five illustrative examples of discrimination, we fail to see what problems that would cause. It is possible that Congress intended for the more specific definition to govern over the general definition; or perhaps Congress intended a plaintiff to be able to proceed under alternative theories of discrimination. But we need not address the issue of dueling definitions here because all of us—the majority and Judge Bybee—agree that the "architectural barriers" provision does not apply to Plaintiff's claim.</w:t>
      </w:r>
    </w:p>
    <w:p w:rsidR="00E456CD" w:rsidRDefault="00000000">
      <w:pPr>
        <w:pStyle w:val="Normal44"/>
        <w:widowControl w:val="0"/>
        <w:spacing w:before="200" w:line="260" w:lineRule="atLeast"/>
        <w:jc w:val="both"/>
      </w:pPr>
      <w:bookmarkStart w:id="6850" w:name="Bookmark_para_36_16"/>
      <w:bookmarkEnd w:id="6850"/>
      <w:r>
        <w:rPr>
          <w:rFonts w:ascii="Arial" w:eastAsia="Arial" w:hAnsi="Arial" w:cs="Arial"/>
          <w:color w:val="000000"/>
          <w:sz w:val="20"/>
        </w:rPr>
        <w:t>The separate opinion asserts that, if a court found that a plaintiff could proceed under both definitions, our opinion may have reduced the burden of proof because the "policy or practice" definition might be easier for plaintiffs to prove. Even if that were true, if Congress intended for both standards to apply, then we must give effect to that intent.</w:t>
      </w:r>
    </w:p>
    <w:p w:rsidR="00E456CD" w:rsidRDefault="00000000">
      <w:pPr>
        <w:pStyle w:val="Normal44"/>
        <w:widowControl w:val="0"/>
        <w:spacing w:before="200" w:line="260" w:lineRule="atLeast"/>
        <w:jc w:val="both"/>
      </w:pPr>
      <w:bookmarkStart w:id="6851" w:name="Bookmark_para_37_15"/>
      <w:bookmarkEnd w:id="6851"/>
      <w:r>
        <w:rPr>
          <w:rFonts w:ascii="Arial" w:eastAsia="Arial" w:hAnsi="Arial" w:cs="Arial"/>
          <w:color w:val="000000"/>
          <w:sz w:val="20"/>
        </w:rPr>
        <w:t xml:space="preserve">But we disagree with the premise that a "policy" claim is necessarily easier to prove than a "barriers" claim. </w:t>
      </w:r>
      <w:bookmarkStart w:id="6852" w:name="Bookmark_I5P5KKKC28T4JG0030000400"/>
      <w:bookmarkStart w:id="6853" w:name="Bookmark_LNHNREFclscc8_26"/>
      <w:bookmarkEnd w:id="6852"/>
      <w:bookmarkEnd w:id="6853"/>
      <w:r>
        <w:rPr>
          <w:rFonts w:ascii="Arial" w:eastAsia="Arial" w:hAnsi="Arial" w:cs="Arial"/>
          <w:color w:val="000000"/>
          <w:sz w:val="20"/>
        </w:rPr>
        <w:t xml:space="preserve">Nothing in the statute purports to subject the victims of architectural discrimination to a higher burden. The prima facie case for [**16]  "reasonableness" under the "policy" definition appears, for practical purposes, identical to the prima facie "readily achievable" inquiry under the "barriers" definition. </w:t>
      </w:r>
      <w:r>
        <w:rPr>
          <w:rFonts w:ascii="Arial" w:eastAsia="Arial" w:hAnsi="Arial" w:cs="Arial"/>
          <w:i/>
          <w:color w:val="000000"/>
          <w:sz w:val="20"/>
        </w:rPr>
        <w:t xml:space="preserve">Compare </w:t>
      </w:r>
      <w:bookmarkStart w:id="6854" w:name="Bookmark_I5P5KKKC28T4JG0020000400"/>
      <w:bookmarkEnd w:id="6854"/>
      <w:r>
        <w:rPr>
          <w:rFonts w:ascii="Arial" w:eastAsia="Arial" w:hAnsi="Arial" w:cs="Arial"/>
          <w:i/>
          <w:color w:val="000000"/>
          <w:sz w:val="20"/>
        </w:rPr>
        <w:t>Fortyune</w:t>
      </w:r>
      <w:r>
        <w:rPr>
          <w:rFonts w:ascii="Arial" w:eastAsia="Arial" w:hAnsi="Arial" w:cs="Arial"/>
          <w:color w:val="000000"/>
          <w:sz w:val="20"/>
        </w:rPr>
        <w:t xml:space="preserve">, 364 F.3d at 1083 (describing the "reasonableness" inquiry), </w:t>
      </w:r>
      <w:r>
        <w:rPr>
          <w:rFonts w:ascii="Arial" w:eastAsia="Arial" w:hAnsi="Arial" w:cs="Arial"/>
          <w:i/>
          <w:color w:val="000000"/>
          <w:sz w:val="20"/>
        </w:rPr>
        <w:t xml:space="preserve">with </w:t>
      </w:r>
      <w:bookmarkStart w:id="6855" w:name="Bookmark_I5P5KKKC28T4JG0040000400"/>
      <w:bookmarkEnd w:id="6855"/>
      <w:r>
        <w:rPr>
          <w:rFonts w:ascii="Arial" w:eastAsia="Arial" w:hAnsi="Arial" w:cs="Arial"/>
          <w:i/>
          <w:color w:val="000000"/>
          <w:sz w:val="20"/>
        </w:rPr>
        <w:t>Disabled Rights Action Comm. v. Las Vegas Events, Inc.</w:t>
      </w:r>
      <w:r>
        <w:rPr>
          <w:rFonts w:ascii="Arial" w:eastAsia="Arial" w:hAnsi="Arial" w:cs="Arial"/>
          <w:color w:val="000000"/>
          <w:sz w:val="20"/>
        </w:rPr>
        <w:t xml:space="preserve">, 375 F.3d 861, 879-80 (9th Cir. 2004) (describing the "readily achievable" inquiry). But a "policy" claim—and  [*1013]  not an "architectural barriers" claim—permits a defendant to assert an affirmative defense that "making such modifications would fundamentally alter the nature of such goods, services, facilities, privileges, advantages, or accommodations." 42 U.S.C. § 12182(b)(2)(A)(ii). Accordingly, if any practical difference exists, a "policy" claim is likely </w:t>
      </w:r>
      <w:r>
        <w:rPr>
          <w:rFonts w:ascii="Arial" w:eastAsia="Arial" w:hAnsi="Arial" w:cs="Arial"/>
          <w:i/>
          <w:color w:val="000000"/>
          <w:sz w:val="20"/>
        </w:rPr>
        <w:t>harder</w:t>
      </w:r>
      <w:r>
        <w:rPr>
          <w:rFonts w:ascii="Arial" w:eastAsia="Arial" w:hAnsi="Arial" w:cs="Arial"/>
          <w:color w:val="000000"/>
          <w:sz w:val="20"/>
        </w:rPr>
        <w:t xml:space="preserve"> to prove because a plaintiff may have to overcome an affirmative defense not available under the "barriers" definition.</w:t>
      </w:r>
    </w:p>
    <w:p w:rsidR="00E456CD" w:rsidRDefault="00000000">
      <w:pPr>
        <w:pStyle w:val="Normal44"/>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Architectural Barriers in Existing Facilities</w:t>
      </w:r>
    </w:p>
    <w:p w:rsidR="00E456CD" w:rsidRDefault="00000000">
      <w:pPr>
        <w:pStyle w:val="Normal44"/>
        <w:widowControl w:val="0"/>
        <w:spacing w:before="200" w:line="260" w:lineRule="atLeast"/>
        <w:jc w:val="both"/>
      </w:pPr>
      <w:bookmarkStart w:id="6856" w:name="Bookmark_para_38_15"/>
      <w:bookmarkEnd w:id="6856"/>
      <w:r>
        <w:rPr>
          <w:rFonts w:ascii="Arial" w:eastAsia="Arial" w:hAnsi="Arial" w:cs="Arial"/>
          <w:color w:val="000000"/>
          <w:sz w:val="20"/>
        </w:rPr>
        <w:t>Plaintiff also contends that Defendant's refusal to install vehicle hand controls constitutes "a failure to remove architectural barriers . . . in existing facilities."</w:t>
      </w:r>
      <w:r>
        <w:rPr>
          <w:rFonts w:ascii="Arial" w:eastAsia="Arial" w:hAnsi="Arial" w:cs="Arial"/>
          <w:vertAlign w:val="superscript"/>
        </w:rPr>
        <w:footnoteReference w:customMarkFollows="1" w:id="286"/>
        <w:t>2</w:t>
      </w:r>
      <w:r>
        <w:rPr>
          <w:rFonts w:ascii="Arial" w:eastAsia="Arial" w:hAnsi="Arial" w:cs="Arial"/>
          <w:color w:val="000000"/>
          <w:sz w:val="20"/>
        </w:rPr>
        <w:t xml:space="preserve"> 42 U.S.C. § 12182(b)(2)(A)(iv). In support, Plaintiff points to 28 C.F.R. § 36.304(a) and (b)(21). Section 36.304(a) states that "[a] public accommodation shall remove architectural barriers in existing facilities . . . where such removal is readily achievable." Section 36.304(b)(21) includes "[i]nstalling vehicle hand controls" as one of 21 " [**17] [e]xamples of steps to remove barriers." We conclude that the statutory provision does not apply in the circumstances of this case and that, therefore, the regulation cannot apply here.</w:t>
      </w:r>
    </w:p>
    <w:p w:rsidR="00E456CD" w:rsidRDefault="00000000">
      <w:pPr>
        <w:pStyle w:val="Normal44"/>
        <w:widowControl w:val="0"/>
        <w:spacing w:before="200" w:line="260" w:lineRule="atLeast"/>
        <w:jc w:val="both"/>
      </w:pPr>
      <w:bookmarkStart w:id="6858" w:name="Bookmark_para_39_15"/>
      <w:bookmarkStart w:id="6859" w:name="Bookmark_LNHNREFclscc9_21"/>
      <w:bookmarkEnd w:id="6858"/>
      <w:bookmarkEnd w:id="6859"/>
      <w:r>
        <w:rPr>
          <w:rFonts w:ascii="Arial" w:eastAsia="Arial" w:hAnsi="Arial" w:cs="Arial"/>
          <w:color w:val="000000"/>
          <w:sz w:val="20"/>
        </w:rPr>
        <w:t xml:space="preserve">The ADA repeatedly treats "facilities" and "goods" as distinct concepts when describing the reach of the statute—Congress generally intended to ensure full and equal enjoyment of "the </w:t>
      </w:r>
      <w:r>
        <w:rPr>
          <w:rFonts w:ascii="Arial" w:eastAsia="Arial" w:hAnsi="Arial" w:cs="Arial"/>
          <w:i/>
          <w:color w:val="000000"/>
          <w:sz w:val="20"/>
        </w:rPr>
        <w:t>goods</w:t>
      </w:r>
      <w:r>
        <w:rPr>
          <w:rFonts w:ascii="Arial" w:eastAsia="Arial" w:hAnsi="Arial" w:cs="Arial"/>
          <w:color w:val="000000"/>
          <w:sz w:val="20"/>
        </w:rPr>
        <w:t xml:space="preserve">, services, </w:t>
      </w:r>
      <w:r>
        <w:rPr>
          <w:rFonts w:ascii="Arial" w:eastAsia="Arial" w:hAnsi="Arial" w:cs="Arial"/>
          <w:i/>
          <w:color w:val="000000"/>
          <w:sz w:val="20"/>
        </w:rPr>
        <w:t>facilities</w:t>
      </w:r>
      <w:r>
        <w:rPr>
          <w:rFonts w:ascii="Arial" w:eastAsia="Arial" w:hAnsi="Arial" w:cs="Arial"/>
          <w:color w:val="000000"/>
          <w:sz w:val="20"/>
        </w:rPr>
        <w:t xml:space="preserve">, privileges, advantages, or accommodations" of qualified businesses. 42 U.S.C. § 12182(a) (emphases added); </w:t>
      </w:r>
      <w:r>
        <w:rPr>
          <w:rFonts w:ascii="Arial" w:eastAsia="Arial" w:hAnsi="Arial" w:cs="Arial"/>
          <w:i/>
          <w:color w:val="000000"/>
          <w:sz w:val="20"/>
        </w:rPr>
        <w:t>id.</w:t>
      </w:r>
      <w:r>
        <w:rPr>
          <w:rFonts w:ascii="Arial" w:eastAsia="Arial" w:hAnsi="Arial" w:cs="Arial"/>
          <w:color w:val="000000"/>
          <w:sz w:val="20"/>
        </w:rPr>
        <w:t xml:space="preserve"> § 12182(b)(1)(A)(i), (ii) &amp; (iii); </w:t>
      </w:r>
      <w:r>
        <w:rPr>
          <w:rFonts w:ascii="Arial" w:eastAsia="Arial" w:hAnsi="Arial" w:cs="Arial"/>
          <w:i/>
          <w:color w:val="000000"/>
          <w:sz w:val="20"/>
        </w:rPr>
        <w:t>id.</w:t>
      </w:r>
      <w:r>
        <w:rPr>
          <w:rFonts w:ascii="Arial" w:eastAsia="Arial" w:hAnsi="Arial" w:cs="Arial"/>
          <w:color w:val="000000"/>
          <w:sz w:val="20"/>
        </w:rPr>
        <w:t xml:space="preserve"> § 12182(b)(1)(B), (E); </w:t>
      </w:r>
      <w:r>
        <w:rPr>
          <w:rFonts w:ascii="Arial" w:eastAsia="Arial" w:hAnsi="Arial" w:cs="Arial"/>
          <w:i/>
          <w:color w:val="000000"/>
          <w:sz w:val="20"/>
        </w:rPr>
        <w:t>id.</w:t>
      </w:r>
      <w:r>
        <w:rPr>
          <w:rFonts w:ascii="Arial" w:eastAsia="Arial" w:hAnsi="Arial" w:cs="Arial"/>
          <w:color w:val="000000"/>
          <w:sz w:val="20"/>
        </w:rPr>
        <w:t xml:space="preserve"> § 12182(b)(2)(A)(i), (ii), (iii) &amp; (v); </w:t>
      </w:r>
      <w:r>
        <w:rPr>
          <w:rFonts w:ascii="Arial" w:eastAsia="Arial" w:hAnsi="Arial" w:cs="Arial"/>
          <w:i/>
          <w:color w:val="000000"/>
          <w:sz w:val="20"/>
        </w:rPr>
        <w:t>id.</w:t>
      </w:r>
      <w:r>
        <w:rPr>
          <w:rFonts w:ascii="Arial" w:eastAsia="Arial" w:hAnsi="Arial" w:cs="Arial"/>
          <w:color w:val="000000"/>
          <w:sz w:val="20"/>
        </w:rPr>
        <w:t xml:space="preserve"> § 12182(b)(3). But Congress limited this specific definition of discrimination to "architectural barriers . . . in existing </w:t>
      </w:r>
      <w:r>
        <w:rPr>
          <w:rFonts w:ascii="Arial" w:eastAsia="Arial" w:hAnsi="Arial" w:cs="Arial"/>
          <w:i/>
          <w:color w:val="000000"/>
          <w:sz w:val="20"/>
        </w:rPr>
        <w:t>facilities</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 12182(b)(2)(A)(iv) (emphasis added).</w:t>
      </w:r>
    </w:p>
    <w:p w:rsidR="00E456CD" w:rsidRDefault="00000000">
      <w:pPr>
        <w:pStyle w:val="Normal44"/>
        <w:widowControl w:val="0"/>
        <w:spacing w:before="200" w:line="260" w:lineRule="atLeast"/>
        <w:jc w:val="both"/>
      </w:pPr>
      <w:bookmarkStart w:id="6860" w:name="Bookmark_para_40_14"/>
      <w:bookmarkEnd w:id="6860"/>
      <w:r>
        <w:rPr>
          <w:rFonts w:ascii="Arial" w:eastAsia="Arial" w:hAnsi="Arial" w:cs="Arial"/>
          <w:color w:val="000000"/>
          <w:sz w:val="20"/>
        </w:rPr>
        <w:t xml:space="preserve">The "barrier" that Plaintiff has encountered cannot reasonably be described as an architectural barrier in an existing facility. The barrier that Plaintiff faced was the lack of hand controls in Defendant's cars, and the cars that Defendant offered for sale are clearly goods, not facilities. </w:t>
      </w:r>
      <w:r>
        <w:rPr>
          <w:rFonts w:ascii="Arial" w:eastAsia="Arial" w:hAnsi="Arial" w:cs="Arial"/>
          <w:i/>
          <w:color w:val="000000"/>
          <w:sz w:val="20"/>
        </w:rPr>
        <w:t>See, e. g.</w:t>
      </w:r>
      <w:r>
        <w:rPr>
          <w:rFonts w:ascii="Arial" w:eastAsia="Arial" w:hAnsi="Arial" w:cs="Arial"/>
          <w:color w:val="000000"/>
          <w:sz w:val="20"/>
        </w:rPr>
        <w:t xml:space="preserve">, Merriam-Webster Dictionary, https://www.merriam-webster.com/dictionary/goods (visited June 30, 2017) (defining "goods" as "something manufactured or produced for sale"). Commonly, by contrast, "facility" means the physical structure that enables (or facilitates) the business' overall mission. [**18]  </w:t>
      </w:r>
      <w:r>
        <w:rPr>
          <w:rFonts w:ascii="Arial" w:eastAsia="Arial" w:hAnsi="Arial" w:cs="Arial"/>
          <w:i/>
          <w:color w:val="000000"/>
          <w:sz w:val="20"/>
        </w:rPr>
        <w:t>See, e.g.</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at https://www.merriam-webster.com/dictionary/facility ("something (as a hospital) that is built, installed, or established to serve a particular purpose"). Similarly, the most common definition of "architecture" refers to "the art or practice of designing and building structures." </w:t>
      </w:r>
      <w:r>
        <w:rPr>
          <w:rFonts w:ascii="Arial" w:eastAsia="Arial" w:hAnsi="Arial" w:cs="Arial"/>
          <w:i/>
          <w:color w:val="000000"/>
          <w:sz w:val="20"/>
        </w:rPr>
        <w:t>Id.</w:t>
      </w:r>
      <w:r>
        <w:rPr>
          <w:rFonts w:ascii="Arial" w:eastAsia="Arial" w:hAnsi="Arial" w:cs="Arial"/>
          <w:color w:val="000000"/>
          <w:sz w:val="20"/>
        </w:rPr>
        <w:t xml:space="preserve"> at https://www.merriam-webster.com/dictionary/architecture; </w:t>
      </w:r>
      <w:r>
        <w:rPr>
          <w:rFonts w:ascii="Arial" w:eastAsia="Arial" w:hAnsi="Arial" w:cs="Arial"/>
          <w:i/>
          <w:color w:val="000000"/>
          <w:sz w:val="20"/>
        </w:rPr>
        <w:t>see also</w:t>
      </w:r>
      <w:r>
        <w:rPr>
          <w:rFonts w:ascii="Arial" w:eastAsia="Arial" w:hAnsi="Arial" w:cs="Arial"/>
          <w:color w:val="000000"/>
          <w:sz w:val="20"/>
        </w:rPr>
        <w:t xml:space="preserve"> Oxford English Dictionary, http://www.oed.com/view/Entry/10408 (visited June 30, 2017) (defining "architecture" as "[t]he art or science of building or constructing edifices of any kind for human use"). </w:t>
      </w:r>
      <w:bookmarkStart w:id="6861" w:name="Bookmark_LNHNREFclscc10_19"/>
      <w:bookmarkEnd w:id="6861"/>
      <w:r>
        <w:rPr>
          <w:rFonts w:ascii="Arial" w:eastAsia="Arial" w:hAnsi="Arial" w:cs="Arial"/>
          <w:color w:val="000000"/>
          <w:sz w:val="20"/>
        </w:rPr>
        <w:t>Read as a whole, the phrase—"architectural barriers in existing facilities"—most naturally encompasses a business' buildings and surrounding grounds. It would stretch the ordinary meaning of the phrase too far—and it would conflict with Congress' choice to limit the reach of the "architectural barriers" provision to "facilities" only, and not to "goods"—if we interpreted the phrase, "architectural  [*1014]  barriers in existing facilities," to include the lack of hand controls on Defendant's cars.</w:t>
      </w:r>
    </w:p>
    <w:p w:rsidR="00E456CD" w:rsidRDefault="00000000">
      <w:pPr>
        <w:pStyle w:val="Normal44"/>
        <w:widowControl w:val="0"/>
        <w:spacing w:before="200" w:line="260" w:lineRule="atLeast"/>
        <w:jc w:val="both"/>
      </w:pPr>
      <w:bookmarkStart w:id="6862" w:name="Bookmark_para_41_13"/>
      <w:bookmarkStart w:id="6863" w:name="Bookmark_I1JNTCM19RJ000PYJ7C0003B"/>
      <w:bookmarkStart w:id="6864" w:name="Bookmark_I5P5KKKC2N1RP00020000400"/>
      <w:bookmarkStart w:id="6865" w:name="Bookmark_LNHNREFclscc11_17"/>
      <w:bookmarkEnd w:id="6862"/>
      <w:bookmarkEnd w:id="6863"/>
      <w:bookmarkEnd w:id="6864"/>
      <w:bookmarkEnd w:id="6865"/>
      <w:r>
        <w:rPr>
          <w:rFonts w:ascii="Arial" w:eastAsia="Arial" w:hAnsi="Arial" w:cs="Arial"/>
          <w:color w:val="000000"/>
          <w:sz w:val="20"/>
        </w:rPr>
        <w:t xml:space="preserve">At the first step of the </w:t>
      </w:r>
      <w:r>
        <w:rPr>
          <w:rFonts w:ascii="Arial" w:eastAsia="Arial" w:hAnsi="Arial" w:cs="Arial"/>
          <w:i/>
          <w:color w:val="000000"/>
          <w:sz w:val="20"/>
        </w:rPr>
        <w:t>Chevron</w:t>
      </w:r>
      <w:r>
        <w:rPr>
          <w:rFonts w:ascii="Arial" w:eastAsia="Arial" w:hAnsi="Arial" w:cs="Arial"/>
          <w:color w:val="000000"/>
          <w:sz w:val="20"/>
        </w:rPr>
        <w:t xml:space="preserve"> analysis, we ask "whether Congress has directly spoken to the precise question at issue. </w:t>
      </w:r>
      <w:bookmarkStart w:id="6866" w:name="Bookmark_I5P5KKKC2N1RP00040000400"/>
      <w:bookmarkEnd w:id="6866"/>
      <w:r>
        <w:rPr>
          <w:rFonts w:ascii="Arial" w:eastAsia="Arial" w:hAnsi="Arial" w:cs="Arial"/>
          <w:color w:val="000000"/>
          <w:sz w:val="20"/>
        </w:rPr>
        <w:t xml:space="preserve">If the intent of Congress is clear, that is the end of the matter . . . ." </w:t>
      </w:r>
      <w:bookmarkStart w:id="6867" w:name="Bookmark_I5P5KKKC2N1RP00010000400"/>
      <w:bookmarkEnd w:id="6867"/>
      <w:r>
        <w:rPr>
          <w:rFonts w:ascii="Arial" w:eastAsia="Arial" w:hAnsi="Arial" w:cs="Arial"/>
          <w:i/>
          <w:color w:val="000000"/>
          <w:sz w:val="20"/>
        </w:rPr>
        <w:t>Chevron U.S.A. Inc. v. Nat. Res. Def. Council, Inc.</w:t>
      </w:r>
      <w:r>
        <w:rPr>
          <w:rFonts w:ascii="Arial" w:eastAsia="Arial" w:hAnsi="Arial" w:cs="Arial"/>
          <w:color w:val="000000"/>
          <w:sz w:val="20"/>
        </w:rPr>
        <w:t xml:space="preserve">, 467 U.S. 837, 842, 104 S. Ct. 2778, 81 L. Ed. 2d 694 (1984). For the reasons stated above, congressional intent is clear: The provision regulating [**19]  "architectural barriers in . . . existing facilities" plainly does not apply to Plaintiff's claim. </w:t>
      </w:r>
      <w:bookmarkStart w:id="6868" w:name="Bookmark_I5P5KKKC2N1RP00040000400_2"/>
      <w:bookmarkEnd w:id="6868"/>
      <w:r>
        <w:rPr>
          <w:rFonts w:ascii="Arial" w:eastAsia="Arial" w:hAnsi="Arial" w:cs="Arial"/>
          <w:color w:val="000000"/>
          <w:sz w:val="20"/>
        </w:rPr>
        <w:t xml:space="preserve">But even if the statute were ambiguous, at step two we conclude that, for the same reasons, the agency's construction is not "based on a permissible construction of the statute." </w:t>
      </w:r>
      <w:bookmarkStart w:id="6869" w:name="Bookmark_I5P5KKKC2N1RP00030000400"/>
      <w:bookmarkEnd w:id="6869"/>
      <w:r>
        <w:rPr>
          <w:rFonts w:ascii="Arial" w:eastAsia="Arial" w:hAnsi="Arial" w:cs="Arial"/>
          <w:i/>
          <w:color w:val="000000"/>
          <w:sz w:val="20"/>
        </w:rPr>
        <w:t>Id.</w:t>
      </w:r>
      <w:r>
        <w:rPr>
          <w:rFonts w:ascii="Arial" w:eastAsia="Arial" w:hAnsi="Arial" w:cs="Arial"/>
          <w:color w:val="000000"/>
          <w:sz w:val="20"/>
        </w:rPr>
        <w:t xml:space="preserve"> at 843. Accordingly, </w:t>
      </w:r>
      <w:bookmarkStart w:id="6870" w:name="Bookmark_LNHNREFclscc12_15"/>
      <w:bookmarkEnd w:id="6870"/>
      <w:r>
        <w:rPr>
          <w:rFonts w:ascii="Arial" w:eastAsia="Arial" w:hAnsi="Arial" w:cs="Arial"/>
          <w:color w:val="000000"/>
          <w:sz w:val="20"/>
        </w:rPr>
        <w:t>the implementing regulation describing the temporary installation of vehicle hand controls as an example of removing an architectural barrier in an existing facility, 28 C.F.R. § 36.304(b)(21), is inapplicable to Plaintiff's claim.</w:t>
      </w:r>
      <w:r>
        <w:rPr>
          <w:rFonts w:ascii="Arial" w:eastAsia="Arial" w:hAnsi="Arial" w:cs="Arial"/>
          <w:vertAlign w:val="superscript"/>
        </w:rPr>
        <w:footnoteReference w:customMarkFollows="1" w:id="287"/>
        <w:t>3</w:t>
      </w:r>
    </w:p>
    <w:p w:rsidR="00E456CD" w:rsidRDefault="00000000">
      <w:pPr>
        <w:pStyle w:val="Normal44"/>
        <w:widowControl w:val="0"/>
        <w:spacing w:before="120" w:line="260" w:lineRule="atLeast"/>
      </w:pPr>
      <w:r>
        <w:rPr>
          <w:rFonts w:ascii="Arial" w:eastAsia="Arial" w:hAnsi="Arial" w:cs="Arial"/>
          <w:color w:val="000000"/>
          <w:sz w:val="20"/>
        </w:rPr>
        <w:t xml:space="preserve">C. </w:t>
      </w:r>
      <w:r>
        <w:rPr>
          <w:rFonts w:ascii="Arial" w:eastAsia="Arial" w:hAnsi="Arial" w:cs="Arial"/>
          <w:i/>
          <w:color w:val="000000"/>
          <w:sz w:val="20"/>
        </w:rPr>
        <w:t>Additional Implementing Regulations</w:t>
      </w:r>
    </w:p>
    <w:p w:rsidR="00E456CD" w:rsidRDefault="00000000">
      <w:pPr>
        <w:pStyle w:val="Normal44"/>
        <w:widowControl w:val="0"/>
        <w:spacing w:before="200" w:line="260" w:lineRule="atLeast"/>
        <w:jc w:val="both"/>
      </w:pPr>
      <w:bookmarkStart w:id="6872" w:name="Bookmark_para_42_12"/>
      <w:bookmarkEnd w:id="6872"/>
      <w:r>
        <w:rPr>
          <w:rFonts w:ascii="Arial" w:eastAsia="Arial" w:hAnsi="Arial" w:cs="Arial"/>
          <w:color w:val="000000"/>
          <w:sz w:val="20"/>
        </w:rPr>
        <w:t>Defendant argues that, even if the text of the ADA is broad enough to encompass Plaintiff's claim, two of the implementing regulations independently preclude his statutory claim. We disagree.</w:t>
      </w:r>
    </w:p>
    <w:p w:rsidR="00E456CD" w:rsidRDefault="00000000">
      <w:pPr>
        <w:pStyle w:val="Normal44"/>
        <w:widowControl w:val="0"/>
        <w:spacing w:before="200" w:line="260" w:lineRule="atLeast"/>
        <w:jc w:val="both"/>
      </w:pPr>
      <w:bookmarkStart w:id="6873" w:name="Bookmark_para_43_10"/>
      <w:bookmarkEnd w:id="6873"/>
      <w:r>
        <w:rPr>
          <w:rFonts w:ascii="Arial" w:eastAsia="Arial" w:hAnsi="Arial" w:cs="Arial"/>
          <w:color w:val="000000"/>
          <w:sz w:val="20"/>
        </w:rPr>
        <w:t>Defendant first points to 28 C.F.R. § 36.307(a), which states:</w:t>
      </w:r>
    </w:p>
    <w:p w:rsidR="00E456CD" w:rsidRDefault="00000000">
      <w:pPr>
        <w:pStyle w:val="Normal44"/>
        <w:widowControl w:val="0"/>
        <w:spacing w:line="260" w:lineRule="atLeast"/>
        <w:ind w:left="400"/>
        <w:jc w:val="both"/>
      </w:pPr>
      <w:bookmarkStart w:id="6874" w:name="Bookmark_para_44_10"/>
      <w:bookmarkEnd w:id="6874"/>
      <w:r>
        <w:rPr>
          <w:rFonts w:ascii="Arial" w:eastAsia="Arial" w:hAnsi="Arial" w:cs="Arial"/>
          <w:color w:val="000000"/>
          <w:sz w:val="20"/>
        </w:rPr>
        <w:t>This part does not require a public accommodation to alter its inventory to include accessible or special goods that are designed for, or facilitate use by, individuals with disabilities.</w:t>
      </w:r>
    </w:p>
    <w:p w:rsidR="00E456CD" w:rsidRDefault="00000000">
      <w:pPr>
        <w:pStyle w:val="Normal44"/>
        <w:widowControl w:val="0"/>
        <w:spacing w:before="200" w:line="260" w:lineRule="atLeast"/>
        <w:jc w:val="both"/>
      </w:pPr>
      <w:r>
        <w:rPr>
          <w:rFonts w:ascii="Arial" w:eastAsia="Arial" w:hAnsi="Arial" w:cs="Arial"/>
          <w:color w:val="000000"/>
          <w:sz w:val="20"/>
        </w:rPr>
        <w:t>Defendant reasons that installing temporary vehicle hand controls will alter the vehicles that it sells, its vehicles for sale constitute its inventory, and Plaintiff's claim therefore fails. Although Defendant's argument appears plausible at first [**20]  blush, it does not withstand scrutiny.</w:t>
      </w:r>
    </w:p>
    <w:p w:rsidR="00E456CD" w:rsidRDefault="00000000">
      <w:pPr>
        <w:pStyle w:val="Normal44"/>
        <w:widowControl w:val="0"/>
        <w:spacing w:before="200" w:line="260" w:lineRule="atLeast"/>
        <w:jc w:val="both"/>
      </w:pPr>
      <w:bookmarkStart w:id="6875" w:name="Bookmark_para_45_10"/>
      <w:bookmarkStart w:id="6876" w:name="Bookmark_LNHNREFclscc13_12"/>
      <w:bookmarkEnd w:id="6875"/>
      <w:bookmarkEnd w:id="6876"/>
      <w:r>
        <w:rPr>
          <w:rFonts w:ascii="Arial" w:eastAsia="Arial" w:hAnsi="Arial" w:cs="Arial"/>
          <w:color w:val="000000"/>
          <w:sz w:val="20"/>
        </w:rPr>
        <w:t xml:space="preserve">The term "inventory" in this regulation means the business' set of items comprising its inventory as a whole—it does not mean each individual item in the inventory. The usual meaning of "inventory" is "an itemized list of current assets: such as (1) a catalog of the property of an individual or estate [or] (2) a list of goods on hand." Merriam-Webster Dictionary. And contextually, it is plain that Congress used "inventory" in this ordinary sense. The regulation concerns when a business must "alter its inventory </w:t>
      </w:r>
      <w:r>
        <w:rPr>
          <w:rFonts w:ascii="Arial" w:eastAsia="Arial" w:hAnsi="Arial" w:cs="Arial"/>
          <w:i/>
          <w:color w:val="000000"/>
          <w:sz w:val="20"/>
        </w:rPr>
        <w:t>to include accessible or special goods</w:t>
      </w:r>
      <w:r>
        <w:rPr>
          <w:rFonts w:ascii="Arial" w:eastAsia="Arial" w:hAnsi="Arial" w:cs="Arial"/>
          <w:color w:val="000000"/>
          <w:sz w:val="20"/>
        </w:rPr>
        <w:t xml:space="preserve">." 28 C.F.R. § 36.307(a) (emphasis added). Similarly, the next subsection of the regulation creates an exception to the general rule by requiring that a "public accommodation shall </w:t>
      </w:r>
      <w:r>
        <w:rPr>
          <w:rFonts w:ascii="Arial" w:eastAsia="Arial" w:hAnsi="Arial" w:cs="Arial"/>
          <w:i/>
          <w:color w:val="000000"/>
          <w:sz w:val="20"/>
        </w:rPr>
        <w:t>order</w:t>
      </w:r>
      <w:r>
        <w:rPr>
          <w:rFonts w:ascii="Arial" w:eastAsia="Arial" w:hAnsi="Arial" w:cs="Arial"/>
          <w:color w:val="000000"/>
          <w:sz w:val="20"/>
        </w:rPr>
        <w:t xml:space="preserve"> accessible or special goods" in some circumstances. </w:t>
      </w:r>
      <w:bookmarkStart w:id="6877" w:name="Bookmark_I1JNTCM43J4000PYJ7C00041"/>
      <w:bookmarkStart w:id="6878" w:name="Bookmark_I5P5KKKC2HM63S0010000400"/>
      <w:bookmarkEnd w:id="6877"/>
      <w:bookmarkEnd w:id="6878"/>
      <w:r>
        <w:rPr>
          <w:rFonts w:ascii="Arial" w:eastAsia="Arial" w:hAnsi="Arial" w:cs="Arial"/>
          <w:i/>
          <w:color w:val="000000"/>
          <w:sz w:val="20"/>
        </w:rPr>
        <w:t>Id.</w:t>
      </w:r>
      <w:r>
        <w:rPr>
          <w:rFonts w:ascii="Arial" w:eastAsia="Arial" w:hAnsi="Arial" w:cs="Arial"/>
          <w:color w:val="000000"/>
          <w:sz w:val="20"/>
        </w:rPr>
        <w:t xml:space="preserve"> § 36.307(b) (emphasis added). The regulation thus pertains to the circumstances in which a business must order additional goods; it does not speak to Plaintiff's requested accommodation—a temporary, short-term modification to an existing individual item already contained in Defendant's inventory. The district court in </w:t>
      </w:r>
      <w:bookmarkStart w:id="6879" w:name="Bookmark_I5P5KKKC2N1RP00050000400"/>
      <w:bookmarkEnd w:id="6879"/>
      <w:r>
        <w:rPr>
          <w:rFonts w:ascii="Arial" w:eastAsia="Arial" w:hAnsi="Arial" w:cs="Arial"/>
          <w:i/>
          <w:color w:val="000000"/>
          <w:sz w:val="20"/>
        </w:rPr>
        <w:t>Funches</w:t>
      </w:r>
      <w:r>
        <w:rPr>
          <w:rFonts w:ascii="Arial" w:eastAsia="Arial" w:hAnsi="Arial" w:cs="Arial"/>
          <w:color w:val="000000"/>
          <w:sz w:val="20"/>
        </w:rPr>
        <w:t xml:space="preserve">, 2016 U.S. Dist. LEXIS 66589, 2016 WL 2939165, at *6, provided a helpful summary: "While places of public accommodation are generally [**21]  not required to alter their inventories by manufacturing or ordering specialty goods, they </w:t>
      </w:r>
      <w:r>
        <w:rPr>
          <w:rFonts w:ascii="Arial" w:eastAsia="Arial" w:hAnsi="Arial" w:cs="Arial"/>
          <w:i/>
          <w:color w:val="000000"/>
          <w:sz w:val="20"/>
        </w:rPr>
        <w:t>are</w:t>
      </w:r>
      <w:r>
        <w:rPr>
          <w:rFonts w:ascii="Arial" w:eastAsia="Arial" w:hAnsi="Arial" w:cs="Arial"/>
          <w:color w:val="000000"/>
          <w:sz w:val="20"/>
        </w:rPr>
        <w:t xml:space="preserve"> required to make reasonable, temporary adjustments  [*1015]  to goods already in stock if doing so will help disabled customers access the same goods and services as non-disabled customers."</w:t>
      </w:r>
    </w:p>
    <w:p w:rsidR="00E456CD" w:rsidRDefault="00000000">
      <w:pPr>
        <w:pStyle w:val="Normal44"/>
        <w:widowControl w:val="0"/>
        <w:spacing w:before="200" w:line="260" w:lineRule="atLeast"/>
        <w:jc w:val="both"/>
      </w:pPr>
      <w:bookmarkStart w:id="6880" w:name="Bookmark_para_46_9"/>
      <w:bookmarkEnd w:id="6880"/>
      <w:r>
        <w:rPr>
          <w:rFonts w:ascii="Arial" w:eastAsia="Arial" w:hAnsi="Arial" w:cs="Arial"/>
          <w:color w:val="000000"/>
          <w:sz w:val="20"/>
        </w:rPr>
        <w:t>Defendant next points to 28 C.F.R. § 36.306, which states:</w:t>
      </w:r>
    </w:p>
    <w:p w:rsidR="00E456CD" w:rsidRDefault="00000000">
      <w:pPr>
        <w:pStyle w:val="Normal44"/>
        <w:widowControl w:val="0"/>
        <w:spacing w:line="260" w:lineRule="atLeast"/>
        <w:ind w:left="400"/>
        <w:jc w:val="both"/>
      </w:pPr>
      <w:bookmarkStart w:id="6881" w:name="Bookmark_para_47_9"/>
      <w:bookmarkEnd w:id="6881"/>
      <w:r>
        <w:rPr>
          <w:rFonts w:ascii="Arial" w:eastAsia="Arial" w:hAnsi="Arial" w:cs="Arial"/>
          <w:color w:val="000000"/>
          <w:sz w:val="20"/>
        </w:rPr>
        <w:t>This part does not require a public accommodation to provide its customers, clients, or participants with personal devices, such as wheelchairs; individually prescribed devices, such as prescription eyeglasses or hearing aids; or services of a personal nature including assistance in eating, toileting, or dressing.</w:t>
      </w:r>
    </w:p>
    <w:p w:rsidR="00E456CD" w:rsidRDefault="00000000">
      <w:pPr>
        <w:pStyle w:val="Normal44"/>
        <w:widowControl w:val="0"/>
        <w:spacing w:line="260" w:lineRule="atLeast"/>
        <w:jc w:val="both"/>
      </w:pPr>
      <w:r>
        <w:rPr>
          <w:rFonts w:ascii="Arial" w:eastAsia="Arial" w:hAnsi="Arial" w:cs="Arial"/>
          <w:color w:val="000000"/>
          <w:sz w:val="20"/>
        </w:rPr>
        <w:t>Defendant reads that regulation to create a categorical rule precluding any claim under the ADA that would require public accommodations to provide "personal devices." Defendant then asserts that, because vehicle hand controls are "personal devices" within the meaning of the regulation, Plaintiff's claim fails. For the reasons that follow, we are not persuaded.</w:t>
      </w:r>
    </w:p>
    <w:p w:rsidR="00E456CD" w:rsidRDefault="00000000">
      <w:pPr>
        <w:pStyle w:val="Normal44"/>
        <w:widowControl w:val="0"/>
        <w:spacing w:before="200" w:line="260" w:lineRule="atLeast"/>
        <w:jc w:val="both"/>
      </w:pPr>
      <w:bookmarkStart w:id="6882" w:name="Bookmark_para_48_9"/>
      <w:bookmarkEnd w:id="6882"/>
      <w:r>
        <w:rPr>
          <w:rFonts w:ascii="Arial" w:eastAsia="Arial" w:hAnsi="Arial" w:cs="Arial"/>
          <w:color w:val="000000"/>
          <w:sz w:val="20"/>
        </w:rPr>
        <w:t xml:space="preserve">The phrase "personal devices" is flexible enough that it could describe </w:t>
      </w:r>
      <w:r>
        <w:rPr>
          <w:rFonts w:ascii="Arial" w:eastAsia="Arial" w:hAnsi="Arial" w:cs="Arial"/>
          <w:i/>
          <w:color w:val="000000"/>
          <w:sz w:val="20"/>
        </w:rPr>
        <w:t>all</w:t>
      </w:r>
      <w:r>
        <w:rPr>
          <w:rFonts w:ascii="Arial" w:eastAsia="Arial" w:hAnsi="Arial" w:cs="Arial"/>
          <w:color w:val="000000"/>
          <w:sz w:val="20"/>
        </w:rPr>
        <w:t xml:space="preserve"> devices that one uses personally—encompassing wheelchairs, prescription eyeglasses, and hearing aids, but also steering wheels, door [**22]  handles, turn-signal levers, gearshifts, radio knobs, brake pedals, and accelerators. Under that broad definition, vehicle hand controls, like vehicle foot controls, would qualify as "personal devices" because a driver uses the controls personally.</w:t>
      </w:r>
    </w:p>
    <w:p w:rsidR="00E456CD" w:rsidRDefault="00000000">
      <w:pPr>
        <w:pStyle w:val="Normal44"/>
        <w:widowControl w:val="0"/>
        <w:spacing w:before="200" w:line="260" w:lineRule="atLeast"/>
        <w:jc w:val="both"/>
      </w:pPr>
      <w:bookmarkStart w:id="6883" w:name="Bookmark_para_49_8"/>
      <w:bookmarkEnd w:id="6883"/>
      <w:r>
        <w:rPr>
          <w:rFonts w:ascii="Arial" w:eastAsia="Arial" w:hAnsi="Arial" w:cs="Arial"/>
          <w:color w:val="000000"/>
          <w:sz w:val="20"/>
        </w:rPr>
        <w:t xml:space="preserve">But if we were to adopt such a broad definition of "personal devices," it would cause a conflict in the regulations. In particular, 28 C.F.R. § 36.303 requires businesses, in certain circumstances, to provide many devices that a customer uses personally. For example, § 36.303(g) requires movie theaters to provide "audio description devices," which aurally describe to the patron the action occurring on the big screen; and the same regulation requires movie theaters to provide "captioning devices," which visually depict the movie's auditory features, such as dialogue. Those devices are used personally by customers. </w:t>
      </w:r>
      <w:r>
        <w:rPr>
          <w:rFonts w:ascii="Arial" w:eastAsia="Arial" w:hAnsi="Arial" w:cs="Arial"/>
          <w:i/>
          <w:color w:val="000000"/>
          <w:sz w:val="20"/>
        </w:rPr>
        <w:t>See id.</w:t>
      </w:r>
      <w:r>
        <w:rPr>
          <w:rFonts w:ascii="Arial" w:eastAsia="Arial" w:hAnsi="Arial" w:cs="Arial"/>
          <w:color w:val="000000"/>
          <w:sz w:val="20"/>
        </w:rPr>
        <w:t xml:space="preserve"> § 36.303(g)(1)(iii) &amp; (iv) (describing the devices as "the individual device that a patron may use at any seat"). Thus, under a broad reading of "personal devices," the regulations conflict: One regulation flatly prohibits devices-used-personally, and a nearby regulation details many devices-used-personally that businesses must provide.</w:t>
      </w:r>
    </w:p>
    <w:p w:rsidR="00E456CD" w:rsidRDefault="00000000">
      <w:pPr>
        <w:pStyle w:val="Normal44"/>
        <w:widowControl w:val="0"/>
        <w:spacing w:before="200" w:line="260" w:lineRule="atLeast"/>
        <w:jc w:val="both"/>
      </w:pPr>
      <w:bookmarkStart w:id="6884" w:name="Bookmark_para_50_8"/>
      <w:bookmarkStart w:id="6885" w:name="Bookmark_LNHNREFclscc14_10"/>
      <w:bookmarkEnd w:id="6884"/>
      <w:bookmarkEnd w:id="6885"/>
      <w:r>
        <w:rPr>
          <w:rFonts w:ascii="Arial" w:eastAsia="Arial" w:hAnsi="Arial" w:cs="Arial"/>
          <w:color w:val="000000"/>
          <w:sz w:val="20"/>
        </w:rPr>
        <w:t>When confronted with an irreconcilable [**23]  conflict in two legal provisions, we may apply the interpretive principle that the specific governs over the general. In essence, the general rule applies unless a more specific rule provides otherwise. Applied here, that principle would operate to carve out an exception to the general prohibition on "personal devices" whenever the regulations elsewhere required the provision of "personal devices." Although that interpretation appears plausible at first blush, we are persuaded that the agency did not intend that legalistic analysis.</w:t>
      </w:r>
    </w:p>
    <w:p w:rsidR="00E456CD" w:rsidRDefault="00000000">
      <w:pPr>
        <w:pStyle w:val="Normal44"/>
        <w:widowControl w:val="0"/>
        <w:spacing w:before="200" w:line="260" w:lineRule="atLeast"/>
        <w:jc w:val="both"/>
      </w:pPr>
      <w:bookmarkStart w:id="6886" w:name="Bookmark_para_51_8"/>
      <w:bookmarkStart w:id="6887" w:name="Bookmark_I5P5KKKC2HM63S0030000400"/>
      <w:bookmarkEnd w:id="6886"/>
      <w:bookmarkEnd w:id="6887"/>
      <w:r>
        <w:rPr>
          <w:rFonts w:ascii="Arial" w:eastAsia="Arial" w:hAnsi="Arial" w:cs="Arial"/>
          <w:color w:val="000000"/>
          <w:sz w:val="20"/>
        </w:rPr>
        <w:t xml:space="preserve">The conflict here is not subtle or abstract: One regulation </w:t>
      </w:r>
      <w:r>
        <w:rPr>
          <w:rFonts w:ascii="Arial" w:eastAsia="Arial" w:hAnsi="Arial" w:cs="Arial"/>
          <w:i/>
          <w:color w:val="000000"/>
          <w:sz w:val="20"/>
        </w:rPr>
        <w:t>forbids</w:t>
      </w:r>
      <w:r>
        <w:rPr>
          <w:rFonts w:ascii="Arial" w:eastAsia="Arial" w:hAnsi="Arial" w:cs="Arial"/>
          <w:color w:val="000000"/>
          <w:sz w:val="20"/>
        </w:rPr>
        <w:t xml:space="preserve"> all "personal devices," and a nearby regulation </w:t>
      </w:r>
      <w:r>
        <w:rPr>
          <w:rFonts w:ascii="Arial" w:eastAsia="Arial" w:hAnsi="Arial" w:cs="Arial"/>
          <w:i/>
          <w:color w:val="000000"/>
          <w:sz w:val="20"/>
        </w:rPr>
        <w:t>requires</w:t>
      </w:r>
      <w:r>
        <w:rPr>
          <w:rFonts w:ascii="Arial" w:eastAsia="Arial" w:hAnsi="Arial" w:cs="Arial"/>
          <w:color w:val="000000"/>
          <w:sz w:val="20"/>
        </w:rPr>
        <w:t xml:space="preserve"> some "personal devices." </w:t>
      </w:r>
      <w:r>
        <w:rPr>
          <w:rFonts w:ascii="Arial" w:eastAsia="Arial" w:hAnsi="Arial" w:cs="Arial"/>
          <w:i/>
          <w:color w:val="000000"/>
          <w:sz w:val="20"/>
        </w:rPr>
        <w:t xml:space="preserve">Cf. </w:t>
      </w:r>
      <w:bookmarkStart w:id="6888" w:name="Bookmark_I5P5KKKC2HM63S0020000400"/>
      <w:bookmarkEnd w:id="6888"/>
      <w:r>
        <w:rPr>
          <w:rFonts w:ascii="Arial" w:eastAsia="Arial" w:hAnsi="Arial" w:cs="Arial"/>
          <w:i/>
          <w:color w:val="000000"/>
          <w:sz w:val="20"/>
        </w:rPr>
        <w:t>Nat'l Ass'n of Home Builders v. San Joaquin Valley Unified Air Pollution Control Dist.</w:t>
      </w:r>
      <w:r>
        <w:rPr>
          <w:rFonts w:ascii="Arial" w:eastAsia="Arial" w:hAnsi="Arial" w:cs="Arial"/>
          <w:color w:val="000000"/>
          <w:sz w:val="20"/>
        </w:rPr>
        <w:t>, 627 F.3d 730, 737 (9th Cir. 2010) ("It would be odd if the Act took away . . . with one hand what it granted with the other."). Reading § 36.306 to encompass all devices-used-personally thus requires adding an implicit qualifier—"Except as otherwise provided in this part"—to § 36.306: "</w:t>
      </w:r>
      <w:r>
        <w:rPr>
          <w:rFonts w:ascii="Arial" w:eastAsia="Arial" w:hAnsi="Arial" w:cs="Arial"/>
          <w:i/>
          <w:color w:val="000000"/>
          <w:sz w:val="20"/>
        </w:rPr>
        <w:t>Except as otherwise provided in this part</w:t>
      </w:r>
      <w:r>
        <w:rPr>
          <w:rFonts w:ascii="Arial" w:eastAsia="Arial" w:hAnsi="Arial" w:cs="Arial"/>
          <w:color w:val="000000"/>
          <w:sz w:val="20"/>
        </w:rPr>
        <w:t xml:space="preserve">, this part does not require a public accommodation to provide . . . personal devices . . . ." But the agency clearly knew  [*1016]  how to write its regulations in that fashion. For example, § 36.103(a) states: "Except as otherwise provided in this [**24]  part, this part shall not be construed [in a certain way]." Similarly, § 36.508(a) states: "Except as otherwise provided in this section and in this part, this part shall become effective on January 26, 1992." We do not think that the agency would have added an </w:t>
      </w:r>
      <w:r>
        <w:rPr>
          <w:rFonts w:ascii="Arial" w:eastAsia="Arial" w:hAnsi="Arial" w:cs="Arial"/>
          <w:i/>
          <w:color w:val="000000"/>
          <w:sz w:val="20"/>
        </w:rPr>
        <w:t>explicit</w:t>
      </w:r>
      <w:r>
        <w:rPr>
          <w:rFonts w:ascii="Arial" w:eastAsia="Arial" w:hAnsi="Arial" w:cs="Arial"/>
          <w:color w:val="000000"/>
          <w:sz w:val="20"/>
        </w:rPr>
        <w:t xml:space="preserve"> qualification to other regulations while at the same time leaving it up to the courts to read an </w:t>
      </w:r>
      <w:r>
        <w:rPr>
          <w:rFonts w:ascii="Arial" w:eastAsia="Arial" w:hAnsi="Arial" w:cs="Arial"/>
          <w:i/>
          <w:color w:val="000000"/>
          <w:sz w:val="20"/>
        </w:rPr>
        <w:t>implicit</w:t>
      </w:r>
      <w:r>
        <w:rPr>
          <w:rFonts w:ascii="Arial" w:eastAsia="Arial" w:hAnsi="Arial" w:cs="Arial"/>
          <w:color w:val="000000"/>
          <w:sz w:val="20"/>
        </w:rPr>
        <w:t xml:space="preserve"> qualification into this particular regulation.</w:t>
      </w:r>
    </w:p>
    <w:p w:rsidR="00E456CD" w:rsidRDefault="00000000">
      <w:pPr>
        <w:pStyle w:val="Normal44"/>
        <w:widowControl w:val="0"/>
        <w:spacing w:before="200" w:line="260" w:lineRule="atLeast"/>
        <w:jc w:val="both"/>
      </w:pPr>
      <w:bookmarkStart w:id="6889" w:name="Bookmark_para_52_8"/>
      <w:bookmarkStart w:id="6890" w:name="Bookmark_I5P5KKKC2HM63S0050000400"/>
      <w:bookmarkStart w:id="6891" w:name="Bookmark_I5P5KKKC2N1RP10020000400"/>
      <w:bookmarkStart w:id="6892" w:name="Bookmark_I5P5KKKC2N1RP10040000400"/>
      <w:bookmarkStart w:id="6893" w:name="Bookmark_LNHNREFclscc15_9"/>
      <w:bookmarkEnd w:id="6889"/>
      <w:bookmarkEnd w:id="6890"/>
      <w:bookmarkEnd w:id="6891"/>
      <w:bookmarkEnd w:id="6892"/>
      <w:bookmarkEnd w:id="6893"/>
      <w:r>
        <w:rPr>
          <w:rFonts w:ascii="Arial" w:eastAsia="Arial" w:hAnsi="Arial" w:cs="Arial"/>
          <w:color w:val="000000"/>
          <w:sz w:val="20"/>
        </w:rPr>
        <w:t xml:space="preserve">Rather than reading § 36.306 in a way that conflicts with § 36.303, we read the regulations in harmony. In other words, we apply "the familiar rule of construction that, </w:t>
      </w:r>
      <w:bookmarkStart w:id="6894" w:name="Bookmark_LNHNREFclscc16_9"/>
      <w:bookmarkEnd w:id="6894"/>
      <w:r>
        <w:rPr>
          <w:rFonts w:ascii="Arial" w:eastAsia="Arial" w:hAnsi="Arial" w:cs="Arial"/>
          <w:color w:val="000000"/>
          <w:sz w:val="20"/>
        </w:rPr>
        <w:t xml:space="preserve">where possible, provisions of a [regulation] should be read so as not to create a conflict." </w:t>
      </w:r>
      <w:bookmarkStart w:id="6895" w:name="Bookmark_I5P5KKKC2HM63S0040000400"/>
      <w:bookmarkEnd w:id="6895"/>
      <w:r>
        <w:rPr>
          <w:rFonts w:ascii="Arial" w:eastAsia="Arial" w:hAnsi="Arial" w:cs="Arial"/>
          <w:i/>
          <w:color w:val="000000"/>
          <w:sz w:val="20"/>
        </w:rPr>
        <w:t>La. Pub. Serv. Comm'n v. FCC</w:t>
      </w:r>
      <w:r>
        <w:rPr>
          <w:rFonts w:ascii="Arial" w:eastAsia="Arial" w:hAnsi="Arial" w:cs="Arial"/>
          <w:color w:val="000000"/>
          <w:sz w:val="20"/>
        </w:rPr>
        <w:t>, 476 U.S. 355, 370, 106 S. Ct. 1890, 90 L. Ed. 2d 369 (1986).</w:t>
      </w:r>
      <w:r>
        <w:rPr>
          <w:rFonts w:ascii="Arial" w:eastAsia="Arial" w:hAnsi="Arial" w:cs="Arial"/>
          <w:vertAlign w:val="superscript"/>
        </w:rPr>
        <w:footnoteReference w:customMarkFollows="1" w:id="288"/>
        <w:t>4</w:t>
      </w:r>
      <w:r>
        <w:rPr>
          <w:rFonts w:ascii="Arial" w:eastAsia="Arial" w:hAnsi="Arial" w:cs="Arial"/>
          <w:color w:val="000000"/>
          <w:sz w:val="20"/>
        </w:rPr>
        <w:t xml:space="preserve"> The examples of devices listed in the regulation—wheelchairs, prescription eyeglasses, and hearing aids—suggest a narrower definition. </w:t>
      </w:r>
      <w:r>
        <w:rPr>
          <w:rFonts w:ascii="Arial" w:eastAsia="Arial" w:hAnsi="Arial" w:cs="Arial"/>
          <w:i/>
          <w:color w:val="000000"/>
          <w:sz w:val="20"/>
        </w:rPr>
        <w:t xml:space="preserve">Cf. </w:t>
      </w:r>
      <w:bookmarkStart w:id="6898" w:name="Bookmark_I5P5KKKC2N1RP10010000400"/>
      <w:bookmarkEnd w:id="6898"/>
      <w:r>
        <w:rPr>
          <w:rFonts w:ascii="Arial" w:eastAsia="Arial" w:hAnsi="Arial" w:cs="Arial"/>
          <w:i/>
          <w:color w:val="000000"/>
          <w:sz w:val="20"/>
        </w:rPr>
        <w:t>Yates v. United States</w:t>
      </w:r>
      <w:r>
        <w:rPr>
          <w:rFonts w:ascii="Arial" w:eastAsia="Arial" w:hAnsi="Arial" w:cs="Arial"/>
          <w:color w:val="000000"/>
          <w:sz w:val="20"/>
        </w:rPr>
        <w:t>, 135 S. Ct. 1074, 1085, 191 L. Ed. 2d 64 (2015) ("a word is known by the company it keeps"). All of those devices are independently useful objects that a person possesses for a general purpose. Understood in that manner, the two regulations do not conflict, because the devices listed in § 36.303 do not meet that definition. For example, the audio and visual devices described above have no utility by themselves; they must be coordinated with the showing [**25]  of the film.</w:t>
      </w:r>
    </w:p>
    <w:p w:rsidR="00E456CD" w:rsidRDefault="00000000">
      <w:pPr>
        <w:pStyle w:val="Normal44"/>
        <w:widowControl w:val="0"/>
        <w:spacing w:before="200" w:line="260" w:lineRule="atLeast"/>
        <w:jc w:val="both"/>
      </w:pPr>
      <w:bookmarkStart w:id="6899" w:name="Bookmark_para_53_8"/>
      <w:bookmarkEnd w:id="6899"/>
      <w:r>
        <w:rPr>
          <w:rFonts w:ascii="Arial" w:eastAsia="Arial" w:hAnsi="Arial" w:cs="Arial"/>
          <w:color w:val="000000"/>
          <w:sz w:val="20"/>
        </w:rPr>
        <w:t>This narrower interpretation of "personal devices" comports with the overall purpose of the ADA to require businesses to accommodate persons with disabilities whenever doing so is reasonable. From a practical standpoint, it would make little sense to require all businesses to make available, for example, wheelchairs or a wide array of prescription eyeglasses. It is far more practical, and consistent with the intent of the ADA, to expect a person in need of such a general-purpose device to possess one.</w:t>
      </w:r>
    </w:p>
    <w:p w:rsidR="00E456CD" w:rsidRDefault="00000000">
      <w:pPr>
        <w:pStyle w:val="Normal44"/>
        <w:widowControl w:val="0"/>
        <w:spacing w:before="200" w:line="260" w:lineRule="atLeast"/>
        <w:jc w:val="both"/>
      </w:pPr>
      <w:bookmarkStart w:id="6900" w:name="Bookmark_para_54_8"/>
      <w:bookmarkEnd w:id="6900"/>
      <w:r>
        <w:rPr>
          <w:rFonts w:ascii="Arial" w:eastAsia="Arial" w:hAnsi="Arial" w:cs="Arial"/>
          <w:color w:val="000000"/>
          <w:sz w:val="20"/>
        </w:rPr>
        <w:t xml:space="preserve">The same reasoning yields the opposite result with respect to specialized devices that must be installed or coordinated with a business' system. For example, it would make little sense to require all persons with hearing disabilities to possess a captioning device that may or may not work with a particular movie theater's captioning system. </w:t>
      </w:r>
      <w:bookmarkStart w:id="6901" w:name="Bookmark_I5P5KKKC2D6MV90010000400"/>
      <w:bookmarkEnd w:id="6901"/>
      <w:r>
        <w:rPr>
          <w:rFonts w:ascii="Arial" w:eastAsia="Arial" w:hAnsi="Arial" w:cs="Arial"/>
          <w:color w:val="000000"/>
          <w:sz w:val="20"/>
        </w:rPr>
        <w:t xml:space="preserve">Instead, it makes far more sense to expect a business to provide the personal receivers that work with the theater's system. Indeed, the agency made that intent clear when it promulgated these regulations. </w:t>
      </w:r>
      <w:r>
        <w:rPr>
          <w:rFonts w:ascii="Arial" w:eastAsia="Arial" w:hAnsi="Arial" w:cs="Arial"/>
          <w:i/>
          <w:color w:val="000000"/>
          <w:sz w:val="20"/>
        </w:rPr>
        <w:t>See</w:t>
      </w:r>
      <w:r>
        <w:rPr>
          <w:rFonts w:ascii="Arial" w:eastAsia="Arial" w:hAnsi="Arial" w:cs="Arial"/>
          <w:color w:val="000000"/>
          <w:sz w:val="20"/>
        </w:rPr>
        <w:t xml:space="preserve"> </w:t>
      </w:r>
      <w:bookmarkStart w:id="6902" w:name="Bookmark_I5P5KKKC2N1RP10050000400"/>
      <w:bookmarkEnd w:id="6902"/>
      <w:r>
        <w:rPr>
          <w:rFonts w:ascii="Arial" w:eastAsia="Arial" w:hAnsi="Arial" w:cs="Arial"/>
          <w:color w:val="000000"/>
          <w:sz w:val="20"/>
        </w:rPr>
        <w:t>Nondiscrimination on the Basis of Disability by Public Accommodations and in Commercial Facilities, 35 Fed. Reg. 35544-01, 35,571 (July 26, 1991) ("[T]his section [§ 36.306] does not preclude the short-term loan of personal receivers that are part of an assistive [**26]  listening system.").</w:t>
      </w:r>
    </w:p>
    <w:p w:rsidR="00E456CD" w:rsidRDefault="00000000">
      <w:pPr>
        <w:pStyle w:val="Normal44"/>
        <w:widowControl w:val="0"/>
        <w:spacing w:before="200" w:line="260" w:lineRule="atLeast"/>
        <w:jc w:val="both"/>
      </w:pPr>
      <w:bookmarkStart w:id="6903" w:name="Bookmark_para_55_8"/>
      <w:bookmarkEnd w:id="6903"/>
      <w:r>
        <w:rPr>
          <w:rFonts w:ascii="Arial" w:eastAsia="Arial" w:hAnsi="Arial" w:cs="Arial"/>
          <w:color w:val="000000"/>
          <w:sz w:val="20"/>
        </w:rPr>
        <w:t>The same analysis applies to vehicle hand controls. It makes little sense to require a person to possess a spare set of hand controls—of a brand that a dealership may or may not know how to install—simply for the few occasions in the person's lifetime when he or she wants to test-drive a car. It is far more practical to require dealerships that voluntarily offer the privilege or service of test-drives to  [*1017]  carry hand controls—of a brand that the dealership knows how to install—for use when a customer seeks a test-drive (assuming, of course, that providing hand controls is "reasonable" and that the other statutory requirements are met).</w:t>
      </w:r>
    </w:p>
    <w:p w:rsidR="00E456CD" w:rsidRDefault="00000000">
      <w:pPr>
        <w:pStyle w:val="Normal44"/>
        <w:widowControl w:val="0"/>
        <w:spacing w:before="200" w:line="260" w:lineRule="atLeast"/>
        <w:jc w:val="both"/>
      </w:pPr>
      <w:bookmarkStart w:id="6904" w:name="Bookmark_para_56_8"/>
      <w:bookmarkEnd w:id="6904"/>
      <w:r>
        <w:rPr>
          <w:rFonts w:ascii="Arial" w:eastAsia="Arial" w:hAnsi="Arial" w:cs="Arial"/>
          <w:color w:val="000000"/>
          <w:sz w:val="20"/>
        </w:rPr>
        <w:t>In sum, our narrower reading of "personal devices" in § 36.306 is more consistent with the overall structure of the regulations and with the purpose of the ADA. Accordingly, § 36.306 does not preclude Plaintiff's claim.</w:t>
      </w:r>
    </w:p>
    <w:p w:rsidR="00E456CD" w:rsidRDefault="00000000">
      <w:pPr>
        <w:pStyle w:val="Normal44"/>
        <w:widowControl w:val="0"/>
        <w:spacing w:before="120" w:line="260" w:lineRule="atLeast"/>
      </w:pPr>
      <w:r>
        <w:rPr>
          <w:rFonts w:ascii="Arial" w:eastAsia="Arial" w:hAnsi="Arial" w:cs="Arial"/>
          <w:color w:val="000000"/>
          <w:sz w:val="20"/>
        </w:rPr>
        <w:t>CONCLUSION</w:t>
      </w:r>
    </w:p>
    <w:p w:rsidR="00E456CD" w:rsidRDefault="00000000">
      <w:pPr>
        <w:pStyle w:val="Normal44"/>
        <w:widowControl w:val="0"/>
        <w:spacing w:before="200" w:line="260" w:lineRule="atLeast"/>
        <w:jc w:val="both"/>
      </w:pPr>
      <w:bookmarkStart w:id="6905" w:name="Bookmark_para_57_8"/>
      <w:bookmarkEnd w:id="6905"/>
      <w:r>
        <w:rPr>
          <w:rFonts w:ascii="Arial" w:eastAsia="Arial" w:hAnsi="Arial" w:cs="Arial"/>
          <w:color w:val="000000"/>
          <w:sz w:val="20"/>
        </w:rPr>
        <w:t xml:space="preserve">Plaintiff has stated a claim under 42 U.S.C. § 12182(a) and (b)(2)(A)(ii), and nothing in the implementing regulations categorically precludes that claim. We reiterate the limited nature of our holding, which necessarily assumes the truth of Plaintiff's allegations. For many car dealerships, the accommodation of installing temporary vehicle hand controls may prove to be unreasonably [**27]  burdensome. But we cannot conclude that the ADA categorically precludes a claim that a car dealership must provide hand controls for test drives, which necessarily would encompass situations in which the provision of hand controls would be reasonable. </w:t>
      </w:r>
      <w:bookmarkStart w:id="6906" w:name="Bookmark_I5P5KKKC2D6MV90030000400"/>
      <w:bookmarkEnd w:id="6906"/>
      <w:r>
        <w:rPr>
          <w:rFonts w:ascii="Arial" w:eastAsia="Arial" w:hAnsi="Arial" w:cs="Arial"/>
          <w:color w:val="000000"/>
          <w:sz w:val="20"/>
        </w:rPr>
        <w:t xml:space="preserve">For example, the installation of vehicle hand controls is likely reasonable at a large dealership that regularly installs hand controls, has spare universal hand controls on hand, and employs many mechanics with expertise in installing hand controls, when advance notice is given by a customer with clear expertise in using hand controls. Rather than interpreting the ADA </w:t>
      </w:r>
      <w:r>
        <w:rPr>
          <w:rFonts w:ascii="Arial" w:eastAsia="Arial" w:hAnsi="Arial" w:cs="Arial"/>
          <w:i/>
          <w:color w:val="000000"/>
          <w:sz w:val="20"/>
        </w:rPr>
        <w:t>never</w:t>
      </w:r>
      <w:r>
        <w:rPr>
          <w:rFonts w:ascii="Arial" w:eastAsia="Arial" w:hAnsi="Arial" w:cs="Arial"/>
          <w:color w:val="000000"/>
          <w:sz w:val="20"/>
        </w:rPr>
        <w:t xml:space="preserve"> to require the provision of vehicle hand controls, no matter the situation, we conclude that it is more consistent with the text of the ADA, with the Act's overall intent, and with our caselaw, to inquire into the underlying facts. </w:t>
      </w:r>
      <w:r>
        <w:rPr>
          <w:rFonts w:ascii="Arial" w:eastAsia="Arial" w:hAnsi="Arial" w:cs="Arial"/>
          <w:i/>
          <w:color w:val="000000"/>
          <w:sz w:val="20"/>
        </w:rPr>
        <w:t xml:space="preserve">See, e.g., </w:t>
      </w:r>
      <w:bookmarkStart w:id="6907" w:name="Bookmark_I5P5KKKC2D6MV90020000400"/>
      <w:bookmarkEnd w:id="6907"/>
      <w:r>
        <w:rPr>
          <w:rFonts w:ascii="Arial" w:eastAsia="Arial" w:hAnsi="Arial" w:cs="Arial"/>
          <w:i/>
          <w:color w:val="000000"/>
          <w:sz w:val="20"/>
        </w:rPr>
        <w:t>Baughman</w:t>
      </w:r>
      <w:r>
        <w:rPr>
          <w:rFonts w:ascii="Arial" w:eastAsia="Arial" w:hAnsi="Arial" w:cs="Arial"/>
          <w:color w:val="000000"/>
          <w:sz w:val="20"/>
        </w:rPr>
        <w:t>, 685 F.3d at 1135 ("Public accommodations must start by considering how their facilities are used by non-disabled guests and then take reasonable steps to provide disabled guests with a like experience.").</w:t>
      </w:r>
    </w:p>
    <w:p w:rsidR="00E456CD" w:rsidRDefault="00000000">
      <w:pPr>
        <w:pStyle w:val="Normal44"/>
        <w:widowControl w:val="0"/>
        <w:spacing w:before="200" w:line="260" w:lineRule="atLeast"/>
        <w:jc w:val="both"/>
      </w:pPr>
      <w:bookmarkStart w:id="6908" w:name="Bookmark_para_58_8"/>
      <w:bookmarkEnd w:id="6908"/>
      <w:r>
        <w:rPr>
          <w:rFonts w:ascii="Arial" w:eastAsia="Arial" w:hAnsi="Arial" w:cs="Arial"/>
          <w:b/>
          <w:color w:val="000000"/>
          <w:sz w:val="20"/>
        </w:rPr>
        <w:t>REVERSED and REMANDED</w:t>
      </w:r>
      <w:r>
        <w:rPr>
          <w:rFonts w:ascii="Arial" w:eastAsia="Arial" w:hAnsi="Arial" w:cs="Arial"/>
          <w:color w:val="000000"/>
          <w:sz w:val="20"/>
        </w:rPr>
        <w:t>.</w:t>
      </w:r>
    </w:p>
    <w:p w:rsidR="00E456CD" w:rsidRDefault="00000000">
      <w:pPr>
        <w:pStyle w:val="Normal44"/>
        <w:widowControl w:val="0"/>
        <w:spacing w:before="240" w:line="260" w:lineRule="atLeast"/>
      </w:pPr>
      <w:bookmarkStart w:id="6909" w:name="Concur_by_0"/>
      <w:bookmarkEnd w:id="6909"/>
      <w:r>
        <w:rPr>
          <w:rFonts w:ascii="Arial" w:eastAsia="Arial" w:hAnsi="Arial" w:cs="Arial"/>
          <w:b/>
          <w:color w:val="000000"/>
          <w:sz w:val="20"/>
        </w:rPr>
        <w:t>Concur by:</w:t>
      </w:r>
      <w:r>
        <w:rPr>
          <w:rFonts w:ascii="Arial" w:eastAsia="Arial" w:hAnsi="Arial" w:cs="Arial"/>
          <w:color w:val="000000"/>
          <w:sz w:val="20"/>
        </w:rPr>
        <w:t> BYBEE</w:t>
      </w:r>
    </w:p>
    <w:p w:rsidR="00E456CD" w:rsidRDefault="00000000">
      <w:pPr>
        <w:pStyle w:val="Normal44"/>
        <w:keepNext/>
        <w:widowControl w:val="0"/>
        <w:spacing w:before="240" w:line="340" w:lineRule="atLeast"/>
      </w:pPr>
      <w:bookmarkStart w:id="6910" w:name="Concur_0"/>
      <w:bookmarkEnd w:id="6910"/>
      <w:r>
        <w:rPr>
          <w:rFonts w:ascii="Arial" w:eastAsia="Arial" w:hAnsi="Arial" w:cs="Arial"/>
          <w:b/>
          <w:color w:val="000000"/>
          <w:sz w:val="28"/>
        </w:rPr>
        <w:t>Concur</w:t>
      </w:r>
    </w:p>
    <w:p w:rsidR="00E456CD" w:rsidRDefault="00E22289">
      <w:pPr>
        <w:pStyle w:val="Normal44"/>
        <w:spacing w:line="60" w:lineRule="exact"/>
      </w:pPr>
      <w:r>
        <w:rPr>
          <w:noProof/>
        </w:rPr>
        <mc:AlternateContent>
          <mc:Choice Requires="wps">
            <w:drawing>
              <wp:anchor distT="0" distB="0" distL="114300" distR="114300" simplePos="0" relativeHeight="25175347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753945157"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06FBA" id="Line 96"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4"/>
      </w:pPr>
    </w:p>
    <w:p w:rsidR="00E456CD" w:rsidRDefault="00000000">
      <w:pPr>
        <w:pStyle w:val="Normal44"/>
        <w:widowControl w:val="0"/>
        <w:spacing w:before="200" w:line="260" w:lineRule="atLeast"/>
        <w:jc w:val="both"/>
      </w:pPr>
      <w:bookmarkStart w:id="6911" w:name="Bookmark_para_59_8"/>
      <w:bookmarkEnd w:id="6911"/>
      <w:r>
        <w:rPr>
          <w:rFonts w:ascii="Arial" w:eastAsia="Arial" w:hAnsi="Arial" w:cs="Arial"/>
          <w:color w:val="000000"/>
          <w:sz w:val="20"/>
        </w:rPr>
        <w:t xml:space="preserve">BYBEE, Circuit Judge, acquiescing </w:t>
      </w:r>
      <w:r>
        <w:rPr>
          <w:rFonts w:ascii="Arial" w:eastAsia="Arial" w:hAnsi="Arial" w:cs="Arial"/>
          <w:i/>
          <w:color w:val="000000"/>
          <w:sz w:val="20"/>
        </w:rPr>
        <w:t>dubitante</w:t>
      </w:r>
      <w:r>
        <w:rPr>
          <w:rFonts w:ascii="Arial" w:eastAsia="Arial" w:hAnsi="Arial" w:cs="Arial"/>
          <w:color w:val="000000"/>
          <w:sz w:val="20"/>
        </w:rPr>
        <w:t>:</w:t>
      </w:r>
    </w:p>
    <w:p w:rsidR="00E456CD" w:rsidRDefault="00000000">
      <w:pPr>
        <w:pStyle w:val="Normal44"/>
        <w:widowControl w:val="0"/>
        <w:spacing w:before="200" w:line="260" w:lineRule="atLeast"/>
        <w:jc w:val="both"/>
      </w:pPr>
      <w:bookmarkStart w:id="6912" w:name="Bookmark_para_60_8"/>
      <w:bookmarkEnd w:id="6912"/>
      <w:r>
        <w:rPr>
          <w:rFonts w:ascii="Arial" w:eastAsia="Arial" w:hAnsi="Arial" w:cs="Arial"/>
          <w:color w:val="000000"/>
          <w:sz w:val="20"/>
        </w:rPr>
        <w:t xml:space="preserve">The Old Testament prophet Elijah once asked the people of Samaria, "How [**28]  long halt ye between two opinions?" 1 </w:t>
      </w:r>
      <w:r>
        <w:rPr>
          <w:rFonts w:ascii="Arial" w:eastAsia="Arial" w:hAnsi="Arial" w:cs="Arial"/>
          <w:i/>
          <w:color w:val="000000"/>
          <w:sz w:val="20"/>
        </w:rPr>
        <w:t>Kings</w:t>
      </w:r>
      <w:r>
        <w:rPr>
          <w:rFonts w:ascii="Arial" w:eastAsia="Arial" w:hAnsi="Arial" w:cs="Arial"/>
          <w:color w:val="000000"/>
          <w:sz w:val="20"/>
        </w:rPr>
        <w:t xml:space="preserve"> 18:21 (King James). Like the ancient inhabitants of the Northern Kingdom, I find myself in the perplexing situation of having halted between two opinions—because I am neither able to join the majority opinion nor have I been able to write a full-throated dissent. Recognizing that it isn't any better a place to be today than it was in Elijah's day (but also admitting that his audience had weightier questions on their minds than questions of statutory interpretation), it is nevertheless the place in which I find myself. I acquiesce in the judgment, but </w:t>
      </w:r>
      <w:r>
        <w:rPr>
          <w:rFonts w:ascii="Arial" w:eastAsia="Arial" w:hAnsi="Arial" w:cs="Arial"/>
          <w:i/>
          <w:color w:val="000000"/>
          <w:sz w:val="20"/>
        </w:rPr>
        <w:t>dubitante</w:t>
      </w:r>
      <w:r>
        <w:rPr>
          <w:rFonts w:ascii="Arial" w:eastAsia="Arial" w:hAnsi="Arial" w:cs="Arial"/>
          <w:color w:val="000000"/>
          <w:sz w:val="20"/>
        </w:rPr>
        <w:t>.</w:t>
      </w:r>
      <w:r>
        <w:rPr>
          <w:rFonts w:ascii="Arial" w:eastAsia="Arial" w:hAnsi="Arial" w:cs="Arial"/>
          <w:vertAlign w:val="superscript"/>
        </w:rPr>
        <w:footnoteReference w:customMarkFollows="1" w:id="289"/>
        <w:t>1</w:t>
      </w:r>
    </w:p>
    <w:p w:rsidR="00E456CD" w:rsidRDefault="00000000">
      <w:pPr>
        <w:pStyle w:val="Normal44"/>
        <w:widowControl w:val="0"/>
        <w:spacing w:before="240" w:line="260" w:lineRule="atLeast"/>
      </w:pPr>
      <w:r>
        <w:br/>
      </w:r>
      <w:r>
        <w:rPr>
          <w:rFonts w:ascii="Arial" w:eastAsia="Arial" w:hAnsi="Arial" w:cs="Arial"/>
          <w:color w:val="000000"/>
          <w:sz w:val="20"/>
        </w:rPr>
        <w:t> [*1018]  I</w:t>
      </w:r>
    </w:p>
    <w:p w:rsidR="00E456CD" w:rsidRDefault="00000000">
      <w:pPr>
        <w:pStyle w:val="Normal44"/>
        <w:widowControl w:val="0"/>
        <w:spacing w:before="200" w:line="260" w:lineRule="atLeast"/>
        <w:jc w:val="both"/>
      </w:pPr>
      <w:bookmarkStart w:id="6917" w:name="Bookmark_para_61_8"/>
      <w:bookmarkEnd w:id="6917"/>
      <w:r>
        <w:rPr>
          <w:rFonts w:ascii="Arial" w:eastAsia="Arial" w:hAnsi="Arial" w:cs="Arial"/>
          <w:color w:val="000000"/>
          <w:sz w:val="20"/>
        </w:rPr>
        <w:t xml:space="preserve">I am going to start in a different place from the majority. I wish to begin with the plaintiff's sole issue on appeal: Whether we must defer to DOJ's regulation requiring that car dealers "[i]nstall[] vehicle hand controls," 28 C.F.R. § 36.304(b)(21), as a reasonable construction of the ADA. For its part as </w:t>
      </w:r>
      <w:r>
        <w:rPr>
          <w:rFonts w:ascii="Arial" w:eastAsia="Arial" w:hAnsi="Arial" w:cs="Arial"/>
          <w:i/>
          <w:color w:val="000000"/>
          <w:sz w:val="20"/>
        </w:rPr>
        <w:t>amicus</w:t>
      </w:r>
      <w:r>
        <w:rPr>
          <w:rFonts w:ascii="Arial" w:eastAsia="Arial" w:hAnsi="Arial" w:cs="Arial"/>
          <w:color w:val="000000"/>
          <w:sz w:val="20"/>
        </w:rPr>
        <w:t xml:space="preserve">, DOJ argues that its regulation on vehicle hand controls was the "most applicable regulation" whose "plain language" means that "the absence of hand controls in a vehicle is a physical barrier that a [**29]  public accommodation must remedy under Title III." Brief for the United States as </w:t>
      </w:r>
      <w:r>
        <w:rPr>
          <w:rFonts w:ascii="Arial" w:eastAsia="Arial" w:hAnsi="Arial" w:cs="Arial"/>
          <w:i/>
          <w:color w:val="000000"/>
          <w:sz w:val="20"/>
        </w:rPr>
        <w:t>Amicus Curiae</w:t>
      </w:r>
      <w:r>
        <w:rPr>
          <w:rFonts w:ascii="Arial" w:eastAsia="Arial" w:hAnsi="Arial" w:cs="Arial"/>
          <w:color w:val="000000"/>
          <w:sz w:val="20"/>
        </w:rPr>
        <w:t xml:space="preserve"> 10-13, ECF No. 22.</w:t>
      </w:r>
    </w:p>
    <w:p w:rsidR="00E456CD" w:rsidRDefault="00000000">
      <w:pPr>
        <w:pStyle w:val="Normal44"/>
        <w:widowControl w:val="0"/>
        <w:spacing w:before="200" w:line="260" w:lineRule="atLeast"/>
        <w:jc w:val="both"/>
      </w:pPr>
      <w:bookmarkStart w:id="6918" w:name="Bookmark_para_62_8"/>
      <w:bookmarkEnd w:id="6918"/>
      <w:r>
        <w:rPr>
          <w:rFonts w:ascii="Arial" w:eastAsia="Arial" w:hAnsi="Arial" w:cs="Arial"/>
          <w:color w:val="000000"/>
          <w:sz w:val="20"/>
        </w:rPr>
        <w:t>The ADA starts with a broad, general rule: "No individual shall be discriminated against on the basis of disability in the full and equal enjoyment of the goods, services, facilities, privileges, advantages, or accommodations of any place of public accommodation." 42 U.S.C. § 12182(a). The ADA then offers five examples of specific prohibitions, two of which are relevant here:</w:t>
      </w:r>
    </w:p>
    <w:p w:rsidR="00E456CD" w:rsidRDefault="00000000">
      <w:pPr>
        <w:pStyle w:val="Normal44"/>
        <w:widowControl w:val="0"/>
        <w:spacing w:line="260" w:lineRule="atLeast"/>
        <w:ind w:left="400"/>
        <w:jc w:val="both"/>
      </w:pPr>
      <w:bookmarkStart w:id="6919" w:name="Bookmark_para_63_8"/>
      <w:bookmarkEnd w:id="6919"/>
      <w:r>
        <w:rPr>
          <w:rFonts w:ascii="Arial" w:eastAsia="Arial" w:hAnsi="Arial" w:cs="Arial"/>
          <w:color w:val="000000"/>
          <w:sz w:val="20"/>
        </w:rPr>
        <w:t>discrimination includes—</w:t>
      </w:r>
    </w:p>
    <w:p w:rsidR="00E456CD" w:rsidRDefault="00000000">
      <w:pPr>
        <w:pStyle w:val="Normal44"/>
        <w:widowControl w:val="0"/>
        <w:spacing w:line="260" w:lineRule="atLeast"/>
        <w:ind w:left="400"/>
        <w:jc w:val="both"/>
      </w:pPr>
      <w:bookmarkStart w:id="6920" w:name="Bookmark_para_64_8"/>
      <w:bookmarkEnd w:id="6920"/>
      <w:r>
        <w:rPr>
          <w:rFonts w:ascii="Arial" w:eastAsia="Arial" w:hAnsi="Arial" w:cs="Arial"/>
          <w:color w:val="000000"/>
          <w:sz w:val="20"/>
        </w:rPr>
        <w:t>. . . .</w:t>
      </w:r>
    </w:p>
    <w:p w:rsidR="00E456CD" w:rsidRDefault="00000000">
      <w:pPr>
        <w:pStyle w:val="Normal44"/>
        <w:widowControl w:val="0"/>
        <w:spacing w:line="260" w:lineRule="atLeast"/>
        <w:ind w:left="400"/>
        <w:jc w:val="both"/>
      </w:pPr>
      <w:bookmarkStart w:id="6921" w:name="Bookmark_para_65_7"/>
      <w:bookmarkEnd w:id="6921"/>
      <w:r>
        <w:rPr>
          <w:rFonts w:ascii="Arial" w:eastAsia="Arial" w:hAnsi="Arial" w:cs="Arial"/>
          <w:color w:val="000000"/>
          <w:sz w:val="20"/>
        </w:rPr>
        <w:t>(ii) a failure to make reasonable modifications in policies, practices, or procedures . . . unless the entity can demonstrate that making such modifications would fundamentally alter the nature of such goods, services, facilities, privileges, advantages, or accommodations;</w:t>
      </w:r>
    </w:p>
    <w:p w:rsidR="00E456CD" w:rsidRDefault="00000000">
      <w:pPr>
        <w:pStyle w:val="Normal44"/>
        <w:widowControl w:val="0"/>
        <w:spacing w:line="260" w:lineRule="atLeast"/>
        <w:ind w:left="400"/>
        <w:jc w:val="both"/>
      </w:pPr>
      <w:bookmarkStart w:id="6922" w:name="Bookmark_para_66_7"/>
      <w:bookmarkEnd w:id="6922"/>
      <w:r>
        <w:rPr>
          <w:rFonts w:ascii="Arial" w:eastAsia="Arial" w:hAnsi="Arial" w:cs="Arial"/>
          <w:color w:val="000000"/>
          <w:sz w:val="20"/>
        </w:rPr>
        <w:t>. . . .</w:t>
      </w:r>
    </w:p>
    <w:p w:rsidR="00E456CD" w:rsidRDefault="00000000">
      <w:pPr>
        <w:pStyle w:val="Normal44"/>
        <w:widowControl w:val="0"/>
        <w:spacing w:line="260" w:lineRule="atLeast"/>
        <w:ind w:left="400"/>
        <w:jc w:val="both"/>
      </w:pPr>
      <w:bookmarkStart w:id="6923" w:name="Bookmark_para_67_7"/>
      <w:bookmarkEnd w:id="6923"/>
      <w:r>
        <w:rPr>
          <w:rFonts w:ascii="Arial" w:eastAsia="Arial" w:hAnsi="Arial" w:cs="Arial"/>
          <w:color w:val="000000"/>
          <w:sz w:val="20"/>
        </w:rPr>
        <w:t>(iv) a failure to remove architectural barriers . . . where such removal is readily achievable[.]</w:t>
      </w:r>
    </w:p>
    <w:p w:rsidR="00E456CD" w:rsidRDefault="00000000">
      <w:pPr>
        <w:pStyle w:val="Normal44"/>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12182(b)(2)(A). DOJ has addressed the architectural barriers provision, § 12182(b)(2)(A)(iv), in some detail. Here is the relevant portion of the regulation enforcing that provision:</w:t>
      </w:r>
    </w:p>
    <w:p w:rsidR="00E456CD" w:rsidRDefault="00000000">
      <w:pPr>
        <w:pStyle w:val="Normal44"/>
        <w:widowControl w:val="0"/>
        <w:spacing w:line="260" w:lineRule="atLeast"/>
        <w:ind w:left="400"/>
        <w:jc w:val="both"/>
      </w:pPr>
      <w:bookmarkStart w:id="6924" w:name="Bookmark_para_68_6"/>
      <w:bookmarkEnd w:id="6924"/>
      <w:r>
        <w:rPr>
          <w:rFonts w:ascii="Arial" w:eastAsia="Arial" w:hAnsi="Arial" w:cs="Arial"/>
          <w:color w:val="000000"/>
          <w:sz w:val="20"/>
        </w:rPr>
        <w:t>Examples of steps to remove barriers include, but are not limited to, the following actions—</w:t>
      </w:r>
    </w:p>
    <w:p w:rsidR="00E456CD" w:rsidRDefault="00000000">
      <w:pPr>
        <w:pStyle w:val="Normal44"/>
        <w:widowControl w:val="0"/>
        <w:spacing w:line="260" w:lineRule="atLeast"/>
        <w:ind w:left="400"/>
        <w:jc w:val="both"/>
      </w:pPr>
      <w:bookmarkStart w:id="6925" w:name="Bookmark_para_69_6"/>
      <w:bookmarkEnd w:id="6925"/>
      <w:r>
        <w:rPr>
          <w:rFonts w:ascii="Arial" w:eastAsia="Arial" w:hAnsi="Arial" w:cs="Arial"/>
          <w:color w:val="000000"/>
          <w:sz w:val="20"/>
        </w:rPr>
        <w:t>(1) Installing ramps;</w:t>
      </w:r>
    </w:p>
    <w:p w:rsidR="00E456CD" w:rsidRDefault="00000000">
      <w:pPr>
        <w:pStyle w:val="Normal44"/>
        <w:widowControl w:val="0"/>
        <w:spacing w:line="260" w:lineRule="atLeast"/>
        <w:ind w:left="400"/>
        <w:jc w:val="both"/>
      </w:pPr>
      <w:bookmarkStart w:id="6926" w:name="Bookmark_para_70_4"/>
      <w:bookmarkEnd w:id="6926"/>
      <w:r>
        <w:rPr>
          <w:rFonts w:ascii="Arial" w:eastAsia="Arial" w:hAnsi="Arial" w:cs="Arial"/>
          <w:color w:val="000000"/>
          <w:sz w:val="20"/>
        </w:rPr>
        <w:t>(2) Making curb cuts in sidewalks and entrances;</w:t>
      </w:r>
    </w:p>
    <w:p w:rsidR="00E456CD" w:rsidRDefault="00000000">
      <w:pPr>
        <w:pStyle w:val="Normal44"/>
        <w:widowControl w:val="0"/>
        <w:spacing w:before="200" w:line="260" w:lineRule="atLeast"/>
        <w:ind w:left="400"/>
        <w:jc w:val="both"/>
      </w:pPr>
      <w:bookmarkStart w:id="6927" w:name="Bookmark_para_71_4"/>
      <w:bookmarkEnd w:id="6927"/>
      <w:r>
        <w:rPr>
          <w:rFonts w:ascii="Arial" w:eastAsia="Arial" w:hAnsi="Arial" w:cs="Arial"/>
          <w:color w:val="000000"/>
          <w:sz w:val="20"/>
        </w:rPr>
        <w:t>(3) Repositioning [**30]  shelves;</w:t>
      </w:r>
    </w:p>
    <w:p w:rsidR="00E456CD" w:rsidRDefault="00000000">
      <w:pPr>
        <w:pStyle w:val="Normal44"/>
        <w:widowControl w:val="0"/>
        <w:spacing w:line="260" w:lineRule="atLeast"/>
        <w:ind w:left="400"/>
        <w:jc w:val="both"/>
      </w:pPr>
      <w:bookmarkStart w:id="6928" w:name="Bookmark_para_72_4"/>
      <w:bookmarkEnd w:id="6928"/>
      <w:r>
        <w:rPr>
          <w:rFonts w:ascii="Arial" w:eastAsia="Arial" w:hAnsi="Arial" w:cs="Arial"/>
          <w:color w:val="000000"/>
          <w:sz w:val="20"/>
        </w:rPr>
        <w:t>(4) Rearranging tables, chairs, vending machines, display racks, and other furniture;</w:t>
      </w:r>
    </w:p>
    <w:p w:rsidR="00E456CD" w:rsidRDefault="00000000">
      <w:pPr>
        <w:pStyle w:val="Normal44"/>
        <w:widowControl w:val="0"/>
        <w:spacing w:line="260" w:lineRule="atLeast"/>
        <w:ind w:left="400"/>
        <w:jc w:val="both"/>
      </w:pPr>
      <w:bookmarkStart w:id="6929" w:name="Bookmark_para_73_4"/>
      <w:bookmarkEnd w:id="6929"/>
      <w:r>
        <w:rPr>
          <w:rFonts w:ascii="Arial" w:eastAsia="Arial" w:hAnsi="Arial" w:cs="Arial"/>
          <w:color w:val="000000"/>
          <w:sz w:val="20"/>
        </w:rPr>
        <w:t>(5) Repositioning telephones;</w:t>
      </w:r>
    </w:p>
    <w:p w:rsidR="00E456CD" w:rsidRDefault="00000000">
      <w:pPr>
        <w:pStyle w:val="Normal44"/>
        <w:widowControl w:val="0"/>
        <w:spacing w:line="260" w:lineRule="atLeast"/>
        <w:ind w:left="400"/>
        <w:jc w:val="both"/>
      </w:pPr>
      <w:bookmarkStart w:id="6930" w:name="Bookmark_para_74_4"/>
      <w:bookmarkEnd w:id="6930"/>
      <w:r>
        <w:rPr>
          <w:rFonts w:ascii="Arial" w:eastAsia="Arial" w:hAnsi="Arial" w:cs="Arial"/>
          <w:color w:val="000000"/>
          <w:sz w:val="20"/>
        </w:rPr>
        <w:t>(6) Adding raised markings on elevator control buttons;</w:t>
      </w:r>
    </w:p>
    <w:p w:rsidR="00E456CD" w:rsidRDefault="00000000">
      <w:pPr>
        <w:pStyle w:val="Normal44"/>
        <w:widowControl w:val="0"/>
        <w:spacing w:line="260" w:lineRule="atLeast"/>
        <w:ind w:left="400"/>
        <w:jc w:val="both"/>
      </w:pPr>
      <w:bookmarkStart w:id="6931" w:name="Bookmark_para_75_4"/>
      <w:bookmarkEnd w:id="6931"/>
      <w:r>
        <w:rPr>
          <w:rFonts w:ascii="Arial" w:eastAsia="Arial" w:hAnsi="Arial" w:cs="Arial"/>
          <w:color w:val="000000"/>
          <w:sz w:val="20"/>
        </w:rPr>
        <w:t>(7) Installing flashing alarm lights;</w:t>
      </w:r>
    </w:p>
    <w:p w:rsidR="00E456CD" w:rsidRDefault="00000000">
      <w:pPr>
        <w:pStyle w:val="Normal44"/>
        <w:widowControl w:val="0"/>
        <w:spacing w:line="260" w:lineRule="atLeast"/>
        <w:ind w:left="400"/>
        <w:jc w:val="both"/>
      </w:pPr>
      <w:bookmarkStart w:id="6932" w:name="Bookmark_para_76_4"/>
      <w:bookmarkEnd w:id="6932"/>
      <w:r>
        <w:rPr>
          <w:rFonts w:ascii="Arial" w:eastAsia="Arial" w:hAnsi="Arial" w:cs="Arial"/>
          <w:color w:val="000000"/>
          <w:sz w:val="20"/>
        </w:rPr>
        <w:t>(8) Widening doors;</w:t>
      </w:r>
    </w:p>
    <w:p w:rsidR="00E456CD" w:rsidRDefault="00000000">
      <w:pPr>
        <w:pStyle w:val="Normal44"/>
        <w:widowControl w:val="0"/>
        <w:spacing w:line="260" w:lineRule="atLeast"/>
        <w:ind w:left="400"/>
        <w:jc w:val="both"/>
      </w:pPr>
      <w:bookmarkStart w:id="6933" w:name="Bookmark_para_77_4"/>
      <w:bookmarkEnd w:id="6933"/>
      <w:r>
        <w:rPr>
          <w:rFonts w:ascii="Arial" w:eastAsia="Arial" w:hAnsi="Arial" w:cs="Arial"/>
          <w:color w:val="000000"/>
          <w:sz w:val="20"/>
        </w:rPr>
        <w:t>(9) Installing offset hinges to widen doorways;</w:t>
      </w:r>
    </w:p>
    <w:p w:rsidR="00E456CD" w:rsidRDefault="00000000">
      <w:pPr>
        <w:pStyle w:val="Normal44"/>
        <w:widowControl w:val="0"/>
        <w:spacing w:line="260" w:lineRule="atLeast"/>
        <w:ind w:left="400"/>
        <w:jc w:val="both"/>
      </w:pPr>
      <w:bookmarkStart w:id="6934" w:name="Bookmark_para_78_4"/>
      <w:bookmarkEnd w:id="6934"/>
      <w:r>
        <w:rPr>
          <w:rFonts w:ascii="Arial" w:eastAsia="Arial" w:hAnsi="Arial" w:cs="Arial"/>
          <w:color w:val="000000"/>
          <w:sz w:val="20"/>
        </w:rPr>
        <w:t>(10) Eliminating a turnstile or providing an alternative accessible path;</w:t>
      </w:r>
    </w:p>
    <w:p w:rsidR="00E456CD" w:rsidRDefault="00000000">
      <w:pPr>
        <w:pStyle w:val="Normal44"/>
        <w:widowControl w:val="0"/>
        <w:spacing w:line="260" w:lineRule="atLeast"/>
        <w:ind w:left="400"/>
        <w:jc w:val="both"/>
      </w:pPr>
      <w:bookmarkStart w:id="6935" w:name="Bookmark_para_79_3"/>
      <w:bookmarkEnd w:id="6935"/>
      <w:r>
        <w:rPr>
          <w:rFonts w:ascii="Arial" w:eastAsia="Arial" w:hAnsi="Arial" w:cs="Arial"/>
          <w:color w:val="000000"/>
          <w:sz w:val="20"/>
        </w:rPr>
        <w:t>(11) Installing accessible door hardware;</w:t>
      </w:r>
    </w:p>
    <w:p w:rsidR="00E456CD" w:rsidRDefault="00000000">
      <w:pPr>
        <w:pStyle w:val="Normal44"/>
        <w:widowControl w:val="0"/>
        <w:spacing w:line="260" w:lineRule="atLeast"/>
        <w:ind w:left="400"/>
        <w:jc w:val="both"/>
      </w:pPr>
      <w:bookmarkStart w:id="6936" w:name="Bookmark_para_80_3"/>
      <w:bookmarkEnd w:id="6936"/>
      <w:r>
        <w:rPr>
          <w:rFonts w:ascii="Arial" w:eastAsia="Arial" w:hAnsi="Arial" w:cs="Arial"/>
          <w:color w:val="000000"/>
          <w:sz w:val="20"/>
        </w:rPr>
        <w:t>(12) Installing grab bars in toilet stalls;</w:t>
      </w:r>
    </w:p>
    <w:p w:rsidR="00E456CD" w:rsidRDefault="00000000">
      <w:pPr>
        <w:pStyle w:val="Normal44"/>
        <w:widowControl w:val="0"/>
        <w:spacing w:line="260" w:lineRule="atLeast"/>
        <w:ind w:left="400"/>
        <w:jc w:val="both"/>
      </w:pPr>
      <w:bookmarkStart w:id="6937" w:name="Bookmark_para_81_3"/>
      <w:bookmarkEnd w:id="6937"/>
      <w:r>
        <w:rPr>
          <w:rFonts w:ascii="Arial" w:eastAsia="Arial" w:hAnsi="Arial" w:cs="Arial"/>
          <w:color w:val="000000"/>
          <w:sz w:val="20"/>
        </w:rPr>
        <w:t>(13) Rearranging toilet partitions to increase maneuvering space;</w:t>
      </w:r>
    </w:p>
    <w:p w:rsidR="00E456CD" w:rsidRDefault="00000000">
      <w:pPr>
        <w:pStyle w:val="Normal44"/>
        <w:widowControl w:val="0"/>
        <w:spacing w:line="260" w:lineRule="atLeast"/>
        <w:ind w:left="400"/>
        <w:jc w:val="both"/>
      </w:pPr>
      <w:bookmarkStart w:id="6938" w:name="Bookmark_para_82_3"/>
      <w:bookmarkEnd w:id="6938"/>
      <w:r>
        <w:rPr>
          <w:rFonts w:ascii="Arial" w:eastAsia="Arial" w:hAnsi="Arial" w:cs="Arial"/>
          <w:color w:val="000000"/>
          <w:sz w:val="20"/>
        </w:rPr>
        <w:t>(14) Insulating lavatory pipes under sinks to prevent burns;</w:t>
      </w:r>
    </w:p>
    <w:p w:rsidR="00E456CD" w:rsidRDefault="00000000">
      <w:pPr>
        <w:pStyle w:val="Normal44"/>
        <w:widowControl w:val="0"/>
        <w:spacing w:line="260" w:lineRule="atLeast"/>
        <w:ind w:left="400"/>
        <w:jc w:val="both"/>
      </w:pPr>
      <w:bookmarkStart w:id="6939" w:name="Bookmark_para_83_3"/>
      <w:bookmarkEnd w:id="6939"/>
      <w:r>
        <w:rPr>
          <w:rFonts w:ascii="Arial" w:eastAsia="Arial" w:hAnsi="Arial" w:cs="Arial"/>
          <w:color w:val="000000"/>
          <w:sz w:val="20"/>
        </w:rPr>
        <w:t>(15) Installing a raised toilet seat;</w:t>
      </w:r>
    </w:p>
    <w:p w:rsidR="00E456CD" w:rsidRDefault="00000000">
      <w:pPr>
        <w:pStyle w:val="Normal44"/>
        <w:widowControl w:val="0"/>
        <w:spacing w:line="260" w:lineRule="atLeast"/>
        <w:ind w:left="400"/>
        <w:jc w:val="both"/>
      </w:pPr>
      <w:bookmarkStart w:id="6940" w:name="Bookmark_para_84_3"/>
      <w:bookmarkEnd w:id="6940"/>
      <w:r>
        <w:rPr>
          <w:rFonts w:ascii="Arial" w:eastAsia="Arial" w:hAnsi="Arial" w:cs="Arial"/>
          <w:color w:val="000000"/>
          <w:sz w:val="20"/>
        </w:rPr>
        <w:t>(16) Installing a full-length bathroom mirror;</w:t>
      </w:r>
    </w:p>
    <w:p w:rsidR="00E456CD" w:rsidRDefault="00000000">
      <w:pPr>
        <w:pStyle w:val="Normal44"/>
        <w:widowControl w:val="0"/>
        <w:spacing w:line="260" w:lineRule="atLeast"/>
        <w:ind w:left="400"/>
        <w:jc w:val="both"/>
      </w:pPr>
      <w:bookmarkStart w:id="6941" w:name="Bookmark_para_85_3"/>
      <w:bookmarkEnd w:id="6941"/>
      <w:r>
        <w:rPr>
          <w:rFonts w:ascii="Arial" w:eastAsia="Arial" w:hAnsi="Arial" w:cs="Arial"/>
          <w:color w:val="000000"/>
          <w:sz w:val="20"/>
        </w:rPr>
        <w:t>(17) Repositioning the paper towel dispenser in a bathroom;</w:t>
      </w:r>
    </w:p>
    <w:p w:rsidR="00E456CD" w:rsidRDefault="00000000">
      <w:pPr>
        <w:pStyle w:val="Normal44"/>
        <w:widowControl w:val="0"/>
        <w:spacing w:line="260" w:lineRule="atLeast"/>
        <w:ind w:left="400"/>
        <w:jc w:val="both"/>
      </w:pPr>
      <w:bookmarkStart w:id="6942" w:name="Bookmark_para_86_3"/>
      <w:bookmarkEnd w:id="6942"/>
      <w:r>
        <w:rPr>
          <w:rFonts w:ascii="Arial" w:eastAsia="Arial" w:hAnsi="Arial" w:cs="Arial"/>
          <w:color w:val="000000"/>
          <w:sz w:val="20"/>
        </w:rPr>
        <w:t>(18) Creating designated accessible parking spaces;</w:t>
      </w:r>
    </w:p>
    <w:p w:rsidR="00E456CD" w:rsidRDefault="00000000">
      <w:pPr>
        <w:pStyle w:val="Normal44"/>
        <w:widowControl w:val="0"/>
        <w:spacing w:line="260" w:lineRule="atLeast"/>
        <w:ind w:left="400"/>
        <w:jc w:val="both"/>
      </w:pPr>
      <w:bookmarkStart w:id="6943" w:name="Bookmark_para_87_2"/>
      <w:bookmarkEnd w:id="6943"/>
      <w:r>
        <w:rPr>
          <w:rFonts w:ascii="Arial" w:eastAsia="Arial" w:hAnsi="Arial" w:cs="Arial"/>
          <w:color w:val="000000"/>
          <w:sz w:val="20"/>
        </w:rPr>
        <w:t>(19) Installing an accessible paper cup dispenser at an existing inaccessible water fountain;</w:t>
      </w:r>
    </w:p>
    <w:p w:rsidR="00E456CD" w:rsidRDefault="00000000">
      <w:pPr>
        <w:pStyle w:val="Normal44"/>
        <w:widowControl w:val="0"/>
        <w:spacing w:line="260" w:lineRule="atLeast"/>
        <w:ind w:left="400"/>
        <w:jc w:val="both"/>
      </w:pPr>
      <w:bookmarkStart w:id="6944" w:name="Bookmark_para_88_2"/>
      <w:bookmarkEnd w:id="6944"/>
      <w:r>
        <w:rPr>
          <w:rFonts w:ascii="Arial" w:eastAsia="Arial" w:hAnsi="Arial" w:cs="Arial"/>
          <w:color w:val="000000"/>
          <w:sz w:val="20"/>
        </w:rPr>
        <w:t>(20) Removing high pile, low density carpeting; or</w:t>
      </w:r>
    </w:p>
    <w:p w:rsidR="00E456CD" w:rsidRDefault="00000000">
      <w:pPr>
        <w:pStyle w:val="Normal44"/>
        <w:widowControl w:val="0"/>
        <w:spacing w:line="260" w:lineRule="atLeast"/>
        <w:ind w:left="400"/>
        <w:jc w:val="both"/>
      </w:pPr>
      <w:bookmarkStart w:id="6945" w:name="Bookmark_para_89_2"/>
      <w:bookmarkEnd w:id="6945"/>
      <w:r>
        <w:rPr>
          <w:rFonts w:ascii="Arial" w:eastAsia="Arial" w:hAnsi="Arial" w:cs="Arial"/>
          <w:color w:val="000000"/>
          <w:sz w:val="20"/>
        </w:rPr>
        <w:t>(21) Installing vehicle hand controls.</w:t>
      </w:r>
    </w:p>
    <w:p w:rsidR="00E456CD" w:rsidRDefault="00000000">
      <w:pPr>
        <w:pStyle w:val="Normal44"/>
        <w:widowControl w:val="0"/>
        <w:spacing w:before="200" w:line="260" w:lineRule="atLeast"/>
        <w:jc w:val="both"/>
      </w:pPr>
      <w:r>
        <w:rPr>
          <w:rFonts w:ascii="Arial" w:eastAsia="Arial" w:hAnsi="Arial" w:cs="Arial"/>
          <w:color w:val="000000"/>
          <w:sz w:val="20"/>
        </w:rPr>
        <w:t xml:space="preserve">28 C.F.R. § 36.304(b). Twenty of the twenty-one items on this list refer to accommodations that must be made in fixed structures; one relates to vehicles. Even a child can tell that one of these things is not like  [*1019]  the others. </w:t>
      </w:r>
      <w:r>
        <w:rPr>
          <w:rFonts w:ascii="Arial" w:eastAsia="Arial" w:hAnsi="Arial" w:cs="Arial"/>
          <w:i/>
          <w:color w:val="000000"/>
          <w:sz w:val="20"/>
        </w:rPr>
        <w:t>See generally</w:t>
      </w:r>
      <w:r>
        <w:rPr>
          <w:rFonts w:ascii="Arial" w:eastAsia="Arial" w:hAnsi="Arial" w:cs="Arial"/>
          <w:color w:val="000000"/>
          <w:sz w:val="20"/>
        </w:rPr>
        <w:t xml:space="preserve"> </w:t>
      </w:r>
      <w:r>
        <w:rPr>
          <w:rFonts w:ascii="Arial" w:eastAsia="Arial" w:hAnsi="Arial" w:cs="Arial"/>
          <w:smallCaps/>
          <w:color w:val="000000"/>
          <w:sz w:val="20"/>
        </w:rPr>
        <w:t>Sesame Street, One of These Things (Is Not Like [**31]  the Others), on</w:t>
      </w:r>
      <w:r>
        <w:rPr>
          <w:rFonts w:ascii="Arial" w:eastAsia="Arial" w:hAnsi="Arial" w:cs="Arial"/>
          <w:color w:val="000000"/>
          <w:sz w:val="20"/>
        </w:rPr>
        <w:t xml:space="preserve"> </w:t>
      </w:r>
      <w:r>
        <w:rPr>
          <w:rFonts w:ascii="Arial" w:eastAsia="Arial" w:hAnsi="Arial" w:cs="Arial"/>
          <w:smallCaps/>
          <w:color w:val="000000"/>
          <w:sz w:val="20"/>
        </w:rPr>
        <w:t>Sesame Street Book &amp; Record</w:t>
      </w:r>
      <w:r>
        <w:rPr>
          <w:rFonts w:ascii="Arial" w:eastAsia="Arial" w:hAnsi="Arial" w:cs="Arial"/>
          <w:color w:val="000000"/>
          <w:sz w:val="20"/>
        </w:rPr>
        <w:t xml:space="preserve"> (Columbia Records 1970).</w:t>
      </w:r>
    </w:p>
    <w:p w:rsidR="00E456CD" w:rsidRDefault="00000000">
      <w:pPr>
        <w:pStyle w:val="Normal44"/>
        <w:widowControl w:val="0"/>
        <w:spacing w:before="200" w:line="260" w:lineRule="atLeast"/>
        <w:jc w:val="both"/>
      </w:pPr>
      <w:bookmarkStart w:id="6946" w:name="Bookmark_para_90_2"/>
      <w:bookmarkStart w:id="6947" w:name="Bookmark_I1JNTCM1MNJ000PYJ7C0003D"/>
      <w:bookmarkStart w:id="6948" w:name="Bookmark_I5P5KKKD28T4JH0020000400"/>
      <w:bookmarkEnd w:id="6946"/>
      <w:bookmarkEnd w:id="6947"/>
      <w:bookmarkEnd w:id="6948"/>
      <w:r>
        <w:rPr>
          <w:rFonts w:ascii="Arial" w:eastAsia="Arial" w:hAnsi="Arial" w:cs="Arial"/>
          <w:color w:val="000000"/>
          <w:sz w:val="20"/>
        </w:rPr>
        <w:t>Sensibly, the majority does not buy DOJ's reading of the ADA. Neither do I. "Installing vehicle hand controls" cannot be a reasoned application of the ADA's command to "remove architectural barriers . . . in existing facilities" for the simple reason that "architectural barriers" ought to have something to do with architecture.</w:t>
      </w:r>
      <w:r>
        <w:rPr>
          <w:rFonts w:ascii="Arial" w:eastAsia="Arial" w:hAnsi="Arial" w:cs="Arial"/>
          <w:vertAlign w:val="superscript"/>
        </w:rPr>
        <w:footnoteReference w:customMarkFollows="1" w:id="290"/>
        <w:t>2</w:t>
      </w:r>
      <w:r>
        <w:rPr>
          <w:rFonts w:ascii="Arial" w:eastAsia="Arial" w:hAnsi="Arial" w:cs="Arial"/>
          <w:color w:val="000000"/>
          <w:sz w:val="20"/>
        </w:rPr>
        <w:t xml:space="preserve"> Indeed, the majority concludes that § 12182(b)(2)(A)(iv) does not apply here and, thus, the regulation is "inapplicable." Maj. Op. at 16, 17. The majority then suggests, in dicta, that if it were to reach the question, then it would hold that "the agency's construction is not 'based on a permissible construction of the statute.'" </w:t>
      </w:r>
      <w:r>
        <w:rPr>
          <w:rFonts w:ascii="Arial" w:eastAsia="Arial" w:hAnsi="Arial" w:cs="Arial"/>
          <w:i/>
          <w:color w:val="000000"/>
          <w:sz w:val="20"/>
        </w:rPr>
        <w:t>Id.</w:t>
      </w:r>
      <w:r>
        <w:rPr>
          <w:rFonts w:ascii="Arial" w:eastAsia="Arial" w:hAnsi="Arial" w:cs="Arial"/>
          <w:color w:val="000000"/>
          <w:sz w:val="20"/>
        </w:rPr>
        <w:t xml:space="preserve"> at 16 (quoting </w:t>
      </w:r>
      <w:bookmarkStart w:id="6950" w:name="Bookmark_I5P5KKKD28T4JH0010000400"/>
      <w:bookmarkEnd w:id="6950"/>
      <w:r>
        <w:rPr>
          <w:rFonts w:ascii="Arial" w:eastAsia="Arial" w:hAnsi="Arial" w:cs="Arial"/>
          <w:i/>
          <w:color w:val="000000"/>
          <w:sz w:val="20"/>
        </w:rPr>
        <w:t>Chevron U.S.A. Inc. v. Nat. Res. Def. Council, Inc.</w:t>
      </w:r>
      <w:r>
        <w:rPr>
          <w:rFonts w:ascii="Arial" w:eastAsia="Arial" w:hAnsi="Arial" w:cs="Arial"/>
          <w:color w:val="000000"/>
          <w:sz w:val="20"/>
        </w:rPr>
        <w:t>, 467 U.S. 837, 843, 104 S. Ct. 2778, 81 L. Ed. 2d 694 (1984)).</w:t>
      </w:r>
    </w:p>
    <w:p w:rsidR="00E456CD" w:rsidRDefault="00000000">
      <w:pPr>
        <w:pStyle w:val="Normal44"/>
        <w:widowControl w:val="0"/>
        <w:spacing w:before="200" w:line="260" w:lineRule="atLeast"/>
        <w:jc w:val="both"/>
      </w:pPr>
      <w:bookmarkStart w:id="6951" w:name="Bookmark_para_91_2"/>
      <w:bookmarkEnd w:id="6951"/>
      <w:r>
        <w:rPr>
          <w:rFonts w:ascii="Arial" w:eastAsia="Arial" w:hAnsi="Arial" w:cs="Arial"/>
          <w:color w:val="000000"/>
          <w:sz w:val="20"/>
        </w:rPr>
        <w:t xml:space="preserve">I would simply hold that § 36.304 is not a permissible construction of the architectural barrier provision of the ADA, § 12182(b)(2)(A)(iv). The regulation is not "inapplicable" to the plaintiff's claim, as the majority says; it was the heart and soul of the plaintiff's claim and the basis for DOJ's </w:t>
      </w:r>
      <w:r>
        <w:rPr>
          <w:rFonts w:ascii="Arial" w:eastAsia="Arial" w:hAnsi="Arial" w:cs="Arial"/>
          <w:i/>
          <w:color w:val="000000"/>
          <w:sz w:val="20"/>
        </w:rPr>
        <w:t>amicus</w:t>
      </w:r>
      <w:r>
        <w:rPr>
          <w:rFonts w:ascii="Arial" w:eastAsia="Arial" w:hAnsi="Arial" w:cs="Arial"/>
          <w:color w:val="000000"/>
          <w:sz w:val="20"/>
        </w:rPr>
        <w:t xml:space="preserve"> brief. And if the regulation is not applicable here, where would it be applicable? We should have just said the obvious: that portion of § 36.304 requiring "vehicle hand controls" is not a reasonable construction [**32]  of the statute it purports to implement and is a dead letter.</w:t>
      </w:r>
    </w:p>
    <w:p w:rsidR="00E456CD" w:rsidRDefault="00000000">
      <w:pPr>
        <w:pStyle w:val="Normal44"/>
        <w:widowControl w:val="0"/>
        <w:spacing w:before="120" w:line="260" w:lineRule="atLeast"/>
      </w:pPr>
      <w:r>
        <w:rPr>
          <w:rFonts w:ascii="Arial" w:eastAsia="Arial" w:hAnsi="Arial" w:cs="Arial"/>
          <w:color w:val="000000"/>
          <w:sz w:val="20"/>
        </w:rPr>
        <w:t>II</w:t>
      </w:r>
    </w:p>
    <w:p w:rsidR="00E456CD" w:rsidRDefault="00000000">
      <w:pPr>
        <w:pStyle w:val="Normal44"/>
        <w:widowControl w:val="0"/>
        <w:spacing w:before="200" w:line="260" w:lineRule="atLeast"/>
        <w:jc w:val="both"/>
      </w:pPr>
      <w:bookmarkStart w:id="6952" w:name="Bookmark_para_92_2"/>
      <w:bookmarkEnd w:id="6952"/>
      <w:r>
        <w:rPr>
          <w:rFonts w:ascii="Arial" w:eastAsia="Arial" w:hAnsi="Arial" w:cs="Arial"/>
          <w:color w:val="000000"/>
          <w:sz w:val="20"/>
        </w:rPr>
        <w:t xml:space="preserve">Anticipating that we would not sustain its regulation on vehicle hand controls, DOJ offered us a half-hearted alternative—salvaged from the plaintiff's complaint but otherwise ignored by the plaintiff on appeal—which the majority accepts: we can characterize the car dealer's refusal to install hand controls as "a failure to make reasonable modifications in policies, practices, or procedures, when such modifications are necessary to afford such goods, services, facilities, privileges, advantages, or accommodations to individuals with disabilities." 42 U.S.C. § 12182(b)(2)(A)(ii); </w:t>
      </w:r>
      <w:r>
        <w:rPr>
          <w:rFonts w:ascii="Arial" w:eastAsia="Arial" w:hAnsi="Arial" w:cs="Arial"/>
          <w:i/>
          <w:color w:val="000000"/>
          <w:sz w:val="20"/>
        </w:rPr>
        <w:t>see</w:t>
      </w:r>
      <w:r>
        <w:rPr>
          <w:rFonts w:ascii="Arial" w:eastAsia="Arial" w:hAnsi="Arial" w:cs="Arial"/>
          <w:color w:val="000000"/>
          <w:sz w:val="20"/>
        </w:rPr>
        <w:t xml:space="preserve"> Maj. Op. at 9-15. The plaintiff alleged that the car dealer "employed the discriminatory policy or practice of providing a test-driving privilege or service only to those persons capable of using foot controls." Maj. Op. at 10-11. According to the majority, that suffices to "state[] a claim that [the defendant] discriminated against [the plaintiff] by failing to make a . . . modification to a policy, practice, or procedure." </w:t>
      </w:r>
      <w:r>
        <w:rPr>
          <w:rFonts w:ascii="Arial" w:eastAsia="Arial" w:hAnsi="Arial" w:cs="Arial"/>
          <w:i/>
          <w:color w:val="000000"/>
          <w:sz w:val="20"/>
        </w:rPr>
        <w:t>Id.</w:t>
      </w:r>
      <w:r>
        <w:rPr>
          <w:rFonts w:ascii="Arial" w:eastAsia="Arial" w:hAnsi="Arial" w:cs="Arial"/>
          <w:color w:val="000000"/>
          <w:sz w:val="20"/>
        </w:rPr>
        <w:t xml:space="preserve"> at 12.</w:t>
      </w:r>
    </w:p>
    <w:p w:rsidR="00E456CD" w:rsidRDefault="00000000">
      <w:pPr>
        <w:pStyle w:val="Normal44"/>
        <w:widowControl w:val="0"/>
        <w:spacing w:before="200" w:line="260" w:lineRule="atLeast"/>
        <w:jc w:val="both"/>
      </w:pPr>
      <w:bookmarkStart w:id="6953" w:name="Bookmark_para_93_2"/>
      <w:bookmarkEnd w:id="6953"/>
      <w:r>
        <w:rPr>
          <w:rFonts w:ascii="Arial" w:eastAsia="Arial" w:hAnsi="Arial" w:cs="Arial"/>
          <w:color w:val="000000"/>
          <w:sz w:val="20"/>
        </w:rPr>
        <w:t>On an initial reading of the statute, the majority's conclusion is plausible. It doesn't stretch the ADA beyond recognition to say that the dealer [**33]  here had a policy, procedure, or practice that permits able-bodied persons, but not the plaintiff, to test-drive its cars. That "policy" is a natural consequence of the dealer only stocking standard-make cars that depend on foot controls. A buyer who wants a car, but needs hand controls to operate it, will have to install the controls at his own expense. The dealer allows customers to drive the cars the dealer is selling, and they don't come with hand controls.</w:t>
      </w:r>
    </w:p>
    <w:p w:rsidR="00E456CD" w:rsidRDefault="00000000">
      <w:pPr>
        <w:pStyle w:val="Normal44"/>
        <w:widowControl w:val="0"/>
        <w:spacing w:before="200" w:line="260" w:lineRule="atLeast"/>
        <w:jc w:val="both"/>
      </w:pPr>
      <w:bookmarkStart w:id="6954" w:name="Bookmark_para_94_2"/>
      <w:bookmarkEnd w:id="6954"/>
      <w:r>
        <w:rPr>
          <w:rFonts w:ascii="Arial" w:eastAsia="Arial" w:hAnsi="Arial" w:cs="Arial"/>
          <w:color w:val="000000"/>
          <w:sz w:val="20"/>
        </w:rPr>
        <w:t>On further reflection, however, I have two objections to the majority's analysis. First, under the majority's aggressive  [*1020]  reading of the ADA—which, so far as I can tell, no other court has adopted—</w:t>
      </w:r>
      <w:r>
        <w:rPr>
          <w:rFonts w:ascii="Arial" w:eastAsia="Arial" w:hAnsi="Arial" w:cs="Arial"/>
          <w:i/>
          <w:color w:val="000000"/>
          <w:sz w:val="20"/>
        </w:rPr>
        <w:t>everything</w:t>
      </w:r>
      <w:r>
        <w:rPr>
          <w:rFonts w:ascii="Arial" w:eastAsia="Arial" w:hAnsi="Arial" w:cs="Arial"/>
          <w:color w:val="000000"/>
          <w:sz w:val="20"/>
        </w:rPr>
        <w:t xml:space="preserve"> can be construed as a policy, practice, or procedure. The majority characterizes the plaintiff's argument as "Defendant employed the discriminatory policy or practice of providing a test-driving privilege or service only to those persons capable of using foot controls[.]" Maj. Op. at 10-11. The form of this argument—"Defendant employed the discriminatory policy or practice of providing </w:t>
      </w:r>
      <w:r>
        <w:rPr>
          <w:rFonts w:ascii="Arial" w:eastAsia="Arial" w:hAnsi="Arial" w:cs="Arial"/>
          <w:i/>
          <w:color w:val="000000"/>
          <w:sz w:val="20"/>
        </w:rPr>
        <w:t>X</w:t>
      </w:r>
      <w:r>
        <w:rPr>
          <w:rFonts w:ascii="Arial" w:eastAsia="Arial" w:hAnsi="Arial" w:cs="Arial"/>
          <w:color w:val="000000"/>
          <w:sz w:val="20"/>
        </w:rPr>
        <w:t xml:space="preserve"> only to those persons capable of doing </w:t>
      </w:r>
      <w:r>
        <w:rPr>
          <w:rFonts w:ascii="Arial" w:eastAsia="Arial" w:hAnsi="Arial" w:cs="Arial"/>
          <w:i/>
          <w:color w:val="000000"/>
          <w:sz w:val="20"/>
        </w:rPr>
        <w:t>Y</w:t>
      </w:r>
      <w:r>
        <w:rPr>
          <w:rFonts w:ascii="Arial" w:eastAsia="Arial" w:hAnsi="Arial" w:cs="Arial"/>
          <w:color w:val="000000"/>
          <w:sz w:val="20"/>
        </w:rPr>
        <w:t>"—has endless possibilities. Consider the following examples, all consistent with this form.</w:t>
      </w:r>
    </w:p>
    <w:p w:rsidR="00E456CD" w:rsidRDefault="00000000">
      <w:pPr>
        <w:pStyle w:val="Normal44"/>
        <w:widowControl w:val="0"/>
        <w:spacing w:before="200" w:line="260" w:lineRule="atLeast"/>
        <w:ind w:left="400"/>
        <w:jc w:val="both"/>
      </w:pPr>
      <w:bookmarkStart w:id="6955" w:name="Bookmark_para_95_2"/>
      <w:bookmarkEnd w:id="6955"/>
      <w:r>
        <w:rPr>
          <w:rFonts w:ascii="Arial" w:eastAsia="Arial" w:hAnsi="Arial" w:cs="Arial"/>
          <w:color w:val="000000"/>
          <w:sz w:val="20"/>
        </w:rPr>
        <w:t>1. The [**34]  grocery store employed the discriminatory policy or practice of providing shopping only to those persons capable of doing so without a personal shopper.</w:t>
      </w:r>
    </w:p>
    <w:p w:rsidR="00E456CD" w:rsidRDefault="00000000">
      <w:pPr>
        <w:pStyle w:val="Normal44"/>
        <w:widowControl w:val="0"/>
        <w:spacing w:line="260" w:lineRule="atLeast"/>
        <w:ind w:left="400"/>
        <w:jc w:val="both"/>
      </w:pPr>
      <w:bookmarkStart w:id="6956" w:name="Bookmark_para_96_2"/>
      <w:bookmarkEnd w:id="6956"/>
      <w:r>
        <w:rPr>
          <w:rFonts w:ascii="Arial" w:eastAsia="Arial" w:hAnsi="Arial" w:cs="Arial"/>
          <w:color w:val="000000"/>
          <w:sz w:val="20"/>
        </w:rPr>
        <w:t>2. The commercial airline employed the discriminatory policy or practice of providing transportation only to those persons who are capable of sitting upright in a seat.</w:t>
      </w:r>
    </w:p>
    <w:p w:rsidR="00E456CD" w:rsidRDefault="00000000">
      <w:pPr>
        <w:pStyle w:val="Normal44"/>
        <w:widowControl w:val="0"/>
        <w:spacing w:line="260" w:lineRule="atLeast"/>
        <w:ind w:left="400"/>
        <w:jc w:val="both"/>
      </w:pPr>
      <w:bookmarkStart w:id="6957" w:name="Bookmark_para_97_2"/>
      <w:bookmarkEnd w:id="6957"/>
      <w:r>
        <w:rPr>
          <w:rFonts w:ascii="Arial" w:eastAsia="Arial" w:hAnsi="Arial" w:cs="Arial"/>
          <w:color w:val="000000"/>
          <w:sz w:val="20"/>
        </w:rPr>
        <w:t>3. The building owner employed the discriminatory policy or practice of providing access to restrooms only to those persons capable of using facilities without the aid of a grab bar.</w:t>
      </w:r>
    </w:p>
    <w:p w:rsidR="00E456CD" w:rsidRDefault="00000000">
      <w:pPr>
        <w:pStyle w:val="Normal44"/>
        <w:widowControl w:val="0"/>
        <w:spacing w:before="200" w:line="260" w:lineRule="atLeast"/>
        <w:jc w:val="both"/>
      </w:pPr>
      <w:r>
        <w:rPr>
          <w:rFonts w:ascii="Arial" w:eastAsia="Arial" w:hAnsi="Arial" w:cs="Arial"/>
          <w:color w:val="000000"/>
          <w:sz w:val="20"/>
        </w:rPr>
        <w:t>At least one of these examples—the restroom in a building—is certainly covered by the ADA and its regulations, and quite specifically. 28 C.F.R. § 36.304(b)(12) (requiring grab bars in restroom stalls). In the past, a plaintiff would have brought a claim about an inaccessible restroom under the "architectural barriers . . . in existing facilities" provision of the ADA, § 12182(b)(2)(A)(iv). After today's case, a sensible plaintiff will also argue that he has a claim under § 12182(b)(2)(A)(ii) as well. I don't think that either of the other examples are covered by the architectural barriers provision of the ADA, and, until today, it is questionable whether either example would survive a motion to dismiss. But after today's broad decision, plaintiffs can bring these [**35]  claims and argue that they are covered by the policy-and-practices provision.</w:t>
      </w:r>
    </w:p>
    <w:p w:rsidR="00E456CD" w:rsidRDefault="00000000">
      <w:pPr>
        <w:pStyle w:val="Normal44"/>
        <w:widowControl w:val="0"/>
        <w:spacing w:before="200" w:line="260" w:lineRule="atLeast"/>
        <w:jc w:val="both"/>
      </w:pPr>
      <w:bookmarkStart w:id="6958" w:name="Bookmark_para_98_1"/>
      <w:bookmarkEnd w:id="6958"/>
      <w:r>
        <w:rPr>
          <w:rFonts w:ascii="Arial" w:eastAsia="Arial" w:hAnsi="Arial" w:cs="Arial"/>
          <w:color w:val="000000"/>
          <w:sz w:val="20"/>
        </w:rPr>
        <w:t>The majority disagrees with my assessment. It responds that the architectural provision still has bite because some barriers can't be forced under the "policies, practices, and procedures" rubric. Writes the majority:</w:t>
      </w:r>
    </w:p>
    <w:p w:rsidR="00E456CD" w:rsidRDefault="00000000">
      <w:pPr>
        <w:pStyle w:val="Normal44"/>
        <w:widowControl w:val="0"/>
        <w:spacing w:line="260" w:lineRule="atLeast"/>
        <w:ind w:left="400"/>
        <w:jc w:val="both"/>
      </w:pPr>
      <w:bookmarkStart w:id="6959" w:name="Bookmark_para_99_1"/>
      <w:bookmarkEnd w:id="6959"/>
      <w:r>
        <w:rPr>
          <w:rFonts w:ascii="Arial" w:eastAsia="Arial" w:hAnsi="Arial" w:cs="Arial"/>
          <w:color w:val="000000"/>
          <w:sz w:val="20"/>
        </w:rPr>
        <w:t>We disagree with the separate opinion that, under our interpretation, all ordinary "architectural barriers" claims may be recast as "policy or practice" claims. A permanent structural change to a building or surrounding fixtures, such as "[m]aking curb cuts in sidewalks and entrances," 28 C.F.R. § 36.304(b)(2), plainly qualifies as an "architectural barriers" claim. But it would defy ordinary usage to assert that cutting a permanent ramp into a sidewalk is a "modification" to a "policy."</w:t>
      </w:r>
    </w:p>
    <w:p w:rsidR="00E456CD" w:rsidRDefault="00000000">
      <w:pPr>
        <w:pStyle w:val="Normal44"/>
        <w:widowControl w:val="0"/>
        <w:spacing w:before="200" w:line="260" w:lineRule="atLeast"/>
        <w:jc w:val="both"/>
      </w:pPr>
      <w:r>
        <w:rPr>
          <w:rFonts w:ascii="Arial" w:eastAsia="Arial" w:hAnsi="Arial" w:cs="Arial"/>
          <w:color w:val="000000"/>
          <w:sz w:val="20"/>
        </w:rPr>
        <w:t>Maj. Op. at 13 (alteration in original). The majority has misunderstood the strength of its own argument. I agree that a permanent ramp is not a "modification" to a policy (just as installing vehicle hand controls on a car is not a modification to a policy). But just as the majority holds that the dealer has a policy of not allowing foot-impaired drivers to test-drive its cars, it takes only a little lawyerly imagination to accuse the building [**36]  owner of having a policy or practice of not installing permanent ramps in its sidewalks, thus denying its disabled patrons the equal access to its facilities.</w:t>
      </w:r>
    </w:p>
    <w:p w:rsidR="00E456CD" w:rsidRDefault="00000000">
      <w:pPr>
        <w:pStyle w:val="Normal44"/>
        <w:widowControl w:val="0"/>
        <w:spacing w:before="200" w:line="260" w:lineRule="atLeast"/>
        <w:jc w:val="both"/>
      </w:pPr>
      <w:bookmarkStart w:id="6960" w:name="Bookmark_para_100_1"/>
      <w:bookmarkStart w:id="6961" w:name="Bookmark_I1JNTCM1SGP000PYJ7C0003F"/>
      <w:bookmarkStart w:id="6962" w:name="Bookmark_I1JNTCM1X9V000PYJ7C0003G"/>
      <w:bookmarkStart w:id="6963" w:name="Bookmark_I5P5KKKD28T4JH0040000400"/>
      <w:bookmarkEnd w:id="6960"/>
      <w:bookmarkEnd w:id="6961"/>
      <w:bookmarkEnd w:id="6962"/>
      <w:bookmarkEnd w:id="6963"/>
      <w:r>
        <w:rPr>
          <w:rFonts w:ascii="Arial" w:eastAsia="Arial" w:hAnsi="Arial" w:cs="Arial"/>
          <w:color w:val="000000"/>
          <w:sz w:val="20"/>
        </w:rPr>
        <w:t xml:space="preserve">The majority's aggressive reading of § 12182(b)(2)(A)(ii) has a real consequence: it gives putative plaintiffs heretofore unknown abilities to choose the standard of scrutiny their claims must meet to succeed. </w:t>
      </w:r>
      <w:bookmarkStart w:id="6964" w:name="Bookmark_I84B2XMV8SV00002T9F0047P"/>
      <w:bookmarkStart w:id="6965" w:name="Bookmark_I84B2XMVF7G00002T9F0047S"/>
      <w:bookmarkStart w:id="6966" w:name="Bookmark_I84B2XMVKPV00002T9F002R4"/>
      <w:bookmarkStart w:id="6967" w:name="Bookmark_I5P5KKKD2SF8R90030000400"/>
      <w:bookmarkEnd w:id="6964"/>
      <w:bookmarkEnd w:id="6965"/>
      <w:bookmarkEnd w:id="6966"/>
      <w:bookmarkEnd w:id="6967"/>
      <w:r>
        <w:rPr>
          <w:rFonts w:ascii="Arial" w:eastAsia="Arial" w:hAnsi="Arial" w:cs="Arial"/>
          <w:color w:val="000000"/>
          <w:sz w:val="20"/>
        </w:rPr>
        <w:t xml:space="preserve">Take the restroom example. A plaintiff who claims that the owner of a building  [*1021]  has maintained an "architectural barrier" in violation of § 12182(b)(2)(A)(iv) and its regulations must at least make an initial showing that "removal is readily achievable." 42 U.S.C. § 12182(b)(2)(A)(iv); </w:t>
      </w:r>
      <w:r>
        <w:rPr>
          <w:rFonts w:ascii="Arial" w:eastAsia="Arial" w:hAnsi="Arial" w:cs="Arial"/>
          <w:i/>
          <w:color w:val="000000"/>
          <w:sz w:val="20"/>
        </w:rPr>
        <w:t xml:space="preserve">see </w:t>
      </w:r>
      <w:bookmarkStart w:id="6968" w:name="Bookmark_I5P5KKKD28T4JH0030000400"/>
      <w:bookmarkEnd w:id="6968"/>
      <w:r>
        <w:rPr>
          <w:rFonts w:ascii="Arial" w:eastAsia="Arial" w:hAnsi="Arial" w:cs="Arial"/>
          <w:i/>
          <w:color w:val="000000"/>
          <w:sz w:val="20"/>
        </w:rPr>
        <w:t>Colo. Cross Disability Coal. v. Hermanson Family Ltd.</w:t>
      </w:r>
      <w:r>
        <w:rPr>
          <w:rFonts w:ascii="Arial" w:eastAsia="Arial" w:hAnsi="Arial" w:cs="Arial"/>
          <w:color w:val="000000"/>
          <w:sz w:val="20"/>
        </w:rPr>
        <w:t xml:space="preserve">, 264 F.3d 999, 1002 (10th Cir. 2001); </w:t>
      </w:r>
      <w:bookmarkStart w:id="6969" w:name="Bookmark_I5P5KKKD28T4JH0050000400"/>
      <w:bookmarkEnd w:id="6969"/>
      <w:r>
        <w:rPr>
          <w:rFonts w:ascii="Arial" w:eastAsia="Arial" w:hAnsi="Arial" w:cs="Arial"/>
          <w:i/>
          <w:color w:val="000000"/>
          <w:sz w:val="20"/>
        </w:rPr>
        <w:t>Johnson v. YIP Holdings Five, LLC</w:t>
      </w:r>
      <w:r>
        <w:rPr>
          <w:rFonts w:ascii="Arial" w:eastAsia="Arial" w:hAnsi="Arial" w:cs="Arial"/>
          <w:color w:val="000000"/>
          <w:sz w:val="20"/>
        </w:rPr>
        <w:t xml:space="preserve">, No. 2:14-cv-1114-WBS-EFB, 2015 U.S. Dist. LEXIS 123885, 2015 WL 5435659, at *2-3 (E.D. Cal. Sept. 15, 2015). </w:t>
      </w:r>
      <w:bookmarkStart w:id="6970" w:name="Bookmark_I1JNTCM2250000PYJ7C0003H"/>
      <w:bookmarkStart w:id="6971" w:name="Bookmark_I1JNTCM2MR8000PYJ7C0003N"/>
      <w:bookmarkStart w:id="6972" w:name="Bookmark_I1JNTCM29T8000PYJ7C0003K"/>
      <w:bookmarkStart w:id="6973" w:name="Bookmark_I5P5KKKD2SF8R90030000400_2"/>
      <w:bookmarkEnd w:id="6970"/>
      <w:bookmarkEnd w:id="6971"/>
      <w:bookmarkEnd w:id="6972"/>
      <w:bookmarkEnd w:id="6973"/>
      <w:r>
        <w:rPr>
          <w:rFonts w:ascii="Arial" w:eastAsia="Arial" w:hAnsi="Arial" w:cs="Arial"/>
          <w:color w:val="000000"/>
          <w:sz w:val="20"/>
        </w:rPr>
        <w:t xml:space="preserve">But if the same plaintiff also alleges that the building owner "employed the discriminatory policy or practice of providing access to restrooms only to those persons capable of doing so without the aid of a grab bar" and could reasonably modify it, the </w:t>
      </w:r>
      <w:r>
        <w:rPr>
          <w:rFonts w:ascii="Arial" w:eastAsia="Arial" w:hAnsi="Arial" w:cs="Arial"/>
          <w:i/>
          <w:color w:val="000000"/>
          <w:sz w:val="20"/>
        </w:rPr>
        <w:t>defendant</w:t>
      </w:r>
      <w:r>
        <w:rPr>
          <w:rFonts w:ascii="Arial" w:eastAsia="Arial" w:hAnsi="Arial" w:cs="Arial"/>
          <w:color w:val="000000"/>
          <w:sz w:val="20"/>
        </w:rPr>
        <w:t xml:space="preserve"> must show that making the modification to its policy or practice "would fundamentally alter the nature of such goods, services, facilities, privileges, advantages, or accommodations." 42 U.S.C. § 12182(b)(2)(A)(ii); </w:t>
      </w:r>
      <w:r>
        <w:rPr>
          <w:rFonts w:ascii="Arial" w:eastAsia="Arial" w:hAnsi="Arial" w:cs="Arial"/>
          <w:i/>
          <w:color w:val="000000"/>
          <w:sz w:val="20"/>
        </w:rPr>
        <w:t xml:space="preserve">see </w:t>
      </w:r>
      <w:bookmarkStart w:id="6974" w:name="Bookmark_I5P5KKKD2SF8R90020000400"/>
      <w:bookmarkEnd w:id="6974"/>
      <w:r>
        <w:rPr>
          <w:rFonts w:ascii="Arial" w:eastAsia="Arial" w:hAnsi="Arial" w:cs="Arial"/>
          <w:i/>
          <w:color w:val="000000"/>
          <w:sz w:val="20"/>
        </w:rPr>
        <w:t>Colo. Cross</w:t>
      </w:r>
      <w:r>
        <w:rPr>
          <w:rFonts w:ascii="Arial" w:eastAsia="Arial" w:hAnsi="Arial" w:cs="Arial"/>
          <w:color w:val="000000"/>
          <w:sz w:val="20"/>
        </w:rPr>
        <w:t xml:space="preserve">, 264 F.3d at 1003; </w:t>
      </w:r>
      <w:bookmarkStart w:id="6975" w:name="Bookmark_I5P5KKKD2SF8R90040000400"/>
      <w:bookmarkEnd w:id="6975"/>
      <w:r>
        <w:rPr>
          <w:rFonts w:ascii="Arial" w:eastAsia="Arial" w:hAnsi="Arial" w:cs="Arial"/>
          <w:i/>
          <w:color w:val="000000"/>
          <w:sz w:val="20"/>
        </w:rPr>
        <w:t>Wong v. Regents of Univ. of Cal.</w:t>
      </w:r>
      <w:r>
        <w:rPr>
          <w:rFonts w:ascii="Arial" w:eastAsia="Arial" w:hAnsi="Arial" w:cs="Arial"/>
          <w:color w:val="000000"/>
          <w:sz w:val="20"/>
        </w:rPr>
        <w:t xml:space="preserve">, 192 F.3d 807, 816-17 (9th Cir. 1999); </w:t>
      </w:r>
      <w:bookmarkStart w:id="6976" w:name="Bookmark_I5P5KKKD2HM63T0010000400"/>
      <w:bookmarkEnd w:id="6976"/>
      <w:r>
        <w:rPr>
          <w:rFonts w:ascii="Arial" w:eastAsia="Arial" w:hAnsi="Arial" w:cs="Arial"/>
          <w:i/>
          <w:color w:val="000000"/>
          <w:sz w:val="20"/>
        </w:rPr>
        <w:t>Johnson v. Gambrinus Co./Spoetzel Brewery</w:t>
      </w:r>
      <w:r>
        <w:rPr>
          <w:rFonts w:ascii="Arial" w:eastAsia="Arial" w:hAnsi="Arial" w:cs="Arial"/>
          <w:color w:val="000000"/>
          <w:sz w:val="20"/>
        </w:rPr>
        <w:t xml:space="preserve">, 116 F.3d 1052, 1059 (5th Cir. 1997). Indeed, a savvy plaintiff who has an architectural barrier argument will always bring a policies, [**37]  practices, and procedures claim as well. Once the plaintiff makes out a prima facie case, the defendant must demonstrate that the removal of its architectural barrier is "not readily achievable," 42 U.S.C. § 12182(b)(2)(A)(iv), </w:t>
      </w:r>
      <w:r>
        <w:rPr>
          <w:rFonts w:ascii="Arial" w:eastAsia="Arial" w:hAnsi="Arial" w:cs="Arial"/>
          <w:i/>
          <w:color w:val="000000"/>
          <w:sz w:val="20"/>
        </w:rPr>
        <w:t>and</w:t>
      </w:r>
      <w:r>
        <w:rPr>
          <w:rFonts w:ascii="Arial" w:eastAsia="Arial" w:hAnsi="Arial" w:cs="Arial"/>
          <w:color w:val="000000"/>
          <w:sz w:val="20"/>
        </w:rPr>
        <w:t xml:space="preserve"> that modifying its policy "would fundamentally alter the nature of such goods, services, facilities, privileges, advantages, or accommodations," </w:t>
      </w:r>
      <w:r>
        <w:rPr>
          <w:rFonts w:ascii="Arial" w:eastAsia="Arial" w:hAnsi="Arial" w:cs="Arial"/>
          <w:i/>
          <w:color w:val="000000"/>
          <w:sz w:val="20"/>
        </w:rPr>
        <w:t>id.</w:t>
      </w:r>
      <w:r>
        <w:rPr>
          <w:rFonts w:ascii="Arial" w:eastAsia="Arial" w:hAnsi="Arial" w:cs="Arial"/>
          <w:color w:val="000000"/>
          <w:sz w:val="20"/>
        </w:rPr>
        <w:t xml:space="preserve"> § 12182(b)(2)(A)(ii).</w:t>
      </w:r>
    </w:p>
    <w:p w:rsidR="00E456CD" w:rsidRDefault="00000000">
      <w:pPr>
        <w:pStyle w:val="Normal44"/>
        <w:widowControl w:val="0"/>
        <w:spacing w:before="200" w:line="260" w:lineRule="atLeast"/>
        <w:jc w:val="both"/>
      </w:pPr>
      <w:bookmarkStart w:id="6977" w:name="Bookmark_para_101_1"/>
      <w:bookmarkEnd w:id="6977"/>
      <w:r>
        <w:rPr>
          <w:rFonts w:ascii="Arial" w:eastAsia="Arial" w:hAnsi="Arial" w:cs="Arial"/>
          <w:color w:val="000000"/>
          <w:sz w:val="20"/>
        </w:rPr>
        <w:t xml:space="preserve">The majority responds to my concern by telling us that there is no difference between the two standards, that they are, "for practical purposes, identical." Maj. Op. at 14. </w:t>
      </w:r>
      <w:bookmarkStart w:id="6978" w:name="Bookmark_I1JNTCM2XCJ000PYJ7C0003R"/>
      <w:bookmarkStart w:id="6979" w:name="Bookmark_I1JNTCM379J000PYJ7C0003T"/>
      <w:bookmarkStart w:id="6980" w:name="Bookmark_I1JNTCM33GD000PYJ7C0003S"/>
      <w:bookmarkStart w:id="6981" w:name="Bookmark_I5P5KKKD2HM63T0040000400"/>
      <w:bookmarkEnd w:id="6978"/>
      <w:bookmarkEnd w:id="6979"/>
      <w:bookmarkEnd w:id="6980"/>
      <w:bookmarkEnd w:id="6981"/>
      <w:r>
        <w:rPr>
          <w:rFonts w:ascii="Arial" w:eastAsia="Arial" w:hAnsi="Arial" w:cs="Arial"/>
          <w:color w:val="000000"/>
          <w:sz w:val="20"/>
        </w:rPr>
        <w:t xml:space="preserve">This is not reassuring. Ordinarily, when Congress adopts two different standards within the same legislation, we assume that the standards mean different things. </w:t>
      </w:r>
      <w:bookmarkStart w:id="6982" w:name="Bookmark_I1JNTCM3C4P000PYJ7C0003V"/>
      <w:bookmarkStart w:id="6983" w:name="Bookmark_I5P5KKKD28T4JJ0050000400"/>
      <w:bookmarkEnd w:id="6982"/>
      <w:bookmarkEnd w:id="6983"/>
      <w:r>
        <w:rPr>
          <w:rFonts w:ascii="Arial" w:eastAsia="Arial" w:hAnsi="Arial" w:cs="Arial"/>
          <w:color w:val="000000"/>
          <w:sz w:val="20"/>
        </w:rPr>
        <w:t xml:space="preserve">"A presumption that a single word means the same thing throughout a statute goes together with a presumption that different words mean different things." </w:t>
      </w:r>
      <w:bookmarkStart w:id="6984" w:name="Bookmark_I5P5KKKD2HM63T0030000400"/>
      <w:bookmarkEnd w:id="6984"/>
      <w:r>
        <w:rPr>
          <w:rFonts w:ascii="Arial" w:eastAsia="Arial" w:hAnsi="Arial" w:cs="Arial"/>
          <w:i/>
          <w:color w:val="000000"/>
          <w:sz w:val="20"/>
        </w:rPr>
        <w:t>Med. Coll. of Wis. Affiliated Hosps., Inc. v. United States</w:t>
      </w:r>
      <w:r>
        <w:rPr>
          <w:rFonts w:ascii="Arial" w:eastAsia="Arial" w:hAnsi="Arial" w:cs="Arial"/>
          <w:color w:val="000000"/>
          <w:sz w:val="20"/>
        </w:rPr>
        <w:t xml:space="preserve">, 854 F.3d 930, 933 (7th Cir. 2017); </w:t>
      </w:r>
      <w:r>
        <w:rPr>
          <w:rFonts w:ascii="Arial" w:eastAsia="Arial" w:hAnsi="Arial" w:cs="Arial"/>
          <w:i/>
          <w:color w:val="000000"/>
          <w:sz w:val="20"/>
        </w:rPr>
        <w:t xml:space="preserve">see also </w:t>
      </w:r>
      <w:bookmarkStart w:id="6985" w:name="Bookmark_I5P5KKKD2HM63T0050000400"/>
      <w:bookmarkEnd w:id="6985"/>
      <w:r>
        <w:rPr>
          <w:rFonts w:ascii="Arial" w:eastAsia="Arial" w:hAnsi="Arial" w:cs="Arial"/>
          <w:i/>
          <w:color w:val="000000"/>
          <w:sz w:val="20"/>
        </w:rPr>
        <w:t>Mohamad v. Palestinian Auth.</w:t>
      </w:r>
      <w:r>
        <w:rPr>
          <w:rFonts w:ascii="Arial" w:eastAsia="Arial" w:hAnsi="Arial" w:cs="Arial"/>
          <w:color w:val="000000"/>
          <w:sz w:val="20"/>
        </w:rPr>
        <w:t xml:space="preserve">, 566 U.S. 449, 455-56, 132 S. Ct. 1702, 182 L. Ed. 2d 720 (2012); </w:t>
      </w:r>
      <w:bookmarkStart w:id="6986" w:name="Bookmark_I5P5KKKD28T4JJ0020000400"/>
      <w:bookmarkEnd w:id="6986"/>
      <w:r>
        <w:rPr>
          <w:rFonts w:ascii="Arial" w:eastAsia="Arial" w:hAnsi="Arial" w:cs="Arial"/>
          <w:i/>
          <w:color w:val="000000"/>
          <w:sz w:val="20"/>
        </w:rPr>
        <w:t>Sosa v. Alvarez-Machain</w:t>
      </w:r>
      <w:r>
        <w:rPr>
          <w:rFonts w:ascii="Arial" w:eastAsia="Arial" w:hAnsi="Arial" w:cs="Arial"/>
          <w:color w:val="000000"/>
          <w:sz w:val="20"/>
        </w:rPr>
        <w:t xml:space="preserve">, 542 U.S. 692, 711 n.9, 124 S. Ct. 2739, 159 L. Ed. 2d 718 (2004). </w:t>
      </w:r>
      <w:bookmarkStart w:id="6987" w:name="Bookmark_I5P5KKKD28T4JJ0050000400_2"/>
      <w:bookmarkStart w:id="6988" w:name="Bookmark_I1JNTCM3MT0000PYJ7C0003X"/>
      <w:bookmarkStart w:id="6989" w:name="Bookmark_I5P5KKKD2N1RP30020000400"/>
      <w:bookmarkEnd w:id="6987"/>
      <w:bookmarkEnd w:id="6988"/>
      <w:bookmarkEnd w:id="6989"/>
      <w:r>
        <w:rPr>
          <w:rFonts w:ascii="Arial" w:eastAsia="Arial" w:hAnsi="Arial" w:cs="Arial"/>
          <w:color w:val="000000"/>
          <w:sz w:val="20"/>
        </w:rPr>
        <w:t xml:space="preserve">Congress may occasionally engage in "elegant variation"—adopting different language to mean the same thing, perhaps to stave off its own boredom—but we have a presumption against elegant variation. </w:t>
      </w:r>
      <w:r>
        <w:rPr>
          <w:rFonts w:ascii="Arial" w:eastAsia="Arial" w:hAnsi="Arial" w:cs="Arial"/>
          <w:i/>
          <w:color w:val="000000"/>
          <w:sz w:val="20"/>
        </w:rPr>
        <w:t xml:space="preserve">See </w:t>
      </w:r>
      <w:bookmarkStart w:id="6990" w:name="Bookmark_I5P5KKKD28T4JJ0040000400"/>
      <w:bookmarkEnd w:id="6990"/>
      <w:r>
        <w:rPr>
          <w:rFonts w:ascii="Arial" w:eastAsia="Arial" w:hAnsi="Arial" w:cs="Arial"/>
          <w:i/>
          <w:color w:val="000000"/>
          <w:sz w:val="20"/>
        </w:rPr>
        <w:t>EEOC v. Gilbarco, Inc.</w:t>
      </w:r>
      <w:r>
        <w:rPr>
          <w:rFonts w:ascii="Arial" w:eastAsia="Arial" w:hAnsi="Arial" w:cs="Arial"/>
          <w:color w:val="000000"/>
          <w:sz w:val="20"/>
        </w:rPr>
        <w:t xml:space="preserve">, 615 F.2d 985, 999 &amp; n.23 (4th Cir. 1980) ("Congress determined in closely related circumstances to use two different terms. </w:t>
      </w:r>
      <w:bookmarkStart w:id="6991" w:name="Bookmark_I5P5KKKD2N1RP30020000400_2"/>
      <w:bookmarkEnd w:id="6991"/>
      <w:r>
        <w:rPr>
          <w:rFonts w:ascii="Arial" w:eastAsia="Arial" w:hAnsi="Arial" w:cs="Arial"/>
          <w:color w:val="000000"/>
          <w:sz w:val="20"/>
        </w:rPr>
        <w:t xml:space="preserve">It is, therefore, more likely than not that the use of different [**38]  language indicated a legislative intention to mean different things."); </w:t>
      </w:r>
      <w:r>
        <w:rPr>
          <w:rFonts w:ascii="Arial" w:eastAsia="Arial" w:hAnsi="Arial" w:cs="Arial"/>
          <w:i/>
          <w:color w:val="000000"/>
          <w:sz w:val="20"/>
        </w:rPr>
        <w:t xml:space="preserve">see also </w:t>
      </w:r>
      <w:bookmarkStart w:id="6992" w:name="Bookmark_I5P5KKKD2N1RP30010000400"/>
      <w:bookmarkEnd w:id="6992"/>
      <w:r>
        <w:rPr>
          <w:rFonts w:ascii="Arial" w:eastAsia="Arial" w:hAnsi="Arial" w:cs="Arial"/>
          <w:i/>
          <w:color w:val="000000"/>
          <w:sz w:val="20"/>
        </w:rPr>
        <w:t>Burlington Indus. Inc. v. Dayco Corp.</w:t>
      </w:r>
      <w:r>
        <w:rPr>
          <w:rFonts w:ascii="Arial" w:eastAsia="Arial" w:hAnsi="Arial" w:cs="Arial"/>
          <w:color w:val="000000"/>
          <w:sz w:val="20"/>
        </w:rPr>
        <w:t>, 849 F.2d 1418, 1421-22 (Fed. Cir. 1988) (discussing the risks of elegant variation in legal documents).</w:t>
      </w:r>
    </w:p>
    <w:p w:rsidR="00E456CD" w:rsidRDefault="00000000">
      <w:pPr>
        <w:pStyle w:val="Normal44"/>
        <w:widowControl w:val="0"/>
        <w:spacing w:before="200" w:line="260" w:lineRule="atLeast"/>
        <w:jc w:val="both"/>
      </w:pPr>
      <w:bookmarkStart w:id="6993" w:name="Bookmark_para_102_1"/>
      <w:bookmarkEnd w:id="6993"/>
      <w:r>
        <w:rPr>
          <w:rFonts w:ascii="Arial" w:eastAsia="Arial" w:hAnsi="Arial" w:cs="Arial"/>
          <w:color w:val="000000"/>
          <w:sz w:val="20"/>
        </w:rPr>
        <w:t xml:space="preserve">Second, I harbor serious reservations about whether we should construe "policies, practices, and procedures" so broadly when DOJ's regulations and manuals have taken a more modest approach to those terms. DOJ's regulations interpreting § 12182(b)(2)(A)(ii) focus on examples that are far more policy-like than the dealership's "policy" here. </w:t>
      </w:r>
      <w:r>
        <w:rPr>
          <w:rFonts w:ascii="Arial" w:eastAsia="Arial" w:hAnsi="Arial" w:cs="Arial"/>
          <w:i/>
          <w:color w:val="000000"/>
          <w:sz w:val="20"/>
        </w:rPr>
        <w:t>See, e.g.</w:t>
      </w:r>
      <w:r>
        <w:rPr>
          <w:rFonts w:ascii="Arial" w:eastAsia="Arial" w:hAnsi="Arial" w:cs="Arial"/>
          <w:color w:val="000000"/>
          <w:sz w:val="20"/>
        </w:rPr>
        <w:t xml:space="preserve">, 28 C.F.R. § 36.302(c) (forbidding, among other things, surcharges for service animals and other policies that ban service animals); </w:t>
      </w:r>
      <w:r>
        <w:rPr>
          <w:rFonts w:ascii="Arial" w:eastAsia="Arial" w:hAnsi="Arial" w:cs="Arial"/>
          <w:i/>
          <w:color w:val="000000"/>
          <w:sz w:val="20"/>
        </w:rPr>
        <w:t>id.</w:t>
      </w:r>
      <w:r>
        <w:rPr>
          <w:rFonts w:ascii="Arial" w:eastAsia="Arial" w:hAnsi="Arial" w:cs="Arial"/>
          <w:color w:val="000000"/>
          <w:sz w:val="20"/>
        </w:rPr>
        <w:t xml:space="preserve"> § 36.302(e) (requiring modifications to hotel reservation systems); </w:t>
      </w:r>
      <w:r>
        <w:rPr>
          <w:rFonts w:ascii="Arial" w:eastAsia="Arial" w:hAnsi="Arial" w:cs="Arial"/>
          <w:i/>
          <w:color w:val="000000"/>
          <w:sz w:val="20"/>
        </w:rPr>
        <w:t>id.</w:t>
      </w:r>
      <w:r>
        <w:rPr>
          <w:rFonts w:ascii="Arial" w:eastAsia="Arial" w:hAnsi="Arial" w:cs="Arial"/>
          <w:color w:val="000000"/>
          <w:sz w:val="20"/>
        </w:rPr>
        <w:t xml:space="preserve"> § 36.302(f) (requiring modification to seating policies for ticketed events); </w:t>
      </w:r>
      <w:r>
        <w:rPr>
          <w:rFonts w:ascii="Arial" w:eastAsia="Arial" w:hAnsi="Arial" w:cs="Arial"/>
          <w:i/>
          <w:color w:val="000000"/>
          <w:sz w:val="20"/>
        </w:rPr>
        <w:t>see also</w:t>
      </w:r>
      <w:r>
        <w:rPr>
          <w:rFonts w:ascii="Arial" w:eastAsia="Arial" w:hAnsi="Arial" w:cs="Arial"/>
          <w:color w:val="000000"/>
          <w:sz w:val="20"/>
        </w:rPr>
        <w:t xml:space="preserve"> </w:t>
      </w:r>
      <w:r>
        <w:rPr>
          <w:rFonts w:ascii="Arial" w:eastAsia="Arial" w:hAnsi="Arial" w:cs="Arial"/>
          <w:smallCaps/>
          <w:color w:val="000000"/>
          <w:sz w:val="20"/>
        </w:rPr>
        <w:t>Dep'T Of Justice, Ada Title Iii Technical Assistance Manual</w:t>
      </w:r>
      <w:r>
        <w:rPr>
          <w:rFonts w:ascii="Arial" w:eastAsia="Arial" w:hAnsi="Arial" w:cs="Arial"/>
          <w:color w:val="000000"/>
          <w:sz w:val="20"/>
        </w:rPr>
        <w:t xml:space="preserve">, at III-4.2100-2400 (1993) [hereinafter TAM], https://www.ada.gov/taman3.html. These areas are within the core of  [*1022]  what in ordinary conversation we consider to be policies, practices, and procedures. So a doctor who routinely refers certain kinds of medical problems to another specialist is not discriminating against a disabled patient when he "would make a similar referral for an individual without a disability." 28 C.F.R. § 36.302(b)(2). However, the doctor may [**39]  not refer individuals with disabilities to another physician when he would treat similarly situated patients without the same disability. Similarly, a grocery store with check-out aisles that accommodate the disabled must "ensure that an adequate number of accessible check-out aisles are kept open during store hours." </w:t>
      </w:r>
      <w:r>
        <w:rPr>
          <w:rFonts w:ascii="Arial" w:eastAsia="Arial" w:hAnsi="Arial" w:cs="Arial"/>
          <w:i/>
          <w:color w:val="000000"/>
          <w:sz w:val="20"/>
        </w:rPr>
        <w:t>Id.</w:t>
      </w:r>
      <w:r>
        <w:rPr>
          <w:rFonts w:ascii="Arial" w:eastAsia="Arial" w:hAnsi="Arial" w:cs="Arial"/>
          <w:color w:val="000000"/>
          <w:sz w:val="20"/>
        </w:rPr>
        <w:t xml:space="preserve"> § 36.302(d); TAM III 4.2400. The store doesn't get to open wheelchair-accessible aisles during the day but close them at night; such a policy violates § 12182(b)(2)(A)(ii). These are policies or practices as we typically conceive of those terms—a way of doing things, a course of action. Once we find we can wrap up anything as a policy, practice, or procedure, DOJ's regulations become nearly meaningless.</w:t>
      </w:r>
      <w:r>
        <w:rPr>
          <w:rFonts w:ascii="Arial" w:eastAsia="Arial" w:hAnsi="Arial" w:cs="Arial"/>
          <w:vertAlign w:val="superscript"/>
        </w:rPr>
        <w:footnoteReference w:customMarkFollows="1" w:id="291"/>
        <w:t>3</w:t>
      </w:r>
    </w:p>
    <w:p w:rsidR="00E456CD" w:rsidRDefault="00000000">
      <w:pPr>
        <w:pStyle w:val="Normal44"/>
        <w:widowControl w:val="0"/>
        <w:spacing w:before="200" w:line="260" w:lineRule="atLeast"/>
        <w:jc w:val="both"/>
      </w:pPr>
      <w:bookmarkStart w:id="6996" w:name="Bookmark_para_104_1"/>
      <w:bookmarkStart w:id="6997" w:name="Bookmark_I1JNTCM3YR0000PYJ7C00040"/>
      <w:bookmarkStart w:id="6998" w:name="Bookmark_I5P5KKKD2N1RP30040000400"/>
      <w:bookmarkEnd w:id="6996"/>
      <w:bookmarkEnd w:id="6997"/>
      <w:bookmarkEnd w:id="6998"/>
      <w:r>
        <w:rPr>
          <w:rFonts w:ascii="Arial" w:eastAsia="Arial" w:hAnsi="Arial" w:cs="Arial"/>
          <w:color w:val="000000"/>
          <w:sz w:val="20"/>
        </w:rPr>
        <w:t xml:space="preserve">The point is reinforced when we consider DOJ's regulation regarding "vehicle hand controls" that the plaintiff and DOJ urged on us. DOJ thought that vehicle hand controls were required by the ADA, but it located that restriction in § 12182(b)(2)(A)(iv), not in § 12182(b)(2)(A)(ii). The majority resuscitates the essence of the regulation, but locates it in a different provision of the ADA. If the majority had done so formally, it would be a flat violation of the </w:t>
      </w:r>
      <w:r>
        <w:rPr>
          <w:rFonts w:ascii="Arial" w:eastAsia="Arial" w:hAnsi="Arial" w:cs="Arial"/>
          <w:i/>
          <w:color w:val="000000"/>
          <w:sz w:val="20"/>
        </w:rPr>
        <w:t>Chenery</w:t>
      </w:r>
      <w:r>
        <w:rPr>
          <w:rFonts w:ascii="Arial" w:eastAsia="Arial" w:hAnsi="Arial" w:cs="Arial"/>
          <w:color w:val="000000"/>
          <w:sz w:val="20"/>
        </w:rPr>
        <w:t xml:space="preserve"> principle that we don't supply a rationale where the agency's explanation has failed. </w:t>
      </w:r>
      <w:r>
        <w:rPr>
          <w:rFonts w:ascii="Arial" w:eastAsia="Arial" w:hAnsi="Arial" w:cs="Arial"/>
          <w:i/>
          <w:color w:val="000000"/>
          <w:sz w:val="20"/>
        </w:rPr>
        <w:t xml:space="preserve">See </w:t>
      </w:r>
      <w:bookmarkStart w:id="6999" w:name="Bookmark_I5P5KKKD2N1RP30030000400"/>
      <w:bookmarkEnd w:id="6999"/>
      <w:r>
        <w:rPr>
          <w:rFonts w:ascii="Arial" w:eastAsia="Arial" w:hAnsi="Arial" w:cs="Arial"/>
          <w:i/>
          <w:color w:val="000000"/>
          <w:sz w:val="20"/>
        </w:rPr>
        <w:t>SEC v. Chenery Corp.</w:t>
      </w:r>
      <w:r>
        <w:rPr>
          <w:rFonts w:ascii="Arial" w:eastAsia="Arial" w:hAnsi="Arial" w:cs="Arial"/>
          <w:color w:val="000000"/>
          <w:sz w:val="20"/>
        </w:rPr>
        <w:t>, 318 U.S. 80, 88, 63 S. Ct. 454, 87 L. Ed. 626 (1943). The majority has accomplished indirectly what it couldn't have done directly. We should hesitate long before going down this road when DOJ adopted an on-point regulation, but did so under a different provision of the ADA.</w:t>
      </w:r>
    </w:p>
    <w:p w:rsidR="00E456CD" w:rsidRDefault="00000000">
      <w:pPr>
        <w:pStyle w:val="Normal44"/>
        <w:widowControl w:val="0"/>
        <w:spacing w:before="120" w:line="260" w:lineRule="atLeast"/>
      </w:pPr>
      <w:r>
        <w:rPr>
          <w:rFonts w:ascii="Arial" w:eastAsia="Arial" w:hAnsi="Arial" w:cs="Arial"/>
          <w:color w:val="000000"/>
          <w:sz w:val="20"/>
        </w:rPr>
        <w:t>III</w:t>
      </w:r>
    </w:p>
    <w:p w:rsidR="00E456CD" w:rsidRDefault="00000000">
      <w:pPr>
        <w:pStyle w:val="Normal44"/>
        <w:widowControl w:val="0"/>
        <w:spacing w:before="200" w:line="260" w:lineRule="atLeast"/>
        <w:jc w:val="both"/>
      </w:pPr>
      <w:bookmarkStart w:id="7000" w:name="Bookmark_para_105_1"/>
      <w:bookmarkEnd w:id="7000"/>
      <w:r>
        <w:rPr>
          <w:rFonts w:ascii="Arial" w:eastAsia="Arial" w:hAnsi="Arial" w:cs="Arial"/>
          <w:color w:val="000000"/>
          <w:sz w:val="20"/>
        </w:rPr>
        <w:t xml:space="preserve">These are challenging interpretive questions for the ADA. I question whether the majority has got this one right. On the other hand, I don't have a full answer for the majority's analysis. I remain halted between two opinions, </w:t>
      </w:r>
      <w:r>
        <w:rPr>
          <w:rFonts w:ascii="Arial" w:eastAsia="Arial" w:hAnsi="Arial" w:cs="Arial"/>
          <w:i/>
          <w:color w:val="000000"/>
          <w:sz w:val="20"/>
        </w:rPr>
        <w:t>dubitante</w:t>
      </w:r>
      <w:r>
        <w:rPr>
          <w:rFonts w:ascii="Arial" w:eastAsia="Arial" w:hAnsi="Arial" w:cs="Arial"/>
          <w:color w:val="000000"/>
          <w:sz w:val="20"/>
        </w:rPr>
        <w:t>.</w:t>
      </w:r>
    </w:p>
    <w:p w:rsidR="00E456CD" w:rsidRDefault="00E456CD">
      <w:pPr>
        <w:pStyle w:val="Normal44"/>
      </w:pPr>
    </w:p>
    <w:p w:rsidR="00E456CD" w:rsidRDefault="00000000">
      <w:pPr>
        <w:pStyle w:val="Normal44"/>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5449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711352817"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C53554" id="Line 97"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5"/>
        <w:sectPr w:rsidR="00E456CD">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gutter="0"/>
          <w:cols w:space="720"/>
          <w:titlePg/>
        </w:sectPr>
      </w:pPr>
    </w:p>
    <w:p w:rsidR="00E456CD" w:rsidRDefault="00E456CD">
      <w:pPr>
        <w:pStyle w:val="Normal45"/>
      </w:pPr>
    </w:p>
    <w:p w:rsidR="00E456CD" w:rsidRDefault="00000000">
      <w:pPr>
        <w:pStyle w:val="Heading144"/>
        <w:keepNext w:val="0"/>
        <w:widowControl w:val="0"/>
        <w:spacing w:after="200" w:line="340" w:lineRule="atLeast"/>
        <w:jc w:val="center"/>
      </w:pPr>
      <w:r>
        <w:rPr>
          <w:rFonts w:eastAsia="Arial"/>
          <w:color w:val="000000"/>
          <w:sz w:val="28"/>
        </w:rPr>
        <w:t>Kalani v. Starbucks Coffee Co.</w:t>
      </w:r>
    </w:p>
    <w:p w:rsidR="00E456CD" w:rsidRDefault="00000000">
      <w:pPr>
        <w:pStyle w:val="Normal45"/>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45"/>
        <w:widowControl w:val="0"/>
        <w:spacing w:before="120" w:line="260" w:lineRule="atLeast"/>
        <w:jc w:val="center"/>
      </w:pPr>
      <w:r>
        <w:rPr>
          <w:rFonts w:ascii="Arial" w:eastAsia="Arial" w:hAnsi="Arial" w:cs="Arial"/>
          <w:color w:val="000000"/>
          <w:sz w:val="20"/>
        </w:rPr>
        <w:t>May 19, 2017, Argued and Submitted, San Francisco, California; June 28, 2017, Filed</w:t>
      </w:r>
    </w:p>
    <w:p w:rsidR="00E456CD" w:rsidRDefault="00000000">
      <w:pPr>
        <w:pStyle w:val="Normal45"/>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15-16710, No. 16-15227</w:t>
      </w:r>
    </w:p>
    <w:p w:rsidR="00E456CD" w:rsidRDefault="00E456CD">
      <w:pPr>
        <w:pStyle w:val="Normal45"/>
        <w:widowControl w:val="0"/>
        <w:spacing w:line="240" w:lineRule="atLeast"/>
        <w:jc w:val="both"/>
      </w:pPr>
      <w:bookmarkStart w:id="7001" w:name="Bookmark_46"/>
      <w:bookmarkEnd w:id="7001"/>
    </w:p>
    <w:p w:rsidR="00E456CD" w:rsidRDefault="00000000">
      <w:pPr>
        <w:pStyle w:val="Normal45"/>
        <w:widowControl w:val="0"/>
        <w:spacing w:before="200" w:line="240" w:lineRule="atLeast"/>
      </w:pPr>
      <w:bookmarkStart w:id="7002" w:name="Reporter_44"/>
      <w:bookmarkEnd w:id="7002"/>
      <w:r>
        <w:rPr>
          <w:rFonts w:ascii="Arial" w:eastAsia="Arial" w:hAnsi="Arial" w:cs="Arial"/>
          <w:b/>
          <w:color w:val="000000"/>
          <w:sz w:val="18"/>
        </w:rPr>
        <w:t>Reporter</w:t>
      </w:r>
    </w:p>
    <w:p w:rsidR="00E456CD" w:rsidRDefault="00000000">
      <w:pPr>
        <w:pStyle w:val="Normal45"/>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698 Fed. Appx. 883 *; 2017 U.S. App. LEXIS 11540 **; 2017 WL 2813864</w:t>
      </w:r>
    </w:p>
    <w:p w:rsidR="00E456CD" w:rsidRDefault="00000000">
      <w:pPr>
        <w:pStyle w:val="Normal45"/>
        <w:widowControl w:val="0"/>
        <w:spacing w:before="120" w:line="260" w:lineRule="atLeast"/>
      </w:pPr>
      <w:r>
        <w:rPr>
          <w:rFonts w:ascii="Arial" w:eastAsia="Arial" w:hAnsi="Arial" w:cs="Arial"/>
          <w:color w:val="000000"/>
          <w:sz w:val="20"/>
        </w:rPr>
        <w:t>ROSE MARY KALANI, as personal representative of the estate of Robert Kalani, Plaintiff-Appellee, v. STARBUCKS COFFEE COMPANY, Defendant-Appellant. ROSE MARY KALANI, as personal representative of the estate of Robert Kalani, Plaintiff-Appellee, v. STARBUCKS COFFEE COMPANY, Defendant-Appellant.</w:t>
      </w:r>
    </w:p>
    <w:p w:rsidR="00E456CD" w:rsidRDefault="00000000">
      <w:pPr>
        <w:pStyle w:val="Normal45"/>
        <w:widowControl w:val="0"/>
        <w:spacing w:before="240" w:line="260" w:lineRule="atLeast"/>
        <w:jc w:val="both"/>
      </w:pPr>
      <w:bookmarkStart w:id="7003" w:name="Notice_22"/>
      <w:bookmarkEnd w:id="7003"/>
      <w:r>
        <w:rPr>
          <w:rFonts w:ascii="Arial" w:eastAsia="Arial" w:hAnsi="Arial" w:cs="Arial"/>
          <w:b/>
          <w:color w:val="000000"/>
          <w:sz w:val="20"/>
        </w:rPr>
        <w:t>Notice:</w:t>
      </w:r>
      <w:r>
        <w:rPr>
          <w:rFonts w:ascii="Arial" w:eastAsia="Arial" w:hAnsi="Arial" w:cs="Arial"/>
          <w:color w:val="000000"/>
          <w:sz w:val="20"/>
        </w:rPr>
        <w:t> </w:t>
      </w:r>
      <w:bookmarkStart w:id="7004" w:name="Bookmark_para_1_44"/>
      <w:bookmarkEnd w:id="7004"/>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45"/>
        <w:widowControl w:val="0"/>
        <w:spacing w:before="240" w:line="260" w:lineRule="atLeast"/>
        <w:jc w:val="both"/>
      </w:pPr>
      <w:bookmarkStart w:id="7005" w:name="Prior_History_44"/>
      <w:bookmarkEnd w:id="7005"/>
      <w:r>
        <w:rPr>
          <w:rFonts w:ascii="Arial" w:eastAsia="Arial" w:hAnsi="Arial" w:cs="Arial"/>
          <w:b/>
          <w:color w:val="000000"/>
          <w:sz w:val="20"/>
        </w:rPr>
        <w:t>Prior History:</w:t>
      </w:r>
      <w:r>
        <w:rPr>
          <w:rFonts w:ascii="Arial" w:eastAsia="Arial" w:hAnsi="Arial" w:cs="Arial"/>
          <w:color w:val="000000"/>
          <w:sz w:val="20"/>
        </w:rPr>
        <w:t> </w:t>
      </w:r>
      <w:bookmarkStart w:id="7006" w:name="Bookmark_para_2_44"/>
      <w:bookmarkEnd w:id="7006"/>
      <w:r>
        <w:rPr>
          <w:rFonts w:ascii="Arial" w:eastAsia="Arial" w:hAnsi="Arial" w:cs="Arial"/>
          <w:color w:val="000000"/>
          <w:sz w:val="20"/>
        </w:rPr>
        <w:t> [**1] Appeals from the United States District Court for the Northern District of California. D.C .No. 5:13-cv-00734-LHK, D.C. No. 5:13-cv-00734-LHK. Lucy H. Koh, District Judge, Presiding.</w:t>
      </w:r>
    </w:p>
    <w:p w:rsidR="00E456CD" w:rsidRDefault="00000000">
      <w:pPr>
        <w:pStyle w:val="Normal45"/>
        <w:widowControl w:val="0"/>
        <w:spacing w:before="120" w:line="260" w:lineRule="atLeast"/>
      </w:pPr>
      <w:r>
        <w:rPr>
          <w:rFonts w:ascii="Arial" w:eastAsia="Arial" w:hAnsi="Arial" w:cs="Arial"/>
          <w:color w:val="000000"/>
          <w:sz w:val="20"/>
        </w:rPr>
        <w:t>Kalani v. Starbucks Corp., 2016 U.S. Dist. LEXIS 12445 (N.D. Cal., Feb. 1, 2016)</w:t>
      </w:r>
    </w:p>
    <w:p w:rsidR="00E456CD" w:rsidRDefault="00000000">
      <w:pPr>
        <w:pStyle w:val="Normal45"/>
        <w:widowControl w:val="0"/>
        <w:spacing w:before="120" w:line="260" w:lineRule="atLeast"/>
      </w:pPr>
      <w:r>
        <w:rPr>
          <w:rFonts w:ascii="Arial" w:eastAsia="Arial" w:hAnsi="Arial" w:cs="Arial"/>
          <w:color w:val="000000"/>
          <w:sz w:val="20"/>
        </w:rPr>
        <w:t>Kalani v. Starbucks Corp., 117 F. Supp. 3d 1078, 2015 U.S. Dist. LEXIS 98543 (N.D. Cal., July 28, 2015)</w:t>
      </w:r>
    </w:p>
    <w:p w:rsidR="00E456CD" w:rsidRDefault="00000000">
      <w:pPr>
        <w:pStyle w:val="Normal45"/>
        <w:widowControl w:val="0"/>
        <w:spacing w:before="240" w:line="260" w:lineRule="atLeast"/>
        <w:jc w:val="both"/>
      </w:pPr>
      <w:bookmarkStart w:id="7007" w:name="Disposition_12"/>
      <w:bookmarkEnd w:id="7007"/>
      <w:r>
        <w:rPr>
          <w:rFonts w:ascii="Arial" w:eastAsia="Arial" w:hAnsi="Arial" w:cs="Arial"/>
          <w:b/>
          <w:color w:val="000000"/>
          <w:sz w:val="20"/>
        </w:rPr>
        <w:t>Disposition:</w:t>
      </w:r>
      <w:r>
        <w:rPr>
          <w:rFonts w:ascii="Arial" w:eastAsia="Arial" w:hAnsi="Arial" w:cs="Arial"/>
          <w:color w:val="000000"/>
          <w:sz w:val="20"/>
        </w:rPr>
        <w:t> </w:t>
      </w:r>
      <w:bookmarkStart w:id="7008" w:name="Bookmark_clspara_4_10"/>
      <w:bookmarkEnd w:id="7008"/>
      <w:r>
        <w:rPr>
          <w:rFonts w:ascii="Arial" w:eastAsia="Arial" w:hAnsi="Arial" w:cs="Arial"/>
          <w:color w:val="000000"/>
          <w:sz w:val="20"/>
        </w:rPr>
        <w:t>AFFIRMED in part, VACATED in part, and REMANDED with instructions.</w:t>
      </w:r>
    </w:p>
    <w:p w:rsidR="00E456CD" w:rsidRDefault="00000000">
      <w:pPr>
        <w:pStyle w:val="Normal45"/>
        <w:widowControl w:val="0"/>
        <w:spacing w:before="240" w:line="260" w:lineRule="atLeast"/>
      </w:pPr>
      <w:bookmarkStart w:id="7009" w:name="Counsel_44"/>
      <w:bookmarkEnd w:id="7009"/>
      <w:r>
        <w:rPr>
          <w:rFonts w:ascii="Arial" w:eastAsia="Arial" w:hAnsi="Arial" w:cs="Arial"/>
          <w:b/>
          <w:color w:val="000000"/>
          <w:sz w:val="20"/>
        </w:rPr>
        <w:t>Counsel:</w:t>
      </w:r>
      <w:r>
        <w:rPr>
          <w:rFonts w:ascii="Arial" w:eastAsia="Arial" w:hAnsi="Arial" w:cs="Arial"/>
          <w:color w:val="000000"/>
          <w:sz w:val="20"/>
        </w:rPr>
        <w:t> For ROSE MARY KALANI, as personal representative of the estate of Robert Kalani (15-16710, 16-15227), Plaintiff - Appellee: Tanya Eugene Moore, Mission Law Firm, A.P.C., San Jose, CA.</w:t>
      </w:r>
    </w:p>
    <w:p w:rsidR="00E456CD" w:rsidRDefault="00000000">
      <w:pPr>
        <w:pStyle w:val="Normal45"/>
        <w:widowControl w:val="0"/>
        <w:spacing w:before="120" w:line="260" w:lineRule="atLeast"/>
      </w:pPr>
      <w:r>
        <w:rPr>
          <w:rFonts w:ascii="Arial" w:eastAsia="Arial" w:hAnsi="Arial" w:cs="Arial"/>
          <w:color w:val="000000"/>
          <w:sz w:val="20"/>
        </w:rPr>
        <w:t>For STARBUCKS COFFEE COMPANY, sued as Starbucks Corporation, DBA Starbucks Coffee (15-16710, 16-15227), Defendant - Appellant: Shalend Shane Singh, Attorney, Lewis Brisbois Bisgaard &amp; Smith, Sacramento, CA; Arezoo Jamshidi, Attorney, Jeffry A. Miller, Attorney, Lewis Brisbois Bisgaard &amp; Smith LLP, San Diego, CA.</w:t>
      </w:r>
    </w:p>
    <w:p w:rsidR="00E456CD" w:rsidRDefault="00000000">
      <w:pPr>
        <w:pStyle w:val="Normal45"/>
        <w:widowControl w:val="0"/>
        <w:spacing w:before="240" w:line="260" w:lineRule="atLeast"/>
      </w:pPr>
      <w:bookmarkStart w:id="7010" w:name="Judges_44"/>
      <w:bookmarkEnd w:id="7010"/>
      <w:r>
        <w:rPr>
          <w:rFonts w:ascii="Arial" w:eastAsia="Arial" w:hAnsi="Arial" w:cs="Arial"/>
          <w:b/>
          <w:color w:val="000000"/>
          <w:sz w:val="20"/>
        </w:rPr>
        <w:t>Judges:</w:t>
      </w:r>
      <w:r>
        <w:rPr>
          <w:rFonts w:ascii="Arial" w:eastAsia="Arial" w:hAnsi="Arial" w:cs="Arial"/>
          <w:color w:val="000000"/>
          <w:sz w:val="20"/>
        </w:rPr>
        <w:t> Before: TALLMAN and IKUTA, Circuit Judges, and OLIVER,</w:t>
      </w:r>
      <w:r>
        <w:rPr>
          <w:rFonts w:ascii="Arial" w:eastAsia="Arial" w:hAnsi="Arial" w:cs="Arial"/>
          <w:vertAlign w:val="superscript"/>
        </w:rPr>
        <w:footnoteReference w:customMarkFollows="1" w:id="292"/>
        <w:t>**</w:t>
      </w:r>
      <w:r>
        <w:rPr>
          <w:rFonts w:ascii="Arial" w:eastAsia="Arial" w:hAnsi="Arial" w:cs="Arial"/>
          <w:color w:val="000000"/>
          <w:sz w:val="20"/>
        </w:rPr>
        <w:t xml:space="preserve"> Chief District Judge.</w:t>
      </w:r>
    </w:p>
    <w:p w:rsidR="00E456CD" w:rsidRDefault="00000000">
      <w:pPr>
        <w:pStyle w:val="Normal45"/>
        <w:keepNext/>
        <w:widowControl w:val="0"/>
        <w:spacing w:before="240" w:line="340" w:lineRule="atLeast"/>
      </w:pPr>
      <w:bookmarkStart w:id="7012" w:name="Opinion_44"/>
      <w:bookmarkEnd w:id="7012"/>
      <w:r>
        <w:rPr>
          <w:rFonts w:ascii="Arial" w:eastAsia="Arial" w:hAnsi="Arial" w:cs="Arial"/>
          <w:b/>
          <w:color w:val="000000"/>
          <w:sz w:val="28"/>
        </w:rPr>
        <w:t>Opinion</w:t>
      </w:r>
    </w:p>
    <w:p w:rsidR="00E456CD" w:rsidRDefault="00E22289">
      <w:pPr>
        <w:pStyle w:val="Normal45"/>
        <w:spacing w:line="60" w:lineRule="exact"/>
      </w:pPr>
      <w:r>
        <w:rPr>
          <w:noProof/>
        </w:rPr>
        <mc:AlternateContent>
          <mc:Choice Requires="wps">
            <w:drawing>
              <wp:anchor distT="0" distB="0" distL="114300" distR="114300" simplePos="0" relativeHeight="25175552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089350376"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5C6D0" id="Line 98"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5"/>
        <w:spacing w:line="120" w:lineRule="exact"/>
      </w:pPr>
    </w:p>
    <w:p w:rsidR="00E456CD" w:rsidRDefault="00000000">
      <w:pPr>
        <w:pStyle w:val="Normal45"/>
        <w:widowControl w:val="0"/>
        <w:spacing w:before="240" w:line="260" w:lineRule="atLeast"/>
      </w:pPr>
      <w:r>
        <w:br/>
      </w:r>
      <w:r>
        <w:rPr>
          <w:rFonts w:ascii="Arial" w:eastAsia="Arial" w:hAnsi="Arial" w:cs="Arial"/>
          <w:color w:val="000000"/>
          <w:sz w:val="20"/>
        </w:rPr>
        <w:t> [*885]  MEMORANDUM</w:t>
      </w:r>
      <w:r>
        <w:rPr>
          <w:rFonts w:ascii="Arial" w:eastAsia="Arial" w:hAnsi="Arial" w:cs="Arial"/>
          <w:vertAlign w:val="superscript"/>
        </w:rPr>
        <w:footnoteReference w:customMarkFollows="1" w:id="293"/>
        <w:t>*</w:t>
      </w:r>
    </w:p>
    <w:p w:rsidR="00E456CD" w:rsidRDefault="00000000">
      <w:pPr>
        <w:pStyle w:val="Normal45"/>
        <w:widowControl w:val="0"/>
        <w:spacing w:before="200" w:line="260" w:lineRule="atLeast"/>
        <w:jc w:val="both"/>
      </w:pPr>
      <w:bookmarkStart w:id="7014" w:name="Bookmark_para_3_44"/>
      <w:bookmarkEnd w:id="7014"/>
      <w:r>
        <w:rPr>
          <w:rFonts w:ascii="Arial" w:eastAsia="Arial" w:hAnsi="Arial" w:cs="Arial"/>
          <w:color w:val="000000"/>
          <w:sz w:val="20"/>
        </w:rPr>
        <w:t xml:space="preserve">Starbucks Coffee Company ("Starbucks Company") appeals two orders of the district court, granting judgment in favor of the original Plaintiff-Appellee, Robert Kalani, in his action for injunctive relief under Title III of the Americans with Disabilities Act ("ADA"), 42 U.S.C. § 12181 </w:t>
      </w:r>
      <w:r>
        <w:rPr>
          <w:rFonts w:ascii="Arial" w:eastAsia="Arial" w:hAnsi="Arial" w:cs="Arial"/>
          <w:i/>
          <w:color w:val="000000"/>
          <w:sz w:val="20"/>
        </w:rPr>
        <w:t>et seq.</w:t>
      </w:r>
      <w:r>
        <w:rPr>
          <w:rFonts w:ascii="Arial" w:eastAsia="Arial" w:hAnsi="Arial" w:cs="Arial"/>
          <w:color w:val="000000"/>
          <w:sz w:val="20"/>
        </w:rPr>
        <w:t xml:space="preserve">, and statutory damages under the California Unruh Civil Rights Act ("Unruh Act"), Cal. Civ. Code § 51 </w:t>
      </w:r>
      <w:r>
        <w:rPr>
          <w:rFonts w:ascii="Arial" w:eastAsia="Arial" w:hAnsi="Arial" w:cs="Arial"/>
          <w:i/>
          <w:color w:val="000000"/>
          <w:sz w:val="20"/>
        </w:rPr>
        <w:t>et seq.</w:t>
      </w:r>
      <w:r>
        <w:rPr>
          <w:rFonts w:ascii="Arial" w:eastAsia="Arial" w:hAnsi="Arial" w:cs="Arial"/>
          <w:color w:val="000000"/>
          <w:sz w:val="20"/>
        </w:rPr>
        <w:t xml:space="preserve"> Starbucks Company also [**2]  appeals the district court's order granting in part and denying in part Plaintiff-Appellee's request for attorneys' fees and costs. We have jurisdiction under 28 U.S.C. § 1291, and we affirm in part, vacate in part and remand with instructions.</w:t>
      </w:r>
    </w:p>
    <w:p w:rsidR="00E456CD" w:rsidRDefault="00000000">
      <w:pPr>
        <w:pStyle w:val="Normal45"/>
        <w:widowControl w:val="0"/>
        <w:spacing w:before="200" w:line="260" w:lineRule="atLeast"/>
        <w:jc w:val="both"/>
      </w:pPr>
      <w:bookmarkStart w:id="7015" w:name="Bookmark_para_4_44"/>
      <w:bookmarkEnd w:id="7015"/>
      <w:r>
        <w:rPr>
          <w:rFonts w:ascii="Arial" w:eastAsia="Arial" w:hAnsi="Arial" w:cs="Arial"/>
          <w:color w:val="000000"/>
          <w:sz w:val="20"/>
        </w:rPr>
        <w:t xml:space="preserve">1. </w:t>
      </w:r>
      <w:bookmarkStart w:id="7016" w:name="Bookmark_I5P3854W2N1RPB0020000400"/>
      <w:bookmarkEnd w:id="7016"/>
      <w:r>
        <w:rPr>
          <w:rFonts w:ascii="Arial" w:eastAsia="Arial" w:hAnsi="Arial" w:cs="Arial"/>
          <w:color w:val="000000"/>
          <w:sz w:val="20"/>
        </w:rPr>
        <w:t xml:space="preserve">We vacate the district court's judgment in regard to the ADA claims and remand with instructions to dissolve the injunction. </w:t>
      </w:r>
      <w:bookmarkStart w:id="7017" w:name="Bookmark_I5P3854W2N1RPB0040000400"/>
      <w:bookmarkEnd w:id="7017"/>
      <w:r>
        <w:rPr>
          <w:rFonts w:ascii="Arial" w:eastAsia="Arial" w:hAnsi="Arial" w:cs="Arial"/>
          <w:color w:val="000000"/>
          <w:sz w:val="20"/>
        </w:rPr>
        <w:t xml:space="preserve">During the pendency of this appeal, Robert Kalani passed away, and his widow, Rose Mary Kalani, the personal representative of his estate, was substituted as Plaintiff-Appellee. </w:t>
      </w:r>
      <w:bookmarkStart w:id="7018" w:name="Bookmark_I5P3854W2N1RPC0030000400"/>
      <w:bookmarkEnd w:id="7018"/>
      <w:r>
        <w:rPr>
          <w:rFonts w:ascii="Arial" w:eastAsia="Arial" w:hAnsi="Arial" w:cs="Arial"/>
          <w:color w:val="000000"/>
          <w:sz w:val="20"/>
        </w:rPr>
        <w:t xml:space="preserve">Because </w:t>
      </w:r>
      <w:bookmarkStart w:id="7019" w:name="Bookmark_LNHNREFclscc1_36"/>
      <w:bookmarkEnd w:id="7019"/>
      <w:r>
        <w:rPr>
          <w:rFonts w:ascii="Arial" w:eastAsia="Arial" w:hAnsi="Arial" w:cs="Arial"/>
          <w:color w:val="000000"/>
          <w:sz w:val="20"/>
        </w:rPr>
        <w:t xml:space="preserve">the only remedy available to private litigants under Title III is injunctive relief, </w:t>
      </w:r>
      <w:bookmarkStart w:id="7020" w:name="Bookmark_I5P3854W2N1RPB0010000400"/>
      <w:bookmarkEnd w:id="7020"/>
      <w:r>
        <w:rPr>
          <w:rFonts w:ascii="Arial" w:eastAsia="Arial" w:hAnsi="Arial" w:cs="Arial"/>
          <w:i/>
          <w:color w:val="000000"/>
          <w:sz w:val="20"/>
        </w:rPr>
        <w:t>Pickern v. Holiday Quality Foods Inc.</w:t>
      </w:r>
      <w:r>
        <w:rPr>
          <w:rFonts w:ascii="Arial" w:eastAsia="Arial" w:hAnsi="Arial" w:cs="Arial"/>
          <w:color w:val="000000"/>
          <w:sz w:val="20"/>
        </w:rPr>
        <w:t xml:space="preserve">, 293 F.3d 1133, 1136 (9th Cir. 2002) (citing 42 U.S.C. § 12188(a)), Robert Kalani's death renders his claims under the ADA moot, as there is necessarily no prospect of future injury. </w:t>
      </w:r>
      <w:bookmarkStart w:id="7021" w:name="Bookmark_I5P3854W2N1RPC0030000400_2"/>
      <w:bookmarkStart w:id="7022" w:name="Bookmark_I5P3854W2N1RPB0040000400_2"/>
      <w:bookmarkStart w:id="7023" w:name="Bookmark_I5P3854W2N1RPC0050000400"/>
      <w:bookmarkEnd w:id="7021"/>
      <w:bookmarkEnd w:id="7022"/>
      <w:bookmarkEnd w:id="7023"/>
      <w:r>
        <w:rPr>
          <w:rFonts w:ascii="Arial" w:eastAsia="Arial" w:hAnsi="Arial" w:cs="Arial"/>
          <w:i/>
          <w:color w:val="000000"/>
          <w:sz w:val="20"/>
        </w:rPr>
        <w:t xml:space="preserve">See </w:t>
      </w:r>
      <w:bookmarkStart w:id="7024" w:name="Bookmark_I5P3854W2N1RPB0030000400"/>
      <w:bookmarkEnd w:id="7024"/>
      <w:r>
        <w:rPr>
          <w:rFonts w:ascii="Arial" w:eastAsia="Arial" w:hAnsi="Arial" w:cs="Arial"/>
          <w:i/>
          <w:color w:val="000000"/>
          <w:sz w:val="20"/>
        </w:rPr>
        <w:t>Shell Offshore Inc. v. Greenpeace, Inc.</w:t>
      </w:r>
      <w:r>
        <w:rPr>
          <w:rFonts w:ascii="Arial" w:eastAsia="Arial" w:hAnsi="Arial" w:cs="Arial"/>
          <w:color w:val="000000"/>
          <w:sz w:val="20"/>
        </w:rPr>
        <w:t xml:space="preserve">, 815 F.3d 623, 628 (9th Cir. 2016) ("When events change such that the appellate court can no longer grant 'any effectual relief whatever to the prevailing party,' any resulting opinion would be merely advisory."(quoting </w:t>
      </w:r>
      <w:bookmarkStart w:id="7025" w:name="Bookmark_I5P3854W2N1RPB0050000400"/>
      <w:bookmarkEnd w:id="7025"/>
      <w:r>
        <w:rPr>
          <w:rFonts w:ascii="Arial" w:eastAsia="Arial" w:hAnsi="Arial" w:cs="Arial"/>
          <w:i/>
          <w:color w:val="000000"/>
          <w:sz w:val="20"/>
        </w:rPr>
        <w:t>City of Erie v. Pap's A.M.</w:t>
      </w:r>
      <w:r>
        <w:rPr>
          <w:rFonts w:ascii="Arial" w:eastAsia="Arial" w:hAnsi="Arial" w:cs="Arial"/>
          <w:color w:val="000000"/>
          <w:sz w:val="20"/>
        </w:rPr>
        <w:t xml:space="preserve">, 529 U.S. 277, 287, 120 S. Ct. 1382, 146 L. Ed. 2d 265 (2000))). </w:t>
      </w:r>
      <w:bookmarkStart w:id="7026" w:name="Bookmark_I5P3854W2N1RPC0050000400_2"/>
      <w:bookmarkEnd w:id="7026"/>
      <w:r>
        <w:rPr>
          <w:rFonts w:ascii="Arial" w:eastAsia="Arial" w:hAnsi="Arial" w:cs="Arial"/>
          <w:color w:val="000000"/>
          <w:sz w:val="20"/>
        </w:rPr>
        <w:t xml:space="preserve">By contrast, the award of statutory damages under the Unruh Act was neither extinguished nor mooted by Mr. Kalani's death, and his estate may still be compensated for past harm. </w:t>
      </w:r>
      <w:r>
        <w:rPr>
          <w:rFonts w:ascii="Arial" w:eastAsia="Arial" w:hAnsi="Arial" w:cs="Arial"/>
          <w:i/>
          <w:color w:val="000000"/>
          <w:sz w:val="20"/>
        </w:rPr>
        <w:t>See</w:t>
      </w:r>
      <w:r>
        <w:rPr>
          <w:rFonts w:ascii="Arial" w:eastAsia="Arial" w:hAnsi="Arial" w:cs="Arial"/>
          <w:color w:val="000000"/>
          <w:sz w:val="20"/>
        </w:rPr>
        <w:t xml:space="preserve"> Cal. Code Civ. Proc. § 377.34; Cal. Civ. Code § 52; </w:t>
      </w:r>
      <w:r>
        <w:rPr>
          <w:rFonts w:ascii="Arial" w:eastAsia="Arial" w:hAnsi="Arial" w:cs="Arial"/>
          <w:i/>
          <w:color w:val="000000"/>
          <w:sz w:val="20"/>
        </w:rPr>
        <w:t xml:space="preserve">see also </w:t>
      </w:r>
      <w:bookmarkStart w:id="7027" w:name="Bookmark_I5P3854W2N1RPC0020000400"/>
      <w:bookmarkEnd w:id="7027"/>
      <w:r>
        <w:rPr>
          <w:rFonts w:ascii="Arial" w:eastAsia="Arial" w:hAnsi="Arial" w:cs="Arial"/>
          <w:i/>
          <w:color w:val="000000"/>
          <w:sz w:val="20"/>
        </w:rPr>
        <w:t>Sullivan v. Delta Air Lines, Inc.</w:t>
      </w:r>
      <w:r>
        <w:rPr>
          <w:rFonts w:ascii="Arial" w:eastAsia="Arial" w:hAnsi="Arial" w:cs="Arial"/>
          <w:color w:val="000000"/>
          <w:sz w:val="20"/>
        </w:rPr>
        <w:t>, 15 Cal. 4th 288, 305, 63 Cal. Rptr. 2d 74, 935 P.2d 781 (1997).</w:t>
      </w:r>
      <w:r>
        <w:rPr>
          <w:rFonts w:ascii="Arial" w:eastAsia="Arial" w:hAnsi="Arial" w:cs="Arial"/>
          <w:vertAlign w:val="superscript"/>
        </w:rPr>
        <w:footnoteReference w:customMarkFollows="1" w:id="294"/>
        <w:t>1</w:t>
      </w:r>
      <w:r>
        <w:rPr>
          <w:rFonts w:ascii="Arial" w:eastAsia="Arial" w:hAnsi="Arial" w:cs="Arial"/>
          <w:color w:val="000000"/>
          <w:sz w:val="20"/>
        </w:rPr>
        <w:t xml:space="preserve"> Because a "violation of the right of any individual under [**3]  the federal Americans with Disabilities Act of 1990 shall also constitute a violation" of the Unruh Act,  [*886]  </w:t>
      </w:r>
      <w:r>
        <w:rPr>
          <w:rFonts w:ascii="Arial" w:eastAsia="Arial" w:hAnsi="Arial" w:cs="Arial"/>
          <w:i/>
          <w:color w:val="000000"/>
          <w:sz w:val="20"/>
        </w:rPr>
        <w:t>see</w:t>
      </w:r>
      <w:r>
        <w:rPr>
          <w:rFonts w:ascii="Arial" w:eastAsia="Arial" w:hAnsi="Arial" w:cs="Arial"/>
          <w:color w:val="000000"/>
          <w:sz w:val="20"/>
        </w:rPr>
        <w:t xml:space="preserve"> Cal. Civ. Code § 51(f), and Starbucks Company does not appeal two of the violations found by the district court, we affirm the Unruh Act damages award. </w:t>
      </w:r>
      <w:bookmarkStart w:id="7029" w:name="Bookmark_I5P3854W2N1RPC0050000400_3"/>
      <w:bookmarkEnd w:id="7029"/>
      <w:r>
        <w:rPr>
          <w:rFonts w:ascii="Arial" w:eastAsia="Arial" w:hAnsi="Arial" w:cs="Arial"/>
          <w:color w:val="000000"/>
          <w:sz w:val="20"/>
        </w:rPr>
        <w:t xml:space="preserve">However, because extent of success must be considered in assessing the reasonableness of a fee award, </w:t>
      </w:r>
      <w:r>
        <w:rPr>
          <w:rFonts w:ascii="Arial" w:eastAsia="Arial" w:hAnsi="Arial" w:cs="Arial"/>
          <w:i/>
          <w:color w:val="000000"/>
          <w:sz w:val="20"/>
        </w:rPr>
        <w:t xml:space="preserve">see </w:t>
      </w:r>
      <w:bookmarkStart w:id="7030" w:name="Bookmark_I5P3854W2N1RPC0040000400"/>
      <w:bookmarkEnd w:id="7030"/>
      <w:r>
        <w:rPr>
          <w:rFonts w:ascii="Arial" w:eastAsia="Arial" w:hAnsi="Arial" w:cs="Arial"/>
          <w:i/>
          <w:color w:val="000000"/>
          <w:sz w:val="20"/>
        </w:rPr>
        <w:t>Hensley v. Eckerhart</w:t>
      </w:r>
      <w:r>
        <w:rPr>
          <w:rFonts w:ascii="Arial" w:eastAsia="Arial" w:hAnsi="Arial" w:cs="Arial"/>
          <w:color w:val="000000"/>
          <w:sz w:val="20"/>
        </w:rPr>
        <w:t>, 461 U.S. 424, 438, 103 S. Ct. 1933, 76 L. Ed. 2d 40 (1983),we address the claims on the merits.</w:t>
      </w:r>
    </w:p>
    <w:p w:rsidR="00E456CD" w:rsidRDefault="00000000">
      <w:pPr>
        <w:pStyle w:val="Normal45"/>
        <w:widowControl w:val="0"/>
        <w:spacing w:before="200" w:line="260" w:lineRule="atLeast"/>
        <w:jc w:val="both"/>
      </w:pPr>
      <w:bookmarkStart w:id="7031" w:name="Bookmark_para_5_44"/>
      <w:bookmarkEnd w:id="7031"/>
      <w:r>
        <w:rPr>
          <w:rFonts w:ascii="Arial" w:eastAsia="Arial" w:hAnsi="Arial" w:cs="Arial"/>
          <w:color w:val="000000"/>
          <w:sz w:val="20"/>
        </w:rPr>
        <w:t xml:space="preserve">2. </w:t>
      </w:r>
      <w:bookmarkStart w:id="7032" w:name="Bookmark_I5P3854X2SF8MK0020000400"/>
      <w:bookmarkEnd w:id="7032"/>
      <w:r>
        <w:rPr>
          <w:rFonts w:ascii="Arial" w:eastAsia="Arial" w:hAnsi="Arial" w:cs="Arial"/>
          <w:color w:val="000000"/>
          <w:sz w:val="20"/>
        </w:rPr>
        <w:t xml:space="preserve">We affirm the district court's determination that Robert Kalani had standing when he initiated this lawsuit. </w:t>
      </w:r>
      <w:bookmarkStart w:id="7033" w:name="Bookmark_I5P3854X2SF8MK0040000400"/>
      <w:bookmarkStart w:id="7034" w:name="Bookmark_LNHNREFclscc2_36"/>
      <w:bookmarkEnd w:id="7033"/>
      <w:bookmarkEnd w:id="7034"/>
      <w:r>
        <w:rPr>
          <w:rFonts w:ascii="Arial" w:eastAsia="Arial" w:hAnsi="Arial" w:cs="Arial"/>
          <w:color w:val="000000"/>
          <w:sz w:val="20"/>
        </w:rPr>
        <w:t xml:space="preserve">We review de novo a district court's decision regarding standing. </w:t>
      </w:r>
      <w:bookmarkStart w:id="7035" w:name="Bookmark_I5P3854X2SF8MK0010000400"/>
      <w:bookmarkEnd w:id="7035"/>
      <w:r>
        <w:rPr>
          <w:rFonts w:ascii="Arial" w:eastAsia="Arial" w:hAnsi="Arial" w:cs="Arial"/>
          <w:i/>
          <w:color w:val="000000"/>
          <w:sz w:val="20"/>
        </w:rPr>
        <w:t>La Asociacion de Trabajadores de Lake Forest v. City of Lake Forest</w:t>
      </w:r>
      <w:r>
        <w:rPr>
          <w:rFonts w:ascii="Arial" w:eastAsia="Arial" w:hAnsi="Arial" w:cs="Arial"/>
          <w:color w:val="000000"/>
          <w:sz w:val="20"/>
        </w:rPr>
        <w:t xml:space="preserve">, 624 F.3d 1083, 1087 (9th Cir. 2010). </w:t>
      </w:r>
      <w:bookmarkStart w:id="7036" w:name="Bookmark_I5P3854X2SF8MK0040000400_2"/>
      <w:bookmarkStart w:id="7037" w:name="Bookmark_I5P3854X2N1RPD0030000400"/>
      <w:bookmarkStart w:id="7038" w:name="Bookmark_LNHNREFclscc3_34"/>
      <w:bookmarkEnd w:id="7036"/>
      <w:bookmarkEnd w:id="7037"/>
      <w:bookmarkEnd w:id="7038"/>
      <w:r>
        <w:rPr>
          <w:rFonts w:ascii="Arial" w:eastAsia="Arial" w:hAnsi="Arial" w:cs="Arial"/>
          <w:color w:val="000000"/>
          <w:sz w:val="20"/>
        </w:rPr>
        <w:t xml:space="preserve">An ADA plaintiff must not only meet the familiar requirements for Article III standing, but also demonstrate a "'real and immediate threat of repeated injury' in the future." </w:t>
      </w:r>
      <w:bookmarkStart w:id="7039" w:name="Bookmark_I5P3854X2SF8MK0030000400"/>
      <w:bookmarkEnd w:id="7039"/>
      <w:r>
        <w:rPr>
          <w:rFonts w:ascii="Arial" w:eastAsia="Arial" w:hAnsi="Arial" w:cs="Arial"/>
          <w:i/>
          <w:color w:val="000000"/>
          <w:sz w:val="20"/>
        </w:rPr>
        <w:t>Chapman v. Pier 1 Imports (U.S.) Inc.</w:t>
      </w:r>
      <w:r>
        <w:rPr>
          <w:rFonts w:ascii="Arial" w:eastAsia="Arial" w:hAnsi="Arial" w:cs="Arial"/>
          <w:color w:val="000000"/>
          <w:sz w:val="20"/>
        </w:rPr>
        <w:t xml:space="preserve">, 631 F.3d 939, 946 (9th Cir. 2011) (quoting </w:t>
      </w:r>
      <w:bookmarkStart w:id="7040" w:name="Bookmark_I5P3854X2SF8MK0050000400"/>
      <w:bookmarkEnd w:id="7040"/>
      <w:r>
        <w:rPr>
          <w:rFonts w:ascii="Arial" w:eastAsia="Arial" w:hAnsi="Arial" w:cs="Arial"/>
          <w:i/>
          <w:color w:val="000000"/>
          <w:sz w:val="20"/>
        </w:rPr>
        <w:t>Fortyune v. Am. Multi-Cinema, Inc.</w:t>
      </w:r>
      <w:r>
        <w:rPr>
          <w:rFonts w:ascii="Arial" w:eastAsia="Arial" w:hAnsi="Arial" w:cs="Arial"/>
          <w:color w:val="000000"/>
          <w:sz w:val="20"/>
        </w:rPr>
        <w:t xml:space="preserve">, 364 F.3d 1075, 1081 (9th Cir. 2004)). </w:t>
      </w:r>
      <w:bookmarkStart w:id="7041" w:name="Bookmark_I5P3854X2N1RPD0030000400_2"/>
      <w:bookmarkStart w:id="7042" w:name="Bookmark_I5P3854X2N1RPD0050000400"/>
      <w:bookmarkEnd w:id="7041"/>
      <w:bookmarkEnd w:id="7042"/>
      <w:r>
        <w:rPr>
          <w:rFonts w:ascii="Arial" w:eastAsia="Arial" w:hAnsi="Arial" w:cs="Arial"/>
          <w:color w:val="000000"/>
          <w:sz w:val="20"/>
        </w:rPr>
        <w:t xml:space="preserve">Robert Kalani made the requisite showing by averring that he intended to return to Starbucks Coffee Store #6931 in Campbell, California ("Store") when he met with his attorney, attended a yearly expo and meetings of the San Jose chapter of the Californians for Disability Rights organization, or visited family nearby. </w:t>
      </w:r>
      <w:r>
        <w:rPr>
          <w:rFonts w:ascii="Arial" w:eastAsia="Arial" w:hAnsi="Arial" w:cs="Arial"/>
          <w:i/>
          <w:color w:val="000000"/>
          <w:sz w:val="20"/>
        </w:rPr>
        <w:t xml:space="preserve">See </w:t>
      </w:r>
      <w:bookmarkStart w:id="7043" w:name="Bookmark_I5P3854X2N1RPD0020000400"/>
      <w:bookmarkEnd w:id="7043"/>
      <w:r>
        <w:rPr>
          <w:rFonts w:ascii="Arial" w:eastAsia="Arial" w:hAnsi="Arial" w:cs="Arial"/>
          <w:i/>
          <w:color w:val="000000"/>
          <w:sz w:val="20"/>
        </w:rPr>
        <w:t>D'Lil v. Best W. Encina Lodge &amp; Suites</w:t>
      </w:r>
      <w:r>
        <w:rPr>
          <w:rFonts w:ascii="Arial" w:eastAsia="Arial" w:hAnsi="Arial" w:cs="Arial"/>
          <w:color w:val="000000"/>
          <w:sz w:val="20"/>
        </w:rPr>
        <w:t xml:space="preserve">, 538 F.3d 1031, 1037 (9th Cir. 2008) (finding ADA plaintiff shows "actual or imminent injury sufficient to establish standing" when he or she "demonstrates [**4]  an intent to return to the geographic area where the accommodation is located and a desire to visit the accommodation if it were made accessible"). </w:t>
      </w:r>
      <w:bookmarkStart w:id="7044" w:name="Bookmark_I5P3854X2N1RPD0050000400_2"/>
      <w:bookmarkEnd w:id="7044"/>
      <w:r>
        <w:rPr>
          <w:rFonts w:ascii="Arial" w:eastAsia="Arial" w:hAnsi="Arial" w:cs="Arial"/>
          <w:color w:val="000000"/>
          <w:sz w:val="20"/>
        </w:rPr>
        <w:t xml:space="preserve">While Starbucks Company challenges the plausibility of Mr. Kalani's statements, his claim was not rendered </w:t>
      </w:r>
      <w:r>
        <w:rPr>
          <w:rFonts w:ascii="Arial" w:eastAsia="Arial" w:hAnsi="Arial" w:cs="Arial"/>
          <w:i/>
          <w:color w:val="000000"/>
          <w:sz w:val="20"/>
        </w:rPr>
        <w:t>implausible</w:t>
      </w:r>
      <w:r>
        <w:rPr>
          <w:rFonts w:ascii="Arial" w:eastAsia="Arial" w:hAnsi="Arial" w:cs="Arial"/>
          <w:color w:val="000000"/>
          <w:sz w:val="20"/>
        </w:rPr>
        <w:t xml:space="preserve"> simply because other Starbucks stores may be closer in proximity to the locations he planned to visit.</w:t>
      </w:r>
      <w:r>
        <w:rPr>
          <w:rFonts w:ascii="Arial" w:eastAsia="Arial" w:hAnsi="Arial" w:cs="Arial"/>
          <w:vertAlign w:val="superscript"/>
        </w:rPr>
        <w:footnoteReference w:customMarkFollows="1" w:id="295"/>
        <w:t>2</w:t>
      </w:r>
    </w:p>
    <w:p w:rsidR="00E456CD" w:rsidRDefault="00000000">
      <w:pPr>
        <w:pStyle w:val="Normal45"/>
        <w:widowControl w:val="0"/>
        <w:spacing w:before="200" w:line="260" w:lineRule="atLeast"/>
        <w:jc w:val="both"/>
      </w:pPr>
      <w:bookmarkStart w:id="7047" w:name="Bookmark_para_6_44"/>
      <w:bookmarkEnd w:id="7047"/>
      <w:r>
        <w:rPr>
          <w:rFonts w:ascii="Arial" w:eastAsia="Arial" w:hAnsi="Arial" w:cs="Arial"/>
          <w:color w:val="000000"/>
          <w:sz w:val="20"/>
        </w:rPr>
        <w:t xml:space="preserve">3. </w:t>
      </w:r>
      <w:bookmarkStart w:id="7048" w:name="Bookmark_I5P3854X2HM62W0020000400"/>
      <w:bookmarkEnd w:id="7048"/>
      <w:r>
        <w:rPr>
          <w:rFonts w:ascii="Arial" w:eastAsia="Arial" w:hAnsi="Arial" w:cs="Arial"/>
          <w:color w:val="000000"/>
          <w:sz w:val="20"/>
        </w:rPr>
        <w:t xml:space="preserve">The district court also properly granted summary judgment on Plaintiff-Appellee's claim that Starbucks Company failed to maintain a readily accessible thirty-six-inch-long point of sale counter at the Store, as required under the ADA. </w:t>
      </w:r>
      <w:r>
        <w:rPr>
          <w:rFonts w:ascii="Arial" w:eastAsia="Arial" w:hAnsi="Arial" w:cs="Arial"/>
          <w:i/>
          <w:color w:val="000000"/>
          <w:sz w:val="20"/>
        </w:rPr>
        <w:t>See</w:t>
      </w:r>
      <w:r>
        <w:rPr>
          <w:rFonts w:ascii="Arial" w:eastAsia="Arial" w:hAnsi="Arial" w:cs="Arial"/>
          <w:color w:val="000000"/>
          <w:sz w:val="20"/>
        </w:rPr>
        <w:t xml:space="preserve"> 36 C.F.R. pt. 1191, app. D, § 904.4.1; </w:t>
      </w:r>
      <w:r>
        <w:rPr>
          <w:rFonts w:ascii="Arial" w:eastAsia="Arial" w:hAnsi="Arial" w:cs="Arial"/>
          <w:i/>
          <w:color w:val="000000"/>
          <w:sz w:val="20"/>
        </w:rPr>
        <w:t>cf.</w:t>
      </w:r>
      <w:r>
        <w:rPr>
          <w:rFonts w:ascii="Arial" w:eastAsia="Arial" w:hAnsi="Arial" w:cs="Arial"/>
          <w:color w:val="000000"/>
          <w:sz w:val="20"/>
        </w:rPr>
        <w:t xml:space="preserve"> 28 C.F.R. § 36.211(b) (explaining that </w:t>
      </w:r>
      <w:bookmarkStart w:id="7049" w:name="Bookmark_LNHNREFclscc4_33"/>
      <w:bookmarkEnd w:id="7049"/>
      <w:r>
        <w:rPr>
          <w:rFonts w:ascii="Arial" w:eastAsia="Arial" w:hAnsi="Arial" w:cs="Arial"/>
          <w:color w:val="000000"/>
          <w:sz w:val="20"/>
        </w:rPr>
        <w:t xml:space="preserve">the "readily accessible" requirement "does not prohibit isolated or temporary interruptions in service or access due to maintenance or repairs"). </w:t>
      </w:r>
      <w:bookmarkStart w:id="7050" w:name="Bookmark_LNHNREFclscc5_32"/>
      <w:bookmarkEnd w:id="7050"/>
      <w:r>
        <w:rPr>
          <w:rFonts w:ascii="Arial" w:eastAsia="Arial" w:hAnsi="Arial" w:cs="Arial"/>
          <w:color w:val="000000"/>
          <w:sz w:val="20"/>
        </w:rPr>
        <w:t xml:space="preserve">We review de novo a grant of summary judgment. </w:t>
      </w:r>
      <w:bookmarkStart w:id="7051" w:name="Bookmark_I5P3854X28T4JR0010000400"/>
      <w:bookmarkStart w:id="7052" w:name="Bookmark_I5P3854X2HM62W0010000400"/>
      <w:bookmarkEnd w:id="7051"/>
      <w:bookmarkEnd w:id="7052"/>
      <w:r>
        <w:rPr>
          <w:rFonts w:ascii="Arial" w:eastAsia="Arial" w:hAnsi="Arial" w:cs="Arial"/>
          <w:i/>
          <w:color w:val="000000"/>
          <w:sz w:val="20"/>
        </w:rPr>
        <w:t>Kohler v. Flava Enters., Inc.</w:t>
      </w:r>
      <w:r>
        <w:rPr>
          <w:rFonts w:ascii="Arial" w:eastAsia="Arial" w:hAnsi="Arial" w:cs="Arial"/>
          <w:color w:val="000000"/>
          <w:sz w:val="20"/>
        </w:rPr>
        <w:t xml:space="preserve">, 779 F.3d 1016, 1018 (9th Cir. 2015) (citing </w:t>
      </w:r>
      <w:bookmarkStart w:id="7053" w:name="Bookmark_I5P3854X2HM62W0030000400"/>
      <w:bookmarkEnd w:id="7053"/>
      <w:r>
        <w:rPr>
          <w:rFonts w:ascii="Arial" w:eastAsia="Arial" w:hAnsi="Arial" w:cs="Arial"/>
          <w:i/>
          <w:color w:val="000000"/>
          <w:sz w:val="20"/>
        </w:rPr>
        <w:t>Curley v. City of North Las Vegas</w:t>
      </w:r>
      <w:r>
        <w:rPr>
          <w:rFonts w:ascii="Arial" w:eastAsia="Arial" w:hAnsi="Arial" w:cs="Arial"/>
          <w:color w:val="000000"/>
          <w:sz w:val="20"/>
        </w:rPr>
        <w:t xml:space="preserve">, 772 F.3d 629, 631 (9th Cir. 2014)). </w:t>
      </w:r>
      <w:bookmarkStart w:id="7054" w:name="Bookmark_I5P3854X28T4JR0010000400_2"/>
      <w:bookmarkEnd w:id="7054"/>
      <w:r>
        <w:rPr>
          <w:rFonts w:ascii="Arial" w:eastAsia="Arial" w:hAnsi="Arial" w:cs="Arial"/>
          <w:color w:val="000000"/>
          <w:sz w:val="20"/>
        </w:rPr>
        <w:t xml:space="preserve">We find that Plaintiff-Appellee's evidence established that the items placed on the Store's point of sale counter were not "isolated or temporary interruptions," but rather reoccurring barriers to access by patrons in wheelchairs. </w:t>
      </w:r>
      <w:r>
        <w:rPr>
          <w:rFonts w:ascii="Arial" w:eastAsia="Arial" w:hAnsi="Arial" w:cs="Arial"/>
          <w:i/>
          <w:color w:val="000000"/>
          <w:sz w:val="20"/>
        </w:rPr>
        <w:t xml:space="preserve">Cf. </w:t>
      </w:r>
      <w:bookmarkStart w:id="7055" w:name="Bookmark_I5P3854X2HM62W0050000400"/>
      <w:bookmarkEnd w:id="7055"/>
      <w:r>
        <w:rPr>
          <w:rFonts w:ascii="Arial" w:eastAsia="Arial" w:hAnsi="Arial" w:cs="Arial"/>
          <w:i/>
          <w:color w:val="000000"/>
          <w:sz w:val="20"/>
        </w:rPr>
        <w:t>Chapman v. Pier 1 Imports (U.S.) Inc.</w:t>
      </w:r>
      <w:r>
        <w:rPr>
          <w:rFonts w:ascii="Arial" w:eastAsia="Arial" w:hAnsi="Arial" w:cs="Arial"/>
          <w:color w:val="000000"/>
          <w:sz w:val="20"/>
        </w:rPr>
        <w:t>, 779 F.3d 1001, 1009-10 (9th Cir. 2015).</w:t>
      </w:r>
    </w:p>
    <w:p w:rsidR="00E456CD" w:rsidRDefault="00000000">
      <w:pPr>
        <w:pStyle w:val="Normal45"/>
        <w:widowControl w:val="0"/>
        <w:spacing w:before="200" w:line="260" w:lineRule="atLeast"/>
        <w:jc w:val="both"/>
      </w:pPr>
      <w:bookmarkStart w:id="7056" w:name="Bookmark_para_7_43"/>
      <w:bookmarkStart w:id="7057" w:name="Bookmark_I5P3854X28T4JR0030000400"/>
      <w:bookmarkEnd w:id="7056"/>
      <w:bookmarkEnd w:id="7057"/>
      <w:r>
        <w:rPr>
          <w:rFonts w:ascii="Arial" w:eastAsia="Arial" w:hAnsi="Arial" w:cs="Arial"/>
          <w:color w:val="000000"/>
          <w:sz w:val="20"/>
        </w:rPr>
        <w:t xml:space="preserve">4. Finally, we affirm the district court's judgment at trial that the Store's interior accessible [**5]  tables violated the statutory provisions of Title III of the ADA. </w:t>
      </w:r>
      <w:r>
        <w:rPr>
          <w:rFonts w:ascii="Arial" w:eastAsia="Arial" w:hAnsi="Arial" w:cs="Arial"/>
          <w:i/>
          <w:color w:val="000000"/>
          <w:sz w:val="20"/>
        </w:rPr>
        <w:t>See</w:t>
      </w:r>
      <w:r>
        <w:rPr>
          <w:rFonts w:ascii="Arial" w:eastAsia="Arial" w:hAnsi="Arial" w:cs="Arial"/>
          <w:color w:val="000000"/>
          <w:sz w:val="20"/>
        </w:rPr>
        <w:t xml:space="preserve"> 42 U.S.C. § 12182(b)(1)(A)(ii)-(iii), (b)(1)(B). </w:t>
      </w:r>
      <w:bookmarkStart w:id="7058" w:name="Bookmark_I5P3854X28T4JR0050000400"/>
      <w:bookmarkStart w:id="7059" w:name="Bookmark_LNHNREFclscc6_29"/>
      <w:bookmarkEnd w:id="7058"/>
      <w:bookmarkEnd w:id="7059"/>
      <w:r>
        <w:rPr>
          <w:rFonts w:ascii="Arial" w:eastAsia="Arial" w:hAnsi="Arial" w:cs="Arial"/>
          <w:color w:val="000000"/>
          <w:sz w:val="20"/>
        </w:rPr>
        <w:t xml:space="preserve">Following a bench trial, we review de novo a district court's conclusions of law. </w:t>
      </w:r>
      <w:bookmarkStart w:id="7060" w:name="Bookmark_I5P3854X28T4JR0020000400"/>
      <w:bookmarkEnd w:id="7060"/>
      <w:r>
        <w:rPr>
          <w:rFonts w:ascii="Arial" w:eastAsia="Arial" w:hAnsi="Arial" w:cs="Arial"/>
          <w:i/>
          <w:color w:val="000000"/>
          <w:sz w:val="20"/>
        </w:rPr>
        <w:t>Love v. Associated Newspapers, Ltd.</w:t>
      </w:r>
      <w:r>
        <w:rPr>
          <w:rFonts w:ascii="Arial" w:eastAsia="Arial" w:hAnsi="Arial" w:cs="Arial"/>
          <w:color w:val="000000"/>
          <w:sz w:val="20"/>
        </w:rPr>
        <w:t xml:space="preserve">, 611 F.3d 601, 614 (9th Cir. 2010). </w:t>
      </w:r>
      <w:bookmarkStart w:id="7061" w:name="Bookmark_I5P3854X28T4JR0050000400_2"/>
      <w:bookmarkStart w:id="7062" w:name="Bookmark_LNHNREFclscc7_29"/>
      <w:bookmarkEnd w:id="7061"/>
      <w:bookmarkEnd w:id="7062"/>
      <w:r>
        <w:rPr>
          <w:rFonts w:ascii="Arial" w:eastAsia="Arial" w:hAnsi="Arial" w:cs="Arial"/>
          <w:color w:val="000000"/>
          <w:sz w:val="20"/>
        </w:rPr>
        <w:t xml:space="preserve">The  [*887]  ADA requires public accommodations to take reasonable steps to provide an experience comparable to that afforded to non-disabled patrons. </w:t>
      </w:r>
      <w:r>
        <w:rPr>
          <w:rFonts w:ascii="Arial" w:eastAsia="Arial" w:hAnsi="Arial" w:cs="Arial"/>
          <w:i/>
          <w:color w:val="000000"/>
          <w:sz w:val="20"/>
        </w:rPr>
        <w:t xml:space="preserve">See </w:t>
      </w:r>
      <w:bookmarkStart w:id="7063" w:name="Bookmark_I5P3854X28T4JR0040000400"/>
      <w:bookmarkEnd w:id="7063"/>
      <w:r>
        <w:rPr>
          <w:rFonts w:ascii="Arial" w:eastAsia="Arial" w:hAnsi="Arial" w:cs="Arial"/>
          <w:i/>
          <w:color w:val="000000"/>
          <w:sz w:val="20"/>
        </w:rPr>
        <w:t>Baughman v. Walt Disney World Co.</w:t>
      </w:r>
      <w:r>
        <w:rPr>
          <w:rFonts w:ascii="Arial" w:eastAsia="Arial" w:hAnsi="Arial" w:cs="Arial"/>
          <w:color w:val="000000"/>
          <w:sz w:val="20"/>
        </w:rPr>
        <w:t>, 685 F.3d 1131, 1135 (9th Cir. 2012). The district court could reasonably conclude that, by failing to provide any interior facing accessible seating, Starbucks Company deprived its wheelchair-bound customers of the opportunity to participate, to the same extent as non-disabled patrons, in the social aspects of the "full and rewarding coffeehouse experience" Starbucks Company consciously affords its able-bodied patrons.</w:t>
      </w:r>
    </w:p>
    <w:p w:rsidR="00E456CD" w:rsidRDefault="00000000">
      <w:pPr>
        <w:pStyle w:val="Normal45"/>
        <w:widowControl w:val="0"/>
        <w:spacing w:before="200" w:line="260" w:lineRule="atLeast"/>
        <w:jc w:val="both"/>
      </w:pPr>
      <w:bookmarkStart w:id="7064" w:name="Bookmark_para_8_43"/>
      <w:bookmarkEnd w:id="7064"/>
      <w:r>
        <w:rPr>
          <w:rFonts w:ascii="Arial" w:eastAsia="Arial" w:hAnsi="Arial" w:cs="Arial"/>
          <w:color w:val="000000"/>
          <w:sz w:val="20"/>
        </w:rPr>
        <w:t xml:space="preserve">5. Accordingly, we vacate the district court's order in regard to Plaintiff-Appellee's ADA claims. </w:t>
      </w:r>
      <w:bookmarkStart w:id="7065" w:name="Bookmark_I5P3854X2SF8MN0020000400"/>
      <w:bookmarkEnd w:id="7065"/>
      <w:r>
        <w:rPr>
          <w:rFonts w:ascii="Arial" w:eastAsia="Arial" w:hAnsi="Arial" w:cs="Arial"/>
          <w:color w:val="000000"/>
          <w:sz w:val="20"/>
        </w:rPr>
        <w:t xml:space="preserve">However, we affirm the district court's orders with respect to Rose Mary Kalani's claims under the Unruh Act. This matter is remanded to the district court with instructions to dissolve the injunction and to redetermine the award of attorneys' fees and costs, if necessary, in light of the matters determined in this appeal. In so doing, we in no way opine on the issues raised by Defendant-Appellant on appeal [**6]  in regard to the fee award, such as block billing and excessive time spent conferencing and drafting, over which the district court has broad discretion. </w:t>
      </w:r>
      <w:r>
        <w:rPr>
          <w:rFonts w:ascii="Arial" w:eastAsia="Arial" w:hAnsi="Arial" w:cs="Arial"/>
          <w:i/>
          <w:color w:val="000000"/>
          <w:sz w:val="20"/>
        </w:rPr>
        <w:t xml:space="preserve">See, e.g., </w:t>
      </w:r>
      <w:bookmarkStart w:id="7066" w:name="Bookmark_I5P3854X2SF8MN0010000400"/>
      <w:bookmarkEnd w:id="7066"/>
      <w:r>
        <w:rPr>
          <w:rFonts w:ascii="Arial" w:eastAsia="Arial" w:hAnsi="Arial" w:cs="Arial"/>
          <w:i/>
          <w:color w:val="000000"/>
          <w:sz w:val="20"/>
        </w:rPr>
        <w:t>Van Gerwen v. Guarantee Mut. Life Co.</w:t>
      </w:r>
      <w:r>
        <w:rPr>
          <w:rFonts w:ascii="Arial" w:eastAsia="Arial" w:hAnsi="Arial" w:cs="Arial"/>
          <w:color w:val="000000"/>
          <w:sz w:val="20"/>
        </w:rPr>
        <w:t>, 214 F.3d 1041, 1047 (9th Cir. 2000).</w:t>
      </w:r>
    </w:p>
    <w:p w:rsidR="00E456CD" w:rsidRDefault="00000000">
      <w:pPr>
        <w:pStyle w:val="Normal45"/>
        <w:widowControl w:val="0"/>
        <w:spacing w:before="200" w:line="260" w:lineRule="atLeast"/>
        <w:jc w:val="both"/>
      </w:pPr>
      <w:bookmarkStart w:id="7067" w:name="Bookmark_para_9_42"/>
      <w:bookmarkEnd w:id="7067"/>
      <w:r>
        <w:rPr>
          <w:rFonts w:ascii="Arial" w:eastAsia="Arial" w:hAnsi="Arial" w:cs="Arial"/>
          <w:color w:val="000000"/>
          <w:sz w:val="20"/>
        </w:rPr>
        <w:t>Each side shall bear its own costs on this appeal.</w:t>
      </w:r>
    </w:p>
    <w:p w:rsidR="00E456CD" w:rsidRDefault="00000000">
      <w:pPr>
        <w:pStyle w:val="Normal45"/>
        <w:widowControl w:val="0"/>
        <w:spacing w:before="200" w:line="260" w:lineRule="atLeast"/>
        <w:jc w:val="both"/>
      </w:pPr>
      <w:bookmarkStart w:id="7068" w:name="Bookmark_para_10_40"/>
      <w:bookmarkEnd w:id="7068"/>
      <w:r>
        <w:rPr>
          <w:rFonts w:ascii="Arial" w:eastAsia="Arial" w:hAnsi="Arial" w:cs="Arial"/>
          <w:b/>
          <w:color w:val="000000"/>
          <w:sz w:val="20"/>
        </w:rPr>
        <w:t>AFFIRMED in part, VACATED in part, and REMANDED with instructions</w:t>
      </w:r>
      <w:r>
        <w:rPr>
          <w:rFonts w:ascii="Arial" w:eastAsia="Arial" w:hAnsi="Arial" w:cs="Arial"/>
          <w:color w:val="000000"/>
          <w:sz w:val="20"/>
        </w:rPr>
        <w:t>.</w:t>
      </w:r>
    </w:p>
    <w:p w:rsidR="00E456CD" w:rsidRDefault="00E456CD">
      <w:pPr>
        <w:pStyle w:val="Normal45"/>
      </w:pPr>
    </w:p>
    <w:p w:rsidR="00E456CD" w:rsidRDefault="00000000">
      <w:pPr>
        <w:pStyle w:val="Normal45"/>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5654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945304757"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037FF" id="Line 99"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6"/>
        <w:sectPr w:rsidR="00E456CD">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gutter="0"/>
          <w:cols w:space="720"/>
          <w:titlePg/>
        </w:sectPr>
      </w:pPr>
    </w:p>
    <w:p w:rsidR="00E456CD" w:rsidRDefault="00E456CD">
      <w:pPr>
        <w:pStyle w:val="Normal46"/>
      </w:pPr>
    </w:p>
    <w:p w:rsidR="00E456CD" w:rsidRDefault="00000000">
      <w:pPr>
        <w:pStyle w:val="Heading145"/>
        <w:keepNext w:val="0"/>
        <w:widowControl w:val="0"/>
        <w:spacing w:after="200" w:line="340" w:lineRule="atLeast"/>
        <w:jc w:val="center"/>
      </w:pPr>
      <w:r>
        <w:rPr>
          <w:rFonts w:eastAsia="Arial"/>
          <w:color w:val="000000"/>
          <w:sz w:val="28"/>
        </w:rPr>
        <w:t>Chin v. Rutgers</w:t>
      </w:r>
    </w:p>
    <w:p w:rsidR="00E456CD" w:rsidRDefault="00000000">
      <w:pPr>
        <w:pStyle w:val="Normal46"/>
        <w:widowControl w:val="0"/>
        <w:spacing w:before="120" w:line="260" w:lineRule="atLeast"/>
        <w:jc w:val="center"/>
      </w:pPr>
      <w:r>
        <w:rPr>
          <w:rFonts w:ascii="Arial" w:eastAsia="Arial" w:hAnsi="Arial" w:cs="Arial"/>
          <w:color w:val="000000"/>
          <w:sz w:val="20"/>
        </w:rPr>
        <w:t>United States Court of Appeals for the Third Circuit</w:t>
      </w:r>
    </w:p>
    <w:p w:rsidR="00E456CD" w:rsidRDefault="00000000">
      <w:pPr>
        <w:pStyle w:val="Normal46"/>
        <w:widowControl w:val="0"/>
        <w:spacing w:before="120" w:line="260" w:lineRule="atLeast"/>
        <w:jc w:val="center"/>
      </w:pPr>
      <w:r>
        <w:rPr>
          <w:rFonts w:ascii="Arial" w:eastAsia="Arial" w:hAnsi="Arial" w:cs="Arial"/>
          <w:color w:val="000000"/>
          <w:sz w:val="20"/>
        </w:rPr>
        <w:t>March 31, 2017, Submitted Under Third Circuit L.A.R. 34.1(a); June 22, 2017, Opinion Filed</w:t>
      </w:r>
    </w:p>
    <w:p w:rsidR="00E456CD" w:rsidRDefault="00000000">
      <w:pPr>
        <w:pStyle w:val="Normal46"/>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16-2737</w:t>
      </w:r>
    </w:p>
    <w:p w:rsidR="00E456CD" w:rsidRDefault="00E456CD">
      <w:pPr>
        <w:pStyle w:val="Normal46"/>
        <w:widowControl w:val="0"/>
        <w:spacing w:line="240" w:lineRule="atLeast"/>
        <w:jc w:val="both"/>
      </w:pPr>
      <w:bookmarkStart w:id="7069" w:name="Bookmark_47"/>
      <w:bookmarkEnd w:id="7069"/>
    </w:p>
    <w:p w:rsidR="00E456CD" w:rsidRDefault="00000000">
      <w:pPr>
        <w:pStyle w:val="Normal46"/>
        <w:widowControl w:val="0"/>
        <w:spacing w:before="200" w:line="240" w:lineRule="atLeast"/>
      </w:pPr>
      <w:bookmarkStart w:id="7070" w:name="Reporter_45"/>
      <w:bookmarkEnd w:id="7070"/>
      <w:r>
        <w:rPr>
          <w:rFonts w:ascii="Arial" w:eastAsia="Arial" w:hAnsi="Arial" w:cs="Arial"/>
          <w:b/>
          <w:color w:val="000000"/>
          <w:sz w:val="18"/>
        </w:rPr>
        <w:t>Reporter</w:t>
      </w:r>
    </w:p>
    <w:p w:rsidR="00E456CD" w:rsidRDefault="00000000">
      <w:pPr>
        <w:pStyle w:val="Normal46"/>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697 Fed. Appx. 751 *; 2017 U.S. App. LEXIS 11069 **; 2017 WL 2703587</w:t>
      </w:r>
    </w:p>
    <w:p w:rsidR="00E456CD" w:rsidRDefault="00000000">
      <w:pPr>
        <w:pStyle w:val="Normal46"/>
        <w:widowControl w:val="0"/>
        <w:spacing w:before="120" w:line="260" w:lineRule="atLeast"/>
      </w:pPr>
      <w:r>
        <w:rPr>
          <w:rFonts w:ascii="Arial" w:eastAsia="Arial" w:hAnsi="Arial" w:cs="Arial"/>
          <w:color w:val="000000"/>
          <w:sz w:val="20"/>
        </w:rPr>
        <w:t>IRIS CHIN, Appellant v. RUTGERS, The State University of New Jersey; RUTGERS NEW JERSEY MEDICAL SCHOOL; JAMES M. HILL, Ph. D., individually and in his official capacity; ABC CORPORATION (1-10); JOHN DOES (1-10); JANE DOES (1-10)</w:t>
      </w:r>
    </w:p>
    <w:p w:rsidR="00E456CD" w:rsidRDefault="00000000">
      <w:pPr>
        <w:pStyle w:val="Normal46"/>
        <w:widowControl w:val="0"/>
        <w:spacing w:before="240" w:line="260" w:lineRule="atLeast"/>
        <w:jc w:val="both"/>
      </w:pPr>
      <w:bookmarkStart w:id="7071" w:name="Notice_23"/>
      <w:bookmarkEnd w:id="7071"/>
      <w:r>
        <w:rPr>
          <w:rFonts w:ascii="Arial" w:eastAsia="Arial" w:hAnsi="Arial" w:cs="Arial"/>
          <w:b/>
          <w:color w:val="000000"/>
          <w:sz w:val="20"/>
        </w:rPr>
        <w:t>Notice:</w:t>
      </w:r>
      <w:r>
        <w:rPr>
          <w:rFonts w:ascii="Arial" w:eastAsia="Arial" w:hAnsi="Arial" w:cs="Arial"/>
          <w:color w:val="000000"/>
          <w:sz w:val="20"/>
        </w:rPr>
        <w:t> </w:t>
      </w:r>
      <w:bookmarkStart w:id="7072" w:name="Bookmark_para_1_45"/>
      <w:bookmarkEnd w:id="7072"/>
      <w:r>
        <w:rPr>
          <w:rFonts w:ascii="Arial" w:eastAsia="Arial" w:hAnsi="Arial" w:cs="Arial"/>
          <w:color w:val="000000"/>
          <w:sz w:val="20"/>
        </w:rPr>
        <w:t>NOT PRECEDENTIAL OPINION UNDER THIRD CIRCUIT INTERNAL OPERATING PROCEDURE RULE 5.7. SUCH OPINIONS ARE NOT REGARDED AS PRECEDENTS WHICH BIND THE COURT.</w:t>
      </w:r>
    </w:p>
    <w:p w:rsidR="00E456CD" w:rsidRDefault="00000000">
      <w:pPr>
        <w:pStyle w:val="Normal46"/>
        <w:widowControl w:val="0"/>
        <w:spacing w:before="200" w:line="260" w:lineRule="atLeast"/>
        <w:jc w:val="both"/>
      </w:pPr>
      <w:bookmarkStart w:id="7073" w:name="Bookmark_para_2_45"/>
      <w:bookmarkEnd w:id="7073"/>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46"/>
        <w:widowControl w:val="0"/>
        <w:spacing w:before="240" w:line="260" w:lineRule="atLeast"/>
        <w:jc w:val="both"/>
      </w:pPr>
      <w:bookmarkStart w:id="7074" w:name="Prior_History_45"/>
      <w:bookmarkEnd w:id="7074"/>
      <w:r>
        <w:rPr>
          <w:rFonts w:ascii="Arial" w:eastAsia="Arial" w:hAnsi="Arial" w:cs="Arial"/>
          <w:b/>
          <w:color w:val="000000"/>
          <w:sz w:val="20"/>
        </w:rPr>
        <w:t>Prior History:</w:t>
      </w:r>
      <w:r>
        <w:rPr>
          <w:rFonts w:ascii="Arial" w:eastAsia="Arial" w:hAnsi="Arial" w:cs="Arial"/>
          <w:color w:val="000000"/>
          <w:sz w:val="20"/>
        </w:rPr>
        <w:t> </w:t>
      </w:r>
      <w:bookmarkStart w:id="7075" w:name="Bookmark_para_3_45"/>
      <w:bookmarkEnd w:id="7075"/>
      <w:r>
        <w:rPr>
          <w:rFonts w:ascii="Arial" w:eastAsia="Arial" w:hAnsi="Arial" w:cs="Arial"/>
          <w:color w:val="000000"/>
          <w:sz w:val="20"/>
        </w:rPr>
        <w:t> [**1] On Appeal from the United States District Court for the District of New Jersey. (D.C. No. 2-14-cv-01332). District Judge: Honorable Jose L. Linares.</w:t>
      </w:r>
    </w:p>
    <w:p w:rsidR="00E456CD" w:rsidRDefault="00000000">
      <w:pPr>
        <w:pStyle w:val="Normal46"/>
        <w:widowControl w:val="0"/>
        <w:spacing w:before="120" w:line="260" w:lineRule="atLeast"/>
      </w:pPr>
      <w:r>
        <w:rPr>
          <w:rFonts w:ascii="Arial" w:eastAsia="Arial" w:hAnsi="Arial" w:cs="Arial"/>
          <w:color w:val="000000"/>
          <w:sz w:val="20"/>
        </w:rPr>
        <w:t>Chin v. Rutgers, 2016 U.S. Dist. LEXIS 61438 (D.N.J., May 9, 2016)</w:t>
      </w:r>
    </w:p>
    <w:p w:rsidR="00E456CD" w:rsidRDefault="00000000">
      <w:pPr>
        <w:pStyle w:val="Normal46"/>
        <w:widowControl w:val="0"/>
        <w:spacing w:before="240" w:line="260" w:lineRule="atLeast"/>
      </w:pPr>
      <w:bookmarkStart w:id="7076" w:name="Counsel_45"/>
      <w:bookmarkEnd w:id="7076"/>
      <w:r>
        <w:rPr>
          <w:rFonts w:ascii="Arial" w:eastAsia="Arial" w:hAnsi="Arial" w:cs="Arial"/>
          <w:b/>
          <w:color w:val="000000"/>
          <w:sz w:val="20"/>
        </w:rPr>
        <w:t>Counsel:</w:t>
      </w:r>
      <w:r>
        <w:rPr>
          <w:rFonts w:ascii="Arial" w:eastAsia="Arial" w:hAnsi="Arial" w:cs="Arial"/>
          <w:color w:val="000000"/>
          <w:sz w:val="20"/>
        </w:rPr>
        <w:t> For IRIS CHIN, Plaintiff - Appellant: Richard E. Shapiro, Esq., Princeton, NJ.</w:t>
      </w:r>
    </w:p>
    <w:p w:rsidR="00E456CD" w:rsidRDefault="00000000">
      <w:pPr>
        <w:pStyle w:val="Normal46"/>
        <w:widowControl w:val="0"/>
        <w:spacing w:before="120" w:line="260" w:lineRule="atLeast"/>
      </w:pPr>
      <w:r>
        <w:rPr>
          <w:rFonts w:ascii="Arial" w:eastAsia="Arial" w:hAnsi="Arial" w:cs="Arial"/>
          <w:color w:val="000000"/>
          <w:sz w:val="20"/>
        </w:rPr>
        <w:t>For RUTGERS UNIVERSITY, The State University of New Jersey, Defendant - Appellee: John F. Finnegan, III, Esq., Monvan Hu, Esq., Sean R. Kelly, Esq., Saiber, Florham Park, NJ.</w:t>
      </w:r>
    </w:p>
    <w:p w:rsidR="00E456CD" w:rsidRDefault="00000000">
      <w:pPr>
        <w:pStyle w:val="Normal46"/>
        <w:widowControl w:val="0"/>
        <w:spacing w:before="120" w:line="260" w:lineRule="atLeast"/>
      </w:pPr>
      <w:r>
        <w:rPr>
          <w:rFonts w:ascii="Arial" w:eastAsia="Arial" w:hAnsi="Arial" w:cs="Arial"/>
          <w:color w:val="000000"/>
          <w:sz w:val="20"/>
        </w:rPr>
        <w:t>For RUTGERS NEW JERSEY MEDICAL SCHOOL, JAMES M. HILL, Ph. D., individually and in his offiical capacity, Defendants - Appellees: John F. Finnegan, III, Esq., Monvan Hu, Esq., Sean R. Kelly, Esq., William F. Maderer, Esq., Saiber, Florham Park, NJ.</w:t>
      </w:r>
    </w:p>
    <w:p w:rsidR="00E456CD" w:rsidRDefault="00000000">
      <w:pPr>
        <w:pStyle w:val="Normal46"/>
        <w:widowControl w:val="0"/>
        <w:spacing w:before="240" w:line="260" w:lineRule="atLeast"/>
      </w:pPr>
      <w:bookmarkStart w:id="7077" w:name="Judges_45"/>
      <w:bookmarkEnd w:id="7077"/>
      <w:r>
        <w:rPr>
          <w:rFonts w:ascii="Arial" w:eastAsia="Arial" w:hAnsi="Arial" w:cs="Arial"/>
          <w:b/>
          <w:color w:val="000000"/>
          <w:sz w:val="20"/>
        </w:rPr>
        <w:t>Judges:</w:t>
      </w:r>
      <w:r>
        <w:rPr>
          <w:rFonts w:ascii="Arial" w:eastAsia="Arial" w:hAnsi="Arial" w:cs="Arial"/>
          <w:color w:val="000000"/>
          <w:sz w:val="20"/>
        </w:rPr>
        <w:t> Before: VANASKIE, KRAUSE, and RESTREPO, Circuit Judges.</w:t>
      </w:r>
    </w:p>
    <w:p w:rsidR="00E456CD" w:rsidRDefault="00000000">
      <w:pPr>
        <w:pStyle w:val="Normal46"/>
        <w:widowControl w:val="0"/>
        <w:spacing w:before="240" w:line="260" w:lineRule="atLeast"/>
      </w:pPr>
      <w:bookmarkStart w:id="7078" w:name="Opinion_by_28"/>
      <w:bookmarkEnd w:id="7078"/>
      <w:r>
        <w:rPr>
          <w:rFonts w:ascii="Arial" w:eastAsia="Arial" w:hAnsi="Arial" w:cs="Arial"/>
          <w:b/>
          <w:color w:val="000000"/>
          <w:sz w:val="20"/>
        </w:rPr>
        <w:t>Opinion by:</w:t>
      </w:r>
      <w:r>
        <w:rPr>
          <w:rFonts w:ascii="Arial" w:eastAsia="Arial" w:hAnsi="Arial" w:cs="Arial"/>
          <w:color w:val="000000"/>
          <w:sz w:val="20"/>
        </w:rPr>
        <w:t> RESTREPO</w:t>
      </w:r>
    </w:p>
    <w:p w:rsidR="00E456CD" w:rsidRDefault="00000000">
      <w:pPr>
        <w:pStyle w:val="Normal46"/>
        <w:keepNext/>
        <w:widowControl w:val="0"/>
        <w:spacing w:before="240" w:line="340" w:lineRule="atLeast"/>
      </w:pPr>
      <w:bookmarkStart w:id="7079" w:name="Opinion_45"/>
      <w:bookmarkEnd w:id="7079"/>
      <w:r>
        <w:rPr>
          <w:rFonts w:ascii="Arial" w:eastAsia="Arial" w:hAnsi="Arial" w:cs="Arial"/>
          <w:b/>
          <w:color w:val="000000"/>
          <w:sz w:val="28"/>
        </w:rPr>
        <w:t>Opinion</w:t>
      </w:r>
    </w:p>
    <w:p w:rsidR="00E456CD" w:rsidRDefault="00E22289">
      <w:pPr>
        <w:pStyle w:val="Normal46"/>
        <w:spacing w:line="60" w:lineRule="exact"/>
      </w:pPr>
      <w:r>
        <w:rPr>
          <w:noProof/>
        </w:rPr>
        <mc:AlternateContent>
          <mc:Choice Requires="wps">
            <w:drawing>
              <wp:anchor distT="0" distB="0" distL="114300" distR="114300" simplePos="0" relativeHeight="25175756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542482689"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3334E" id="Line 100"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6"/>
        <w:spacing w:line="120" w:lineRule="exact"/>
      </w:pPr>
    </w:p>
    <w:p w:rsidR="00E456CD" w:rsidRDefault="00000000">
      <w:pPr>
        <w:pStyle w:val="Normal46"/>
        <w:widowControl w:val="0"/>
        <w:spacing w:before="240" w:line="260" w:lineRule="atLeast"/>
      </w:pPr>
      <w:r>
        <w:br/>
      </w:r>
      <w:r>
        <w:rPr>
          <w:rFonts w:ascii="Arial" w:eastAsia="Arial" w:hAnsi="Arial" w:cs="Arial"/>
          <w:color w:val="000000"/>
          <w:sz w:val="20"/>
        </w:rPr>
        <w:t> [*752]  OPINION</w:t>
      </w:r>
      <w:r>
        <w:rPr>
          <w:rFonts w:ascii="Arial" w:eastAsia="Arial" w:hAnsi="Arial" w:cs="Arial"/>
          <w:vertAlign w:val="superscript"/>
        </w:rPr>
        <w:footnoteReference w:customMarkFollows="1" w:id="296"/>
        <w:t>*</w:t>
      </w:r>
    </w:p>
    <w:p w:rsidR="00E456CD" w:rsidRDefault="00000000">
      <w:pPr>
        <w:pStyle w:val="Normal46"/>
        <w:widowControl w:val="0"/>
        <w:spacing w:before="200" w:line="260" w:lineRule="atLeast"/>
        <w:jc w:val="both"/>
      </w:pPr>
      <w:bookmarkStart w:id="7081" w:name="Bookmark_para_4_45"/>
      <w:bookmarkEnd w:id="7081"/>
      <w:r>
        <w:rPr>
          <w:rFonts w:ascii="Arial" w:eastAsia="Arial" w:hAnsi="Arial" w:cs="Arial"/>
          <w:color w:val="000000"/>
          <w:sz w:val="20"/>
        </w:rPr>
        <w:t xml:space="preserve">RESTREPO, </w:t>
      </w:r>
      <w:r>
        <w:rPr>
          <w:rFonts w:ascii="Arial" w:eastAsia="Arial" w:hAnsi="Arial" w:cs="Arial"/>
          <w:i/>
          <w:color w:val="000000"/>
          <w:sz w:val="20"/>
        </w:rPr>
        <w:t>Circuit Judge</w:t>
      </w:r>
      <w:r>
        <w:rPr>
          <w:rFonts w:ascii="Arial" w:eastAsia="Arial" w:hAnsi="Arial" w:cs="Arial"/>
          <w:color w:val="000000"/>
          <w:sz w:val="20"/>
        </w:rPr>
        <w:t>.</w:t>
      </w:r>
    </w:p>
    <w:p w:rsidR="00E456CD" w:rsidRDefault="00000000">
      <w:pPr>
        <w:pStyle w:val="Normal46"/>
        <w:widowControl w:val="0"/>
        <w:spacing w:before="200" w:line="260" w:lineRule="atLeast"/>
        <w:jc w:val="both"/>
      </w:pPr>
      <w:bookmarkStart w:id="7082" w:name="Bookmark_para_5_45"/>
      <w:bookmarkEnd w:id="7082"/>
      <w:r>
        <w:rPr>
          <w:rFonts w:ascii="Arial" w:eastAsia="Arial" w:hAnsi="Arial" w:cs="Arial"/>
          <w:color w:val="000000"/>
          <w:sz w:val="20"/>
        </w:rPr>
        <w:t>Iris Chin appeals the decision of the District Court granting summary judgment to Rutgers University in Chin's suit for discrimination under the Americans with Disabilities Act ("ADA"), the Rehabilitation Act ("RA"), and the New Jersey Law Against Discrimination ("NJLAD"). We will affirm.</w:t>
      </w:r>
    </w:p>
    <w:p w:rsidR="00E456CD" w:rsidRDefault="00000000">
      <w:pPr>
        <w:pStyle w:val="Normal46"/>
        <w:widowControl w:val="0"/>
        <w:spacing w:before="240" w:line="260" w:lineRule="atLeast"/>
      </w:pPr>
      <w:r>
        <w:br/>
      </w:r>
      <w:r>
        <w:rPr>
          <w:rFonts w:ascii="Arial" w:eastAsia="Arial" w:hAnsi="Arial" w:cs="Arial"/>
          <w:b/>
          <w:color w:val="000000"/>
          <w:sz w:val="20"/>
        </w:rPr>
        <w:t>I</w:t>
      </w:r>
    </w:p>
    <w:p w:rsidR="00E456CD" w:rsidRDefault="00000000">
      <w:pPr>
        <w:pStyle w:val="Normal46"/>
        <w:widowControl w:val="0"/>
        <w:spacing w:before="200" w:line="260" w:lineRule="atLeast"/>
        <w:jc w:val="both"/>
      </w:pPr>
      <w:bookmarkStart w:id="7083" w:name="Bookmark_para_6_45"/>
      <w:bookmarkEnd w:id="7083"/>
      <w:r>
        <w:rPr>
          <w:rFonts w:ascii="Arial" w:eastAsia="Arial" w:hAnsi="Arial" w:cs="Arial"/>
          <w:color w:val="000000"/>
          <w:sz w:val="20"/>
        </w:rPr>
        <w:t>As we write for the benefit of the parties, we set out only the facts necessary for the discussion that follows. Plaintiff Iris Chin matriculated at Defendant Rutgers in [**2]  the fall of 2004.</w:t>
      </w:r>
      <w:r>
        <w:rPr>
          <w:rFonts w:ascii="Arial" w:eastAsia="Arial" w:hAnsi="Arial" w:cs="Arial"/>
          <w:vertAlign w:val="superscript"/>
        </w:rPr>
        <w:footnoteReference w:customMarkFollows="1" w:id="297"/>
        <w:t>1</w:t>
      </w:r>
      <w:r>
        <w:rPr>
          <w:rFonts w:ascii="Arial" w:eastAsia="Arial" w:hAnsi="Arial" w:cs="Arial"/>
          <w:color w:val="000000"/>
          <w:sz w:val="20"/>
        </w:rPr>
        <w:t xml:space="preserve"> Medical curricula at Rutgers and other schools are divided into two years of didactic education in a classroom or lecture setting, and two subsequent years of clinical education where students rotate through a series of clerkships in particular subspecialties (e.g. obstetrics/gynecology or family medicine). To advance  [*753]  past the didactic stage into the clinical stage, students must pass the U.S. Medical Licensing Exam ("USMLE") Step-1. Although the USMLE allows students six attempts to pass, Rutgers' policy makes students who do not pass on the second attempt subject to dismissal. Rutgers also requires that all students (1) finish all clerkships and pass the two parts of USMLE's Step-2 exam—Clinical Skills ("CS") and Clinical Knowledge ("CK")—within three years; (2) pass both parts of Step-2 by the second attempt; and (3) graduate within six years total, not counting cumulative leaves of absence ("LOA") of up to two years.</w:t>
      </w:r>
    </w:p>
    <w:p w:rsidR="00E456CD" w:rsidRDefault="00000000">
      <w:pPr>
        <w:pStyle w:val="Normal46"/>
        <w:widowControl w:val="0"/>
        <w:spacing w:before="200" w:line="260" w:lineRule="atLeast"/>
        <w:jc w:val="both"/>
      </w:pPr>
      <w:bookmarkStart w:id="7085" w:name="Bookmark_para_7_44"/>
      <w:bookmarkEnd w:id="7085"/>
      <w:r>
        <w:rPr>
          <w:rFonts w:ascii="Arial" w:eastAsia="Arial" w:hAnsi="Arial" w:cs="Arial"/>
          <w:color w:val="000000"/>
          <w:sz w:val="20"/>
        </w:rPr>
        <w:t>During her first year, Chin suffered from a disability and performed poorly in school. The school ultimately granted her a four-month LOA, and allowed her to start school again, as a first-year student, in the fall of 2005. At the end of her second [**3]  year of curriculum in 2007, Chin requested a six-week extension prior to her scheduled Step-1 test date, which the school granted. Instead of sitting for the test at the end of the extension, Chin sought and was granted a one-year LOA to prepare for Step-1. Upon returning from that LOA in 2008, Chin requested an additional extension before taking Step-1. The Committee on Student Affairs ("CSA"), composed primarily of faculty, voted to deny that additional request. The Dean of the medical school, exercising his authority under Rutgers' policies, overrode the CSA and granted Chin the additional extension. When Chin sat for Step-1, she failed. Chin then requested another four-month LOA to prepare for her second attempt at Step-1 (scheduled for June 2009), which the school granted.</w:t>
      </w:r>
    </w:p>
    <w:p w:rsidR="00E456CD" w:rsidRDefault="00000000">
      <w:pPr>
        <w:pStyle w:val="Normal46"/>
        <w:widowControl w:val="0"/>
        <w:spacing w:before="200" w:line="260" w:lineRule="atLeast"/>
        <w:jc w:val="both"/>
      </w:pPr>
      <w:bookmarkStart w:id="7086" w:name="Bookmark_para_8_44"/>
      <w:bookmarkEnd w:id="7086"/>
      <w:r>
        <w:rPr>
          <w:rFonts w:ascii="Arial" w:eastAsia="Arial" w:hAnsi="Arial" w:cs="Arial"/>
          <w:color w:val="000000"/>
          <w:sz w:val="20"/>
        </w:rPr>
        <w:t>At the end of the LOA, Chin requested another extension, which was denied by the CSA, but again granted by the Dean. When she took Step-1 a second time, Chin failed again. At this point, Chin had to request a waiver of the school's policy of dismissing students who fail two attempts at Step-1. After the CSA denied her request, the Dean again overrode the CSA to waive the policy and granted an eight-week extension [**4]  so Chin could prepare for her third attempt. The Dean also helped Chin obtain tutoring. On her third attempt, Chin passed Step-1, and proceeded to the clinical phase of her education.</w:t>
      </w:r>
    </w:p>
    <w:p w:rsidR="00E456CD" w:rsidRDefault="00000000">
      <w:pPr>
        <w:pStyle w:val="Normal46"/>
        <w:widowControl w:val="0"/>
        <w:spacing w:before="200" w:line="260" w:lineRule="atLeast"/>
        <w:jc w:val="both"/>
      </w:pPr>
      <w:bookmarkStart w:id="7087" w:name="Bookmark_para_9_43"/>
      <w:bookmarkEnd w:id="7087"/>
      <w:r>
        <w:rPr>
          <w:rFonts w:ascii="Arial" w:eastAsia="Arial" w:hAnsi="Arial" w:cs="Arial"/>
          <w:color w:val="000000"/>
          <w:sz w:val="20"/>
        </w:rPr>
        <w:t>In January 2011, the school's degree audit showed that Chin was not on pace to meet the three-year clinical completion policy, or the six-year graduation policy. The school granted Chin a short waiver of the six-year graduation policy, with explicit instructions that she meet all other requirements, including the three-year clinical policy. On Chin's first attempt at the Step-2 exam, she failed both the CS and CK components. Chin asked for an extension before taking Step-2 again, which was denied. On her second attempt, in March 2012, Chin sat only for the CS assessment of Step-2, which she failed. She did not sit for three re-scheduled dates to re-take the CK part, and failed to meet the April deadline by which she needed to pass both parts of Step-2 to fulfill the school's requirements.</w:t>
      </w:r>
    </w:p>
    <w:p w:rsidR="00E456CD" w:rsidRDefault="00000000">
      <w:pPr>
        <w:pStyle w:val="Normal46"/>
        <w:widowControl w:val="0"/>
        <w:spacing w:before="200" w:line="260" w:lineRule="atLeast"/>
        <w:jc w:val="both"/>
      </w:pPr>
      <w:bookmarkStart w:id="7088" w:name="Bookmark_para_10_41"/>
      <w:bookmarkEnd w:id="7088"/>
      <w:r>
        <w:rPr>
          <w:rFonts w:ascii="Arial" w:eastAsia="Arial" w:hAnsi="Arial" w:cs="Arial"/>
          <w:color w:val="000000"/>
          <w:sz w:val="20"/>
        </w:rPr>
        <w:t>In May, Chin requested a waiver of the three-year clinical completion policy, an additional extension of the six-year graduation policy, and a waiver of the Step-2 two-attempt policy. When the school denied the request, [**5]  the Dean's office assisted her in appealing to the CSA, to which she testified at a full hearing. (By Chin's accounting, an associate Dean met with Chin "dozens" of times during her years at the school. App. 145.) When the CSA denied her appeal, the Dean's office allowed her to submit additional material for its consideration. In considering that material, the Dean's office also followed up with her  [*754]  medical provider, who could not offer any assurance that her condition would stabilize during the term of the requested accommodation or for the foreseeable future. The Dean decided to uphold, rather than override, the CSA's decision not to waive the policies and to dismiss her instead.</w:t>
      </w:r>
    </w:p>
    <w:p w:rsidR="00E456CD" w:rsidRDefault="00000000">
      <w:pPr>
        <w:pStyle w:val="Normal46"/>
        <w:widowControl w:val="0"/>
        <w:spacing w:before="200" w:line="260" w:lineRule="atLeast"/>
        <w:jc w:val="both"/>
      </w:pPr>
      <w:bookmarkStart w:id="7089" w:name="Bookmark_para_11_39"/>
      <w:bookmarkEnd w:id="7089"/>
      <w:r>
        <w:rPr>
          <w:rFonts w:ascii="Arial" w:eastAsia="Arial" w:hAnsi="Arial" w:cs="Arial"/>
          <w:color w:val="000000"/>
          <w:sz w:val="20"/>
        </w:rPr>
        <w:t>Chin sued Rutgers, seeking both compensatory damages and equitable relief for violations of the ADA, the RA, and the NJLAD. The District Court granted Rutgers' motion for summary judgment on the ground that Chin had not met one of the three required elements to make out her ADA violation: that she did not show that she was "otherwise qualified," with or without accommodations, for the medical program.</w:t>
      </w:r>
    </w:p>
    <w:p w:rsidR="00E456CD" w:rsidRDefault="00000000">
      <w:pPr>
        <w:pStyle w:val="Normal46"/>
        <w:widowControl w:val="0"/>
        <w:spacing w:before="240" w:line="260" w:lineRule="atLeast"/>
      </w:pPr>
      <w:r>
        <w:br/>
      </w:r>
      <w:r>
        <w:rPr>
          <w:rFonts w:ascii="Arial" w:eastAsia="Arial" w:hAnsi="Arial" w:cs="Arial"/>
          <w:b/>
          <w:color w:val="000000"/>
          <w:sz w:val="20"/>
        </w:rPr>
        <w:t>II</w:t>
      </w:r>
      <w:r>
        <w:rPr>
          <w:rFonts w:ascii="Arial" w:eastAsia="Arial" w:hAnsi="Arial" w:cs="Arial"/>
          <w:vertAlign w:val="superscript"/>
        </w:rPr>
        <w:footnoteReference w:customMarkFollows="1" w:id="298"/>
        <w:t>2</w:t>
      </w:r>
    </w:p>
    <w:p w:rsidR="00E456CD" w:rsidRDefault="00000000">
      <w:pPr>
        <w:pStyle w:val="Normal46"/>
        <w:widowControl w:val="0"/>
        <w:spacing w:before="200" w:line="260" w:lineRule="atLeast"/>
        <w:jc w:val="both"/>
      </w:pPr>
      <w:bookmarkStart w:id="7094" w:name="Bookmark_para_12_38"/>
      <w:bookmarkStart w:id="7095" w:name="Bookmark_I5PRPWNB1SG001091B1003SS"/>
      <w:bookmarkStart w:id="7096" w:name="Bookmark_I5P1SF2F2N1RNN0040000400"/>
      <w:bookmarkStart w:id="7097" w:name="Bookmark_I5P1SF2F2D6NXK0030000400"/>
      <w:bookmarkStart w:id="7098" w:name="Bookmark_LNHNREFclscc2_37"/>
      <w:bookmarkEnd w:id="7094"/>
      <w:bookmarkEnd w:id="7095"/>
      <w:bookmarkEnd w:id="7096"/>
      <w:bookmarkEnd w:id="7097"/>
      <w:bookmarkEnd w:id="7098"/>
      <w:r>
        <w:rPr>
          <w:rFonts w:ascii="Arial" w:eastAsia="Arial" w:hAnsi="Arial" w:cs="Arial"/>
          <w:color w:val="000000"/>
          <w:sz w:val="20"/>
        </w:rPr>
        <w:t>To establish a violation under the ADA or RA by an entity receiving federal funds, Chin had to show (1) [**6]  that she has a disability; (2) that she is otherwise qualified to participate in the medical school program with or without reasonable accommodations; and (3) that she was denied the benefits of the program on the basis of her disability.</w:t>
      </w:r>
      <w:r>
        <w:rPr>
          <w:rFonts w:ascii="Arial" w:eastAsia="Arial" w:hAnsi="Arial" w:cs="Arial"/>
          <w:vertAlign w:val="superscript"/>
        </w:rPr>
        <w:footnoteReference w:customMarkFollows="1" w:id="299"/>
        <w:t>3</w:t>
      </w:r>
      <w:r>
        <w:rPr>
          <w:rFonts w:ascii="Arial" w:eastAsia="Arial" w:hAnsi="Arial" w:cs="Arial"/>
          <w:color w:val="000000"/>
          <w:sz w:val="20"/>
        </w:rPr>
        <w:t xml:space="preserve"> </w:t>
      </w:r>
      <w:r>
        <w:rPr>
          <w:rFonts w:ascii="Arial" w:eastAsia="Arial" w:hAnsi="Arial" w:cs="Arial"/>
          <w:i/>
          <w:color w:val="000000"/>
          <w:sz w:val="20"/>
        </w:rPr>
        <w:t xml:space="preserve">See </w:t>
      </w:r>
      <w:bookmarkStart w:id="7102" w:name="Bookmark_I5P1SF2F2N1RNN0030000400"/>
      <w:bookmarkEnd w:id="7102"/>
      <w:r>
        <w:rPr>
          <w:rFonts w:ascii="Arial" w:eastAsia="Arial" w:hAnsi="Arial" w:cs="Arial"/>
          <w:i/>
          <w:color w:val="000000"/>
          <w:sz w:val="20"/>
        </w:rPr>
        <w:t>Zukle v. Regents of Univ. of Calif.</w:t>
      </w:r>
      <w:r>
        <w:rPr>
          <w:rFonts w:ascii="Arial" w:eastAsia="Arial" w:hAnsi="Arial" w:cs="Arial"/>
          <w:color w:val="000000"/>
          <w:sz w:val="20"/>
        </w:rPr>
        <w:t xml:space="preserve">, 166 F.3d 1041, 1045 (9th Cir. 1999). </w:t>
      </w:r>
      <w:bookmarkStart w:id="7103" w:name="Bookmark_I5P1SF2F2D6NXK0010000400"/>
      <w:bookmarkEnd w:id="7103"/>
      <w:r>
        <w:rPr>
          <w:rFonts w:ascii="Arial" w:eastAsia="Arial" w:hAnsi="Arial" w:cs="Arial"/>
          <w:color w:val="000000"/>
          <w:sz w:val="20"/>
        </w:rPr>
        <w:t xml:space="preserve">Chin appeals the District Court findings that she was not otherwise qualified for Rutgers' medical program; that her requested accommodations were not reasonable; and that granting the accommodations requested would have amounted to a fundamental alteration of Rutgers' program. Because we affirm on the grounds that Chin was not otherwise qualified, we need not address the other issues. </w:t>
      </w:r>
      <w:bookmarkStart w:id="7104" w:name="Bookmark_I5P1SF2F2D6NXK0010000400_2"/>
      <w:bookmarkStart w:id="7105" w:name="Bookmark_I5P1SF2F2N1RNN0050000400"/>
      <w:bookmarkEnd w:id="7104"/>
      <w:bookmarkEnd w:id="7105"/>
      <w:r>
        <w:rPr>
          <w:rFonts w:ascii="Arial" w:eastAsia="Arial" w:hAnsi="Arial" w:cs="Arial"/>
          <w:i/>
          <w:color w:val="000000"/>
          <w:sz w:val="20"/>
        </w:rPr>
        <w:t>Id.</w:t>
      </w:r>
      <w:r>
        <w:rPr>
          <w:rFonts w:ascii="Arial" w:eastAsia="Arial" w:hAnsi="Arial" w:cs="Arial"/>
          <w:color w:val="000000"/>
          <w:sz w:val="20"/>
        </w:rPr>
        <w:t xml:space="preserve"> at 1047.</w:t>
      </w:r>
      <w:r>
        <w:rPr>
          <w:rFonts w:ascii="Arial" w:eastAsia="Arial" w:hAnsi="Arial" w:cs="Arial"/>
          <w:vertAlign w:val="superscript"/>
        </w:rPr>
        <w:footnoteReference w:customMarkFollows="1" w:id="300"/>
        <w:t>4</w:t>
      </w:r>
    </w:p>
    <w:p w:rsidR="00E456CD" w:rsidRDefault="00000000">
      <w:pPr>
        <w:pStyle w:val="Normal46"/>
        <w:widowControl w:val="0"/>
        <w:spacing w:before="200" w:line="260" w:lineRule="atLeast"/>
        <w:jc w:val="both"/>
      </w:pPr>
      <w:bookmarkStart w:id="7114" w:name="Bookmark_para_13_36"/>
      <w:bookmarkStart w:id="7115" w:name="Bookmark_I5P1SF2F2HM5VC0040000400"/>
      <w:bookmarkStart w:id="7116" w:name="Bookmark_I5PRPWNBF7X001091B1003SW"/>
      <w:bookmarkStart w:id="7117" w:name="Bookmark_I5P1SF2F2SF8N50010000400"/>
      <w:bookmarkStart w:id="7118" w:name="Bookmark_I5P1SF2F2SF8N50030000400"/>
      <w:bookmarkStart w:id="7119" w:name="Bookmark_LNHNREFclscc5_33"/>
      <w:bookmarkEnd w:id="7114"/>
      <w:bookmarkEnd w:id="7115"/>
      <w:bookmarkEnd w:id="7116"/>
      <w:bookmarkEnd w:id="7117"/>
      <w:bookmarkEnd w:id="7118"/>
      <w:bookmarkEnd w:id="7119"/>
      <w:r>
        <w:rPr>
          <w:rFonts w:ascii="Arial" w:eastAsia="Arial" w:hAnsi="Arial" w:cs="Arial"/>
          <w:color w:val="000000"/>
          <w:sz w:val="20"/>
        </w:rPr>
        <w:t xml:space="preserve">Although courts have the ultimate responsibility to determine whether a student is qualified with or without reasonable accommodations, courts "show great respect for the faculty's professional judgment." </w:t>
      </w:r>
      <w:bookmarkStart w:id="7120" w:name="Bookmark_I5P1SF2F2HM5VC0030000400"/>
      <w:bookmarkEnd w:id="7120"/>
      <w:r>
        <w:rPr>
          <w:rFonts w:ascii="Arial" w:eastAsia="Arial" w:hAnsi="Arial" w:cs="Arial"/>
          <w:i/>
          <w:color w:val="000000"/>
          <w:sz w:val="20"/>
        </w:rPr>
        <w:t>Regents of Univ. of Mich. v. Ewing</w:t>
      </w:r>
      <w:r>
        <w:rPr>
          <w:rFonts w:ascii="Arial" w:eastAsia="Arial" w:hAnsi="Arial" w:cs="Arial"/>
          <w:color w:val="000000"/>
          <w:sz w:val="20"/>
        </w:rPr>
        <w:t xml:space="preserve">, 474 U.S. 214, 225, 106 S. Ct. 507, 88 L. Ed. 2d 523 (1985). In assessing a school's judgment as to a student's qualifications for an academic program, courts consider two aspects of the decision: first, did "the academic institution . . . seek suitable means of reasonably accommodating" the disabled student and submit a factual record of undertaking that obligation conscientiously, and second, did that process lead [**7]  the university to reach a "rationally justifiable conclusion." </w:t>
      </w:r>
      <w:bookmarkStart w:id="7121" w:name="Bookmark_I5P1SF2F2HM5VC0050000400"/>
      <w:bookmarkEnd w:id="7121"/>
      <w:r>
        <w:rPr>
          <w:rFonts w:ascii="Arial" w:eastAsia="Arial" w:hAnsi="Arial" w:cs="Arial"/>
          <w:i/>
          <w:color w:val="000000"/>
          <w:sz w:val="20"/>
        </w:rPr>
        <w:t>Wynne</w:t>
      </w:r>
      <w:r>
        <w:rPr>
          <w:rFonts w:ascii="Arial" w:eastAsia="Arial" w:hAnsi="Arial" w:cs="Arial"/>
          <w:color w:val="000000"/>
          <w:sz w:val="20"/>
        </w:rPr>
        <w:t xml:space="preserve">, 932 F.2d at 25-26. Courts may decline to respect a school's judgment when the factual record  [*755]  shows that the school did not conscientiously consider "all pertinent and appropriate information in making its decision." </w:t>
      </w:r>
      <w:bookmarkStart w:id="7122" w:name="Bookmark_I5P1SF2F2SF8N50020000400"/>
      <w:bookmarkEnd w:id="7122"/>
      <w:r>
        <w:rPr>
          <w:rFonts w:ascii="Arial" w:eastAsia="Arial" w:hAnsi="Arial" w:cs="Arial"/>
          <w:i/>
          <w:color w:val="000000"/>
          <w:sz w:val="20"/>
        </w:rPr>
        <w:t>Wong v. Regents of Univ. of Calif.</w:t>
      </w:r>
      <w:r>
        <w:rPr>
          <w:rFonts w:ascii="Arial" w:eastAsia="Arial" w:hAnsi="Arial" w:cs="Arial"/>
          <w:color w:val="000000"/>
          <w:sz w:val="20"/>
        </w:rPr>
        <w:t>, 192 F.3d 807, 823 (9th Cir. 1999).</w:t>
      </w:r>
    </w:p>
    <w:p w:rsidR="00E456CD" w:rsidRDefault="00000000">
      <w:pPr>
        <w:pStyle w:val="Normal46"/>
        <w:widowControl w:val="0"/>
        <w:spacing w:before="200" w:line="260" w:lineRule="atLeast"/>
        <w:jc w:val="both"/>
      </w:pPr>
      <w:bookmarkStart w:id="7123" w:name="Bookmark_para_14_35"/>
      <w:bookmarkStart w:id="7124" w:name="Bookmark_I5PRPWNBMBS001091B1003SX"/>
      <w:bookmarkStart w:id="7125" w:name="Bookmark_I5P1SF2F2SF8N50050000400"/>
      <w:bookmarkEnd w:id="7123"/>
      <w:bookmarkEnd w:id="7124"/>
      <w:bookmarkEnd w:id="7125"/>
      <w:r>
        <w:rPr>
          <w:rFonts w:ascii="Arial" w:eastAsia="Arial" w:hAnsi="Arial" w:cs="Arial"/>
          <w:color w:val="000000"/>
          <w:sz w:val="20"/>
        </w:rPr>
        <w:t xml:space="preserve">In </w:t>
      </w:r>
      <w:r>
        <w:rPr>
          <w:rFonts w:ascii="Arial" w:eastAsia="Arial" w:hAnsi="Arial" w:cs="Arial"/>
          <w:i/>
          <w:color w:val="000000"/>
          <w:sz w:val="20"/>
        </w:rPr>
        <w:t>Wong</w:t>
      </w:r>
      <w:r>
        <w:rPr>
          <w:rFonts w:ascii="Arial" w:eastAsia="Arial" w:hAnsi="Arial" w:cs="Arial"/>
          <w:color w:val="000000"/>
          <w:sz w:val="20"/>
        </w:rPr>
        <w:t xml:space="preserve">, the Ninth Circuit rejected the school's determination because it regarded the school's stated reasoning for denying the proposed accommodations as "after-the-fact justification" that did not show conscientiousness at all. </w:t>
      </w:r>
      <w:bookmarkStart w:id="7126" w:name="Bookmark_I5P1SF2F2SF8N50040000400"/>
      <w:bookmarkEnd w:id="7126"/>
      <w:r>
        <w:rPr>
          <w:rFonts w:ascii="Arial" w:eastAsia="Arial" w:hAnsi="Arial" w:cs="Arial"/>
          <w:i/>
          <w:color w:val="000000"/>
          <w:sz w:val="20"/>
        </w:rPr>
        <w:t>Id.</w:t>
      </w:r>
      <w:r>
        <w:rPr>
          <w:rFonts w:ascii="Arial" w:eastAsia="Arial" w:hAnsi="Arial" w:cs="Arial"/>
          <w:color w:val="000000"/>
          <w:sz w:val="20"/>
        </w:rPr>
        <w:t xml:space="preserve"> at 819. </w:t>
      </w:r>
      <w:bookmarkStart w:id="7127" w:name="Bookmark_I5PRPWNBS5X001091B1003SY"/>
      <w:bookmarkStart w:id="7128" w:name="Bookmark_I5P1SF2F2N1RNP0020000400"/>
      <w:bookmarkEnd w:id="7127"/>
      <w:bookmarkEnd w:id="7128"/>
      <w:r>
        <w:rPr>
          <w:rFonts w:ascii="Arial" w:eastAsia="Arial" w:hAnsi="Arial" w:cs="Arial"/>
          <w:color w:val="000000"/>
          <w:sz w:val="20"/>
        </w:rPr>
        <w:t xml:space="preserve">There, the school had declined even to discuss the student's proposed accommodations with any professionals, whether doctors or learning specialists. </w:t>
      </w:r>
      <w:r>
        <w:rPr>
          <w:rFonts w:ascii="Arial" w:eastAsia="Arial" w:hAnsi="Arial" w:cs="Arial"/>
          <w:i/>
          <w:color w:val="000000"/>
          <w:sz w:val="20"/>
        </w:rPr>
        <w:t>Id.</w:t>
      </w:r>
      <w:r>
        <w:rPr>
          <w:rFonts w:ascii="Arial" w:eastAsia="Arial" w:hAnsi="Arial" w:cs="Arial"/>
          <w:color w:val="000000"/>
          <w:sz w:val="20"/>
        </w:rPr>
        <w:t xml:space="preserve"> By contrast, in </w:t>
      </w:r>
      <w:r>
        <w:rPr>
          <w:rFonts w:ascii="Arial" w:eastAsia="Arial" w:hAnsi="Arial" w:cs="Arial"/>
          <w:i/>
          <w:color w:val="000000"/>
          <w:sz w:val="20"/>
        </w:rPr>
        <w:t>Zukle</w:t>
      </w:r>
      <w:r>
        <w:rPr>
          <w:rFonts w:ascii="Arial" w:eastAsia="Arial" w:hAnsi="Arial" w:cs="Arial"/>
          <w:color w:val="000000"/>
          <w:sz w:val="20"/>
        </w:rPr>
        <w:t xml:space="preserve">, the Ninth Circuit deferred to the university's judgment as to the student's qualifications because the school had offered nearly every requested accommodation, and only dismissed her after a thorough consideration of her situation. </w:t>
      </w:r>
      <w:bookmarkStart w:id="7129" w:name="Bookmark_I5P1SF2F2N1RNP0020000400_2"/>
      <w:bookmarkStart w:id="7130" w:name="Bookmark_I5P1SF2F2N1RNP0010000400"/>
      <w:bookmarkEnd w:id="7129"/>
      <w:bookmarkEnd w:id="7130"/>
      <w:r>
        <w:rPr>
          <w:rFonts w:ascii="Arial" w:eastAsia="Arial" w:hAnsi="Arial" w:cs="Arial"/>
          <w:i/>
          <w:color w:val="000000"/>
          <w:sz w:val="20"/>
        </w:rPr>
        <w:t>Zukle</w:t>
      </w:r>
      <w:r>
        <w:rPr>
          <w:rFonts w:ascii="Arial" w:eastAsia="Arial" w:hAnsi="Arial" w:cs="Arial"/>
          <w:color w:val="000000"/>
          <w:sz w:val="20"/>
        </w:rPr>
        <w:t>, 166 F.3d at 1044.</w:t>
      </w:r>
    </w:p>
    <w:p w:rsidR="00E456CD" w:rsidRDefault="00000000">
      <w:pPr>
        <w:pStyle w:val="Normal46"/>
        <w:widowControl w:val="0"/>
        <w:spacing w:before="200" w:line="260" w:lineRule="atLeast"/>
        <w:jc w:val="both"/>
      </w:pPr>
      <w:bookmarkStart w:id="7131" w:name="Bookmark_para_15_35"/>
      <w:bookmarkEnd w:id="7131"/>
      <w:r>
        <w:rPr>
          <w:rFonts w:ascii="Arial" w:eastAsia="Arial" w:hAnsi="Arial" w:cs="Arial"/>
          <w:color w:val="000000"/>
          <w:sz w:val="20"/>
        </w:rPr>
        <w:t>Here, the District Court reasonably respected Rutgers' determination that Chin was not otherwise qualified to continue at the school. The school worked extensively over a period of nearly eight years to accommodate Chin. In addition to according her the full two allowable years of LOA, the school [**8]  granted her five separate extensions of Step testing deadlines. Chin met with the Dean's office "dozens" of times about her academic performance and mental health. App. 145. The Dean's office overrode several CSA decisions to decline extensions to or to dismiss Chin; offered her tutoring in advance of both Step-1 and Step-2; proactively helped her improve her case against dismissal to the CSA; and independently sought her medical provider's opinion as to whether her final proposed accommodation would likely help her complete the program requirements given her medical condition before affirming her dismissal.</w:t>
      </w:r>
      <w:r>
        <w:rPr>
          <w:rFonts w:ascii="Arial" w:eastAsia="Arial" w:hAnsi="Arial" w:cs="Arial"/>
          <w:vertAlign w:val="superscript"/>
        </w:rPr>
        <w:footnoteReference w:customMarkFollows="1" w:id="301"/>
        <w:t>5</w:t>
      </w:r>
      <w:r>
        <w:rPr>
          <w:rFonts w:ascii="Arial" w:eastAsia="Arial" w:hAnsi="Arial" w:cs="Arial"/>
          <w:color w:val="000000"/>
          <w:sz w:val="20"/>
        </w:rPr>
        <w:t xml:space="preserve"> Rutgers reached a rationally justifiable conclusion about Chin's qualifications at the end of a conscientious process to fulfill its obligations under the law.</w:t>
      </w:r>
    </w:p>
    <w:p w:rsidR="00E456CD" w:rsidRDefault="00000000">
      <w:pPr>
        <w:pStyle w:val="Normal46"/>
        <w:widowControl w:val="0"/>
        <w:spacing w:before="240" w:line="260" w:lineRule="atLeast"/>
      </w:pPr>
      <w:r>
        <w:br/>
      </w:r>
      <w:r>
        <w:rPr>
          <w:rFonts w:ascii="Arial" w:eastAsia="Arial" w:hAnsi="Arial" w:cs="Arial"/>
          <w:b/>
          <w:color w:val="000000"/>
          <w:sz w:val="20"/>
        </w:rPr>
        <w:t>III</w:t>
      </w:r>
    </w:p>
    <w:p w:rsidR="00E456CD" w:rsidRDefault="00000000">
      <w:pPr>
        <w:pStyle w:val="Normal46"/>
        <w:widowControl w:val="0"/>
        <w:spacing w:before="200" w:line="260" w:lineRule="atLeast"/>
        <w:jc w:val="both"/>
      </w:pPr>
      <w:bookmarkStart w:id="7133" w:name="Bookmark_para_16_34"/>
      <w:bookmarkEnd w:id="7133"/>
      <w:r>
        <w:rPr>
          <w:rFonts w:ascii="Arial" w:eastAsia="Arial" w:hAnsi="Arial" w:cs="Arial"/>
          <w:color w:val="000000"/>
          <w:sz w:val="20"/>
        </w:rPr>
        <w:t>For the foregoing reasons, we will affirm the judgment of the District Court.</w:t>
      </w:r>
    </w:p>
    <w:p w:rsidR="00E456CD" w:rsidRDefault="00E456CD">
      <w:pPr>
        <w:pStyle w:val="Normal46"/>
      </w:pPr>
    </w:p>
    <w:p w:rsidR="00E456CD" w:rsidRDefault="00000000">
      <w:pPr>
        <w:pStyle w:val="Normal46"/>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5859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77035618"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0731D" id="Line 101"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7"/>
        <w:sectPr w:rsidR="00E456CD">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gutter="0"/>
          <w:cols w:space="720"/>
          <w:titlePg/>
        </w:sectPr>
      </w:pPr>
    </w:p>
    <w:p w:rsidR="00E456CD" w:rsidRDefault="00E456CD">
      <w:pPr>
        <w:pStyle w:val="Normal47"/>
      </w:pPr>
    </w:p>
    <w:p w:rsidR="00E456CD" w:rsidRDefault="00000000">
      <w:pPr>
        <w:pStyle w:val="Heading146"/>
        <w:keepNext w:val="0"/>
        <w:widowControl w:val="0"/>
        <w:spacing w:after="200" w:line="340" w:lineRule="atLeast"/>
        <w:jc w:val="center"/>
      </w:pPr>
      <w:r>
        <w:rPr>
          <w:rFonts w:eastAsia="Arial"/>
          <w:color w:val="000000"/>
          <w:sz w:val="28"/>
        </w:rPr>
        <w:t>City of L.A. v. AECOM Servs.</w:t>
      </w:r>
    </w:p>
    <w:p w:rsidR="00E456CD" w:rsidRDefault="00000000">
      <w:pPr>
        <w:pStyle w:val="Normal47"/>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47"/>
        <w:widowControl w:val="0"/>
        <w:spacing w:before="120" w:line="260" w:lineRule="atLeast"/>
        <w:jc w:val="center"/>
      </w:pPr>
      <w:r>
        <w:rPr>
          <w:rFonts w:ascii="Arial" w:eastAsia="Arial" w:hAnsi="Arial" w:cs="Arial"/>
          <w:color w:val="000000"/>
          <w:sz w:val="20"/>
        </w:rPr>
        <w:t>April 5, 2017, Argued and Submitted, Pasadena, California; April 24, 2017, Filed</w:t>
      </w:r>
    </w:p>
    <w:p w:rsidR="00E456CD" w:rsidRDefault="00000000">
      <w:pPr>
        <w:pStyle w:val="Normal47"/>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15-56606</w:t>
      </w:r>
    </w:p>
    <w:p w:rsidR="00E456CD" w:rsidRDefault="00E456CD">
      <w:pPr>
        <w:pStyle w:val="Normal47"/>
        <w:widowControl w:val="0"/>
        <w:spacing w:line="240" w:lineRule="atLeast"/>
        <w:jc w:val="both"/>
      </w:pPr>
      <w:bookmarkStart w:id="7134" w:name="Bookmark_48"/>
      <w:bookmarkEnd w:id="7134"/>
    </w:p>
    <w:p w:rsidR="00E456CD" w:rsidRDefault="00000000">
      <w:pPr>
        <w:pStyle w:val="Normal47"/>
        <w:widowControl w:val="0"/>
        <w:spacing w:before="200" w:line="240" w:lineRule="atLeast"/>
      </w:pPr>
      <w:bookmarkStart w:id="7135" w:name="Reporter_46"/>
      <w:bookmarkEnd w:id="7135"/>
      <w:r>
        <w:rPr>
          <w:rFonts w:ascii="Arial" w:eastAsia="Arial" w:hAnsi="Arial" w:cs="Arial"/>
          <w:b/>
          <w:color w:val="000000"/>
          <w:sz w:val="18"/>
        </w:rPr>
        <w:t>Reporter</w:t>
      </w:r>
    </w:p>
    <w:p w:rsidR="00E456CD" w:rsidRDefault="00000000">
      <w:pPr>
        <w:pStyle w:val="Normal47"/>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854 F.3d 1149 *; 2017 U.S. App. LEXIS 7111 **; 2017 WL 1431084</w:t>
      </w:r>
    </w:p>
    <w:p w:rsidR="00E456CD" w:rsidRDefault="00000000">
      <w:pPr>
        <w:pStyle w:val="Normal47"/>
        <w:widowControl w:val="0"/>
        <w:spacing w:before="120" w:line="260" w:lineRule="atLeast"/>
      </w:pPr>
      <w:r>
        <w:rPr>
          <w:rFonts w:ascii="Arial" w:eastAsia="Arial" w:hAnsi="Arial" w:cs="Arial"/>
          <w:color w:val="000000"/>
          <w:sz w:val="20"/>
        </w:rPr>
        <w:t>CITY OF LOS ANGELES, a municipal corporation (acting by and through its Department of Airports), Third-Party-Plaintiff-Appellant, v. AECOM SERVICES, INC.; TUTOR PERINI CORPORATION, Third-Party-Defendants-Appellees, and BCI COCA-COLA BOTTLING COMPANY OF LOS ANGELES; JAROTH, INC., Third-Party-Defendants.</w:t>
      </w:r>
    </w:p>
    <w:p w:rsidR="00E456CD" w:rsidRDefault="00000000">
      <w:pPr>
        <w:pStyle w:val="Normal47"/>
        <w:widowControl w:val="0"/>
        <w:spacing w:before="240" w:line="260" w:lineRule="atLeast"/>
      </w:pPr>
      <w:bookmarkStart w:id="7136" w:name="Subsequent_History_19"/>
      <w:bookmarkEnd w:id="7136"/>
      <w:r>
        <w:rPr>
          <w:rFonts w:ascii="Arial" w:eastAsia="Arial" w:hAnsi="Arial" w:cs="Arial"/>
          <w:b/>
          <w:color w:val="000000"/>
          <w:sz w:val="20"/>
        </w:rPr>
        <w:t>Subsequent History:</w:t>
      </w:r>
      <w:r>
        <w:rPr>
          <w:rFonts w:ascii="Arial" w:eastAsia="Arial" w:hAnsi="Arial" w:cs="Arial"/>
          <w:color w:val="000000"/>
          <w:sz w:val="20"/>
        </w:rPr>
        <w:t> Corrected by City of Los Angeles v. AECOM Servs., 864 F.3d 1010, 2017 U.S. App. LEXIS 8209 (9th Cir., May 9, 2017)</w:t>
      </w:r>
    </w:p>
    <w:p w:rsidR="00E456CD" w:rsidRDefault="00000000">
      <w:pPr>
        <w:pStyle w:val="Normal47"/>
        <w:widowControl w:val="0"/>
        <w:spacing w:before="120" w:line="260" w:lineRule="atLeast"/>
      </w:pPr>
      <w:r>
        <w:rPr>
          <w:rFonts w:ascii="Arial" w:eastAsia="Arial" w:hAnsi="Arial" w:cs="Arial"/>
          <w:color w:val="000000"/>
          <w:sz w:val="20"/>
        </w:rPr>
        <w:t>US Supreme Court certiorari denied by Tutor Perini Corp. v. City of Los Angeles, 138 S. Ct. 381, 199 L. Ed. 2d 279, 2017 U.S. LEXIS 6507 (U.S., Oct. 30, 2017)</w:t>
      </w:r>
    </w:p>
    <w:p w:rsidR="00E456CD" w:rsidRDefault="00000000">
      <w:pPr>
        <w:pStyle w:val="Normal47"/>
        <w:widowControl w:val="0"/>
        <w:spacing w:before="120" w:line="260" w:lineRule="atLeast"/>
      </w:pPr>
      <w:r>
        <w:rPr>
          <w:rFonts w:ascii="Arial" w:eastAsia="Arial" w:hAnsi="Arial" w:cs="Arial"/>
          <w:color w:val="000000"/>
          <w:sz w:val="20"/>
        </w:rPr>
        <w:t>Appeal dismissed by City of Los Angeles v. Tutor Perini Corp., 2019 U.S. App. LEXIS 5424 (9th Cir. Cal., Feb. 22, 2019)</w:t>
      </w:r>
    </w:p>
    <w:p w:rsidR="00E456CD" w:rsidRDefault="00000000">
      <w:pPr>
        <w:pStyle w:val="Normal47"/>
        <w:widowControl w:val="0"/>
        <w:spacing w:before="240" w:line="260" w:lineRule="atLeast"/>
        <w:jc w:val="both"/>
      </w:pPr>
      <w:bookmarkStart w:id="7137" w:name="Prior_History_46"/>
      <w:bookmarkEnd w:id="7137"/>
      <w:r>
        <w:rPr>
          <w:rFonts w:ascii="Arial" w:eastAsia="Arial" w:hAnsi="Arial" w:cs="Arial"/>
          <w:b/>
          <w:color w:val="000000"/>
          <w:sz w:val="20"/>
        </w:rPr>
        <w:t>Prior History:</w:t>
      </w:r>
      <w:r>
        <w:rPr>
          <w:rFonts w:ascii="Arial" w:eastAsia="Arial" w:hAnsi="Arial" w:cs="Arial"/>
          <w:color w:val="000000"/>
          <w:sz w:val="20"/>
        </w:rPr>
        <w:t> </w:t>
      </w:r>
      <w:bookmarkStart w:id="7138" w:name="Bookmark_para_1_46"/>
      <w:bookmarkEnd w:id="7138"/>
      <w:r>
        <w:rPr>
          <w:rFonts w:ascii="Arial" w:eastAsia="Arial" w:hAnsi="Arial" w:cs="Arial"/>
          <w:color w:val="000000"/>
          <w:sz w:val="20"/>
        </w:rPr>
        <w:t> [**1] Appeal from the United States District Court For the Central District of California. D.C. No. 2:13-cv-04057-SJO-PJW. S. James Otero, District Judge, Presiding.</w:t>
      </w:r>
    </w:p>
    <w:p w:rsidR="00E456CD" w:rsidRDefault="00000000">
      <w:pPr>
        <w:pStyle w:val="Normal47"/>
        <w:widowControl w:val="0"/>
        <w:spacing w:before="120" w:line="260" w:lineRule="atLeast"/>
      </w:pPr>
      <w:r>
        <w:rPr>
          <w:rFonts w:ascii="Arial" w:eastAsia="Arial" w:hAnsi="Arial" w:cs="Arial"/>
          <w:color w:val="000000"/>
          <w:sz w:val="20"/>
        </w:rPr>
        <w:t>Malave v. City of Los Angeles, 2015 U.S. Dist. LEXIS 123817 (C.D. Cal., Sept. 16, 2015)</w:t>
      </w:r>
    </w:p>
    <w:p w:rsidR="00E456CD" w:rsidRDefault="00000000">
      <w:pPr>
        <w:pStyle w:val="Normal47"/>
        <w:widowControl w:val="0"/>
        <w:spacing w:before="240" w:line="260" w:lineRule="atLeast"/>
      </w:pPr>
      <w:bookmarkStart w:id="7139" w:name="Summary_3"/>
      <w:bookmarkEnd w:id="7139"/>
      <w:r>
        <w:rPr>
          <w:rFonts w:ascii="Arial" w:eastAsia="Arial" w:hAnsi="Arial" w:cs="Arial"/>
          <w:b/>
          <w:color w:val="000000"/>
          <w:sz w:val="20"/>
        </w:rPr>
        <w:t>Summary:</w:t>
      </w:r>
    </w:p>
    <w:p w:rsidR="00E456CD" w:rsidRDefault="00000000">
      <w:pPr>
        <w:pStyle w:val="Normal47"/>
        <w:widowControl w:val="0"/>
        <w:spacing w:before="240" w:line="260" w:lineRule="atLeast"/>
        <w:jc w:val="both"/>
      </w:pPr>
      <w:bookmarkStart w:id="7140" w:name="Bookmark_clspara_4_11"/>
      <w:bookmarkEnd w:id="7140"/>
      <w:r>
        <w:rPr>
          <w:rFonts w:ascii="Arial" w:eastAsia="Arial" w:hAnsi="Arial" w:cs="Arial"/>
          <w:color w:val="000000"/>
          <w:sz w:val="20"/>
        </w:rPr>
        <w:t>SUMMARY</w:t>
      </w:r>
      <w:r>
        <w:rPr>
          <w:rFonts w:ascii="Arial" w:eastAsia="Arial" w:hAnsi="Arial" w:cs="Arial"/>
          <w:vertAlign w:val="superscript"/>
        </w:rPr>
        <w:footnoteReference w:customMarkFollows="1" w:id="302"/>
        <w:t>**</w:t>
      </w:r>
    </w:p>
    <w:p w:rsidR="00E456CD" w:rsidRDefault="00000000">
      <w:pPr>
        <w:pStyle w:val="Normal47"/>
        <w:widowControl w:val="0"/>
        <w:spacing w:before="240" w:line="260" w:lineRule="atLeast"/>
        <w:jc w:val="both"/>
      </w:pPr>
      <w:bookmarkStart w:id="7142" w:name="Bookmark_clspara_5_3"/>
      <w:bookmarkEnd w:id="7142"/>
      <w:r>
        <w:rPr>
          <w:rFonts w:ascii="Arial" w:eastAsia="Arial" w:hAnsi="Arial" w:cs="Arial"/>
          <w:b/>
          <w:color w:val="000000"/>
          <w:sz w:val="20"/>
        </w:rPr>
        <w:t>Disability Law / Preemption</w:t>
      </w:r>
    </w:p>
    <w:p w:rsidR="00E456CD" w:rsidRDefault="00000000">
      <w:pPr>
        <w:pStyle w:val="Normal47"/>
        <w:widowControl w:val="0"/>
        <w:spacing w:before="240" w:line="260" w:lineRule="atLeast"/>
        <w:jc w:val="both"/>
      </w:pPr>
      <w:bookmarkStart w:id="7143" w:name="Bookmark_clspara_6_3"/>
      <w:bookmarkEnd w:id="7143"/>
      <w:r>
        <w:rPr>
          <w:rFonts w:ascii="Arial" w:eastAsia="Arial" w:hAnsi="Arial" w:cs="Arial"/>
          <w:color w:val="000000"/>
          <w:sz w:val="20"/>
        </w:rPr>
        <w:t>The panel reversed the district court's dismissal of third-party claims brought by the City of Los Angeles for breach of contract and contribution against contractors that allegedly breached their contractual duty to perform services in compliance with federal disability regulations.</w:t>
      </w:r>
    </w:p>
    <w:p w:rsidR="00E456CD" w:rsidRDefault="00000000">
      <w:pPr>
        <w:pStyle w:val="Normal47"/>
        <w:widowControl w:val="0"/>
        <w:spacing w:before="240" w:line="260" w:lineRule="atLeast"/>
        <w:jc w:val="both"/>
      </w:pPr>
      <w:bookmarkStart w:id="7144" w:name="Bookmark_clspara_7_3"/>
      <w:bookmarkEnd w:id="7144"/>
      <w:r>
        <w:rPr>
          <w:rFonts w:ascii="Arial" w:eastAsia="Arial" w:hAnsi="Arial" w:cs="Arial"/>
          <w:color w:val="000000"/>
          <w:sz w:val="20"/>
        </w:rPr>
        <w:t>Two disabled individuals filed suit alleging that the City's FlyAway bus facility and service failed to meet federal and state accessibility standards. The City filed a third-party complaint alleging breach of contract by the companies hired to design and construct the bus facility. The panel held that Title II of the Americans with</w:t>
      </w:r>
    </w:p>
    <w:p w:rsidR="00E456CD" w:rsidRDefault="00000000">
      <w:pPr>
        <w:pStyle w:val="Normal47"/>
        <w:widowControl w:val="0"/>
        <w:spacing w:before="240" w:line="260" w:lineRule="atLeast"/>
        <w:jc w:val="both"/>
      </w:pPr>
      <w:bookmarkStart w:id="7145" w:name="Bookmark_clspara_8_2"/>
      <w:bookmarkEnd w:id="7145"/>
      <w:r>
        <w:rPr>
          <w:rFonts w:ascii="Arial" w:eastAsia="Arial" w:hAnsi="Arial" w:cs="Arial"/>
          <w:color w:val="000000"/>
          <w:sz w:val="20"/>
        </w:rPr>
        <w:t>Disabilities Act and § 504 of the Rehabilitation Act did not preempt the City's state-law claims. The panel held that field preemption did not apply because the ADA expressly disavows preemptive federal occupation of the disability-rights field. Distinguishing a Fourth Circuit case, the panel held that conflict preemption also did not preclude the City's claims. The panel disagreed with the district [**2]  court's conclusion that the states have not traditionally occupied the field of anti-discrimination law, and so the general presumption against preemption did not apply. Applying the presumption, the panel concluded that Congress did not indicate a clear and manifest purpose to preempt claims for state-law indemnification or contribution filed by a public entity against a contractor. The panel remanded the case for further proceedings.</w:t>
      </w:r>
    </w:p>
    <w:p w:rsidR="00E456CD" w:rsidRDefault="00000000">
      <w:pPr>
        <w:pStyle w:val="Normal47"/>
        <w:widowControl w:val="0"/>
        <w:spacing w:before="240" w:line="260" w:lineRule="atLeast"/>
      </w:pPr>
      <w:bookmarkStart w:id="7146" w:name="Counsel_46"/>
      <w:bookmarkEnd w:id="7146"/>
      <w:r>
        <w:rPr>
          <w:rFonts w:ascii="Arial" w:eastAsia="Arial" w:hAnsi="Arial" w:cs="Arial"/>
          <w:b/>
          <w:color w:val="000000"/>
          <w:sz w:val="20"/>
        </w:rPr>
        <w:t>Counsel:</w:t>
      </w:r>
      <w:r>
        <w:rPr>
          <w:rFonts w:ascii="Arial" w:eastAsia="Arial" w:hAnsi="Arial" w:cs="Arial"/>
          <w:color w:val="000000"/>
          <w:sz w:val="20"/>
        </w:rPr>
        <w:t> Timothy T. Coates (argued) and Edward L. Xanders, Greines Martin Stein &amp; Richland LLP, Los Angeles, California; Kevin Gilbert, Lozano Smith, Walnut Creek, California; Kerrin Tso, Los Angeles City Attorney's Office, Los Angeles, California; for Third-Party-Plaintiff-Appellant.</w:t>
      </w:r>
    </w:p>
    <w:p w:rsidR="00E456CD" w:rsidRDefault="00000000">
      <w:pPr>
        <w:pStyle w:val="Normal47"/>
        <w:widowControl w:val="0"/>
        <w:spacing w:before="120" w:line="260" w:lineRule="atLeast"/>
      </w:pPr>
      <w:r>
        <w:rPr>
          <w:rFonts w:ascii="Arial" w:eastAsia="Arial" w:hAnsi="Arial" w:cs="Arial"/>
          <w:color w:val="000000"/>
          <w:sz w:val="20"/>
        </w:rPr>
        <w:t>Robert Nida (argued), Edward Wei, and Nomi L. Castle, Castle &amp; Associates APLC, Beverly Hills, California, for Third-Party-Defendant-Appellee Tutor Perini Corporation.</w:t>
      </w:r>
    </w:p>
    <w:p w:rsidR="00E456CD" w:rsidRDefault="00000000">
      <w:pPr>
        <w:pStyle w:val="Normal47"/>
        <w:widowControl w:val="0"/>
        <w:spacing w:before="120" w:line="260" w:lineRule="atLeast"/>
      </w:pPr>
      <w:r>
        <w:rPr>
          <w:rFonts w:ascii="Arial" w:eastAsia="Arial" w:hAnsi="Arial" w:cs="Arial"/>
          <w:color w:val="000000"/>
          <w:sz w:val="20"/>
        </w:rPr>
        <w:t>Noel Eugene Macaulay (argued) and Steven H. Schwartz, Schwartz &amp; Janzen LLP, Los Angeles, California, for Third Party-Defendant-Appellee AECOM Services, Inc.</w:t>
      </w:r>
    </w:p>
    <w:p w:rsidR="00E456CD" w:rsidRDefault="00000000">
      <w:pPr>
        <w:pStyle w:val="Normal47"/>
        <w:widowControl w:val="0"/>
        <w:spacing w:before="120" w:line="260" w:lineRule="atLeast"/>
      </w:pPr>
      <w:r>
        <w:rPr>
          <w:rFonts w:ascii="Arial" w:eastAsia="Arial" w:hAnsi="Arial" w:cs="Arial"/>
          <w:color w:val="000000"/>
          <w:sz w:val="20"/>
        </w:rPr>
        <w:t>Christine Van Aken, Chief of Appellate Litigation; Dennis J. Herrera, City Attorney; City Attorney's Office, San Francisco, California; for Amici Curiae League of [**3]  California Cities and California Association of Joint Powers Authorities.</w:t>
      </w:r>
    </w:p>
    <w:p w:rsidR="00E456CD" w:rsidRDefault="00000000">
      <w:pPr>
        <w:pStyle w:val="Normal47"/>
        <w:widowControl w:val="0"/>
        <w:spacing w:before="240" w:line="260" w:lineRule="atLeast"/>
      </w:pPr>
      <w:bookmarkStart w:id="7147" w:name="Judges_46"/>
      <w:bookmarkEnd w:id="7147"/>
      <w:r>
        <w:rPr>
          <w:rFonts w:ascii="Arial" w:eastAsia="Arial" w:hAnsi="Arial" w:cs="Arial"/>
          <w:b/>
          <w:color w:val="000000"/>
          <w:sz w:val="20"/>
        </w:rPr>
        <w:t>Judges:</w:t>
      </w:r>
      <w:r>
        <w:rPr>
          <w:rFonts w:ascii="Arial" w:eastAsia="Arial" w:hAnsi="Arial" w:cs="Arial"/>
          <w:color w:val="000000"/>
          <w:sz w:val="20"/>
        </w:rPr>
        <w:t> Before: MILAN D. SMITH, JR. and N.R. SMITH, Circuit Judges, and GARY FEINERMAN, District Judge.</w:t>
      </w:r>
      <w:r>
        <w:rPr>
          <w:rFonts w:ascii="Arial" w:eastAsia="Arial" w:hAnsi="Arial" w:cs="Arial"/>
          <w:vertAlign w:val="superscript"/>
        </w:rPr>
        <w:footnoteReference w:customMarkFollows="1" w:id="303"/>
        <w:t>*</w:t>
      </w:r>
      <w:r>
        <w:rPr>
          <w:rFonts w:ascii="Arial" w:eastAsia="Arial" w:hAnsi="Arial" w:cs="Arial"/>
          <w:color w:val="000000"/>
          <w:sz w:val="20"/>
        </w:rPr>
        <w:t xml:space="preserve"> Opinion by Judge Milan D. Smith, Jr.</w:t>
      </w:r>
    </w:p>
    <w:p w:rsidR="00E456CD" w:rsidRDefault="00000000">
      <w:pPr>
        <w:pStyle w:val="Normal47"/>
        <w:widowControl w:val="0"/>
        <w:spacing w:before="240" w:line="260" w:lineRule="atLeast"/>
      </w:pPr>
      <w:bookmarkStart w:id="7149" w:name="Opinion_by_29"/>
      <w:bookmarkEnd w:id="7149"/>
      <w:r>
        <w:rPr>
          <w:rFonts w:ascii="Arial" w:eastAsia="Arial" w:hAnsi="Arial" w:cs="Arial"/>
          <w:b/>
          <w:color w:val="000000"/>
          <w:sz w:val="20"/>
        </w:rPr>
        <w:t>Opinion by:</w:t>
      </w:r>
      <w:r>
        <w:rPr>
          <w:rFonts w:ascii="Arial" w:eastAsia="Arial" w:hAnsi="Arial" w:cs="Arial"/>
          <w:color w:val="000000"/>
          <w:sz w:val="20"/>
        </w:rPr>
        <w:t> M. SMITH</w:t>
      </w:r>
    </w:p>
    <w:p w:rsidR="00E456CD" w:rsidRDefault="00000000">
      <w:pPr>
        <w:pStyle w:val="Normal47"/>
        <w:keepNext/>
        <w:widowControl w:val="0"/>
        <w:spacing w:before="240" w:line="340" w:lineRule="atLeast"/>
      </w:pPr>
      <w:bookmarkStart w:id="7150" w:name="Opinion_46"/>
      <w:bookmarkEnd w:id="7150"/>
      <w:r>
        <w:rPr>
          <w:rFonts w:ascii="Arial" w:eastAsia="Arial" w:hAnsi="Arial" w:cs="Arial"/>
          <w:b/>
          <w:color w:val="000000"/>
          <w:sz w:val="28"/>
        </w:rPr>
        <w:t>Opinion</w:t>
      </w:r>
    </w:p>
    <w:p w:rsidR="00E456CD" w:rsidRDefault="00E22289">
      <w:pPr>
        <w:pStyle w:val="Normal47"/>
        <w:spacing w:line="60" w:lineRule="exact"/>
      </w:pPr>
      <w:r>
        <w:rPr>
          <w:noProof/>
        </w:rPr>
        <mc:AlternateContent>
          <mc:Choice Requires="wps">
            <w:drawing>
              <wp:anchor distT="0" distB="0" distL="114300" distR="114300" simplePos="0" relativeHeight="25175961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071724931"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4FEA9" id="Line 102"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7"/>
      </w:pPr>
    </w:p>
    <w:p w:rsidR="00E456CD" w:rsidRDefault="00000000">
      <w:pPr>
        <w:pStyle w:val="Normal47"/>
        <w:widowControl w:val="0"/>
        <w:spacing w:before="200" w:line="260" w:lineRule="atLeast"/>
        <w:jc w:val="both"/>
      </w:pPr>
      <w:bookmarkStart w:id="7151" w:name="Bookmark_para_2_46"/>
      <w:bookmarkEnd w:id="7151"/>
      <w:r>
        <w:rPr>
          <w:rFonts w:ascii="Arial" w:eastAsia="Arial" w:hAnsi="Arial" w:cs="Arial"/>
          <w:color w:val="000000"/>
          <w:sz w:val="20"/>
        </w:rPr>
        <w:t> [*1152]  M. SMITH, Circuit Judge:</w:t>
      </w:r>
    </w:p>
    <w:p w:rsidR="00E456CD" w:rsidRDefault="00000000">
      <w:pPr>
        <w:pStyle w:val="Normal47"/>
        <w:widowControl w:val="0"/>
        <w:spacing w:before="200" w:line="260" w:lineRule="atLeast"/>
        <w:jc w:val="both"/>
      </w:pPr>
      <w:bookmarkStart w:id="7152" w:name="Bookmark_para_3_46"/>
      <w:bookmarkEnd w:id="7152"/>
      <w:r>
        <w:rPr>
          <w:rFonts w:ascii="Arial" w:eastAsia="Arial" w:hAnsi="Arial" w:cs="Arial"/>
          <w:color w:val="000000"/>
          <w:sz w:val="20"/>
        </w:rPr>
        <w:t xml:space="preserve">This appeal presents a single legal question that has not yet been addressed by our court: Do Title II of the Americans with Disabilities Act (ADA) and Section 504 of the Rehabilitation Act of 1973 (§ 504) preempt a city's state-law claims for breach of contract and </w:t>
      </w:r>
      <w:r>
        <w:rPr>
          <w:rFonts w:ascii="Arial" w:eastAsia="Arial" w:hAnsi="Arial" w:cs="Arial"/>
          <w:i/>
          <w:color w:val="000000"/>
          <w:sz w:val="20"/>
        </w:rPr>
        <w:t>de facto</w:t>
      </w:r>
      <w:r>
        <w:rPr>
          <w:rFonts w:ascii="Arial" w:eastAsia="Arial" w:hAnsi="Arial" w:cs="Arial"/>
          <w:color w:val="000000"/>
          <w:sz w:val="20"/>
        </w:rPr>
        <w:t xml:space="preserve"> contribution against contractors who breach their contractual duty to perform services in compliance with federal disability regulations? For the reasons set forth in this opinion, we hold that neither Title II nor § 504 preempts such claims.</w:t>
      </w:r>
    </w:p>
    <w:p w:rsidR="00E456CD" w:rsidRDefault="00000000">
      <w:pPr>
        <w:pStyle w:val="Normal47"/>
        <w:widowControl w:val="0"/>
        <w:spacing w:before="240" w:line="260" w:lineRule="atLeast"/>
      </w:pPr>
      <w:r>
        <w:br/>
      </w:r>
      <w:r>
        <w:rPr>
          <w:rFonts w:ascii="Arial" w:eastAsia="Arial" w:hAnsi="Arial" w:cs="Arial"/>
          <w:b/>
          <w:color w:val="000000"/>
          <w:sz w:val="20"/>
        </w:rPr>
        <w:t>FACTUAL AND PROCEDURAL BACKGROUND</w:t>
      </w:r>
    </w:p>
    <w:p w:rsidR="00E456CD" w:rsidRDefault="00000000">
      <w:pPr>
        <w:pStyle w:val="Normal47"/>
        <w:widowControl w:val="0"/>
        <w:spacing w:before="200" w:line="260" w:lineRule="atLeast"/>
        <w:jc w:val="both"/>
      </w:pPr>
      <w:bookmarkStart w:id="7153" w:name="Bookmark_para_4_46"/>
      <w:bookmarkEnd w:id="7153"/>
      <w:r>
        <w:rPr>
          <w:rFonts w:ascii="Arial" w:eastAsia="Arial" w:hAnsi="Arial" w:cs="Arial"/>
          <w:color w:val="000000"/>
          <w:sz w:val="20"/>
        </w:rPr>
        <w:t xml:space="preserve">Two disabled individuals filed suit against Appellant City of Los Angeles (the City), alleging that the City's FlyAway bus facility and service—a bus system that provides transportation between Los Angeles International Airport and various locations—failed to meet the accessibility standards set forth in Title II of the ADA, 42 U.S.C. §§ 12131 </w:t>
      </w:r>
      <w:r>
        <w:rPr>
          <w:rFonts w:ascii="Arial" w:eastAsia="Arial" w:hAnsi="Arial" w:cs="Arial"/>
          <w:i/>
          <w:color w:val="000000"/>
          <w:sz w:val="20"/>
        </w:rPr>
        <w:t>et seq.</w:t>
      </w:r>
      <w:r>
        <w:rPr>
          <w:rFonts w:ascii="Arial" w:eastAsia="Arial" w:hAnsi="Arial" w:cs="Arial"/>
          <w:color w:val="000000"/>
          <w:sz w:val="20"/>
        </w:rPr>
        <w:t xml:space="preserve">; § 504 of the Rehabilitation Act, 29 U.S.C. §§ 701 </w:t>
      </w:r>
      <w:r>
        <w:rPr>
          <w:rFonts w:ascii="Arial" w:eastAsia="Arial" w:hAnsi="Arial" w:cs="Arial"/>
          <w:i/>
          <w:color w:val="000000"/>
          <w:sz w:val="20"/>
        </w:rPr>
        <w:t>et seq.</w:t>
      </w:r>
      <w:r>
        <w:rPr>
          <w:rFonts w:ascii="Arial" w:eastAsia="Arial" w:hAnsi="Arial" w:cs="Arial"/>
          <w:color w:val="000000"/>
          <w:sz w:val="20"/>
        </w:rPr>
        <w:t>; and various California statutes. The complaint specifically alleged that the [**4]  FlyAway bus facility in Van Nuys, California, had been constructed in such a manner that it was inaccessible by disabled individuals. Plaintiffs sought damages, attorneys' fees, and an injunction requiring the City to modify its Van Nuys FlyAway facility so that it would become compliant with state and federal disability access standards.</w:t>
      </w:r>
    </w:p>
    <w:p w:rsidR="00E456CD" w:rsidRDefault="00000000">
      <w:pPr>
        <w:pStyle w:val="Normal47"/>
        <w:widowControl w:val="0"/>
        <w:spacing w:before="200" w:line="260" w:lineRule="atLeast"/>
        <w:jc w:val="both"/>
      </w:pPr>
      <w:bookmarkStart w:id="7154" w:name="Bookmark_para_5_46"/>
      <w:bookmarkEnd w:id="7154"/>
      <w:r>
        <w:rPr>
          <w:rFonts w:ascii="Arial" w:eastAsia="Arial" w:hAnsi="Arial" w:cs="Arial"/>
          <w:color w:val="000000"/>
          <w:sz w:val="20"/>
        </w:rPr>
        <w:t>The City subsequently filed a third-party complaint against Appellees AECOM Services, Inc. (AECOM) and Tutor Perini Corporation (Tutor).</w:t>
      </w:r>
      <w:r>
        <w:rPr>
          <w:rFonts w:ascii="Arial" w:eastAsia="Arial" w:hAnsi="Arial" w:cs="Arial"/>
          <w:vertAlign w:val="superscript"/>
        </w:rPr>
        <w:footnoteReference w:customMarkFollows="1" w:id="304"/>
        <w:t>1</w:t>
      </w:r>
      <w:r>
        <w:rPr>
          <w:rFonts w:ascii="Arial" w:eastAsia="Arial" w:hAnsi="Arial" w:cs="Arial"/>
          <w:color w:val="000000"/>
          <w:sz w:val="20"/>
        </w:rPr>
        <w:t xml:space="preserve"> The City's third-party complaint alleged that pursuant to the contract entered into by the City and the company hired to provide design and construction administrative support services for the Van Nuys FlyAway facility (which was AECOM's predecessor-in-interest), AECOM was obligated "to defend, indemnify, and hold harmless the City against all suits, claims, losses, demands, and expenses </w:t>
      </w:r>
      <w:r>
        <w:rPr>
          <w:rFonts w:ascii="Arial" w:eastAsia="Arial" w:hAnsi="Arial" w:cs="Arial"/>
          <w:i/>
          <w:color w:val="000000"/>
          <w:sz w:val="20"/>
        </w:rPr>
        <w:t>to the extent that any such claim results from the negligent and/or intentional wrongful acts or omissions of [AECOM]</w:t>
      </w:r>
      <w:r>
        <w:rPr>
          <w:rFonts w:ascii="Arial" w:eastAsia="Arial" w:hAnsi="Arial" w:cs="Arial"/>
          <w:color w:val="000000"/>
          <w:sz w:val="20"/>
        </w:rPr>
        <w:t>, its subcontractors, officers, agents, servants, [or] employees." (emphasis added). The complaint also tracked the language of the contract, pursuant to which AECOM's predecessor-in-interest agreed</w:t>
      </w:r>
    </w:p>
    <w:p w:rsidR="00E456CD" w:rsidRDefault="00000000">
      <w:pPr>
        <w:pStyle w:val="Normal47"/>
        <w:widowControl w:val="0"/>
        <w:spacing w:before="200" w:line="260" w:lineRule="atLeast"/>
        <w:ind w:left="400"/>
        <w:jc w:val="both"/>
      </w:pPr>
      <w:bookmarkStart w:id="7156" w:name="Bookmark_para_6_46"/>
      <w:bookmarkEnd w:id="7156"/>
      <w:r>
        <w:rPr>
          <w:rFonts w:ascii="Arial" w:eastAsia="Arial" w:hAnsi="Arial" w:cs="Arial"/>
          <w:color w:val="000000"/>
          <w:sz w:val="20"/>
        </w:rPr>
        <w:t>to defend, indemnify and hold City . . . harmless from and against [**5]  all suits and causes of action, claims, losses, demands and expenses . . . to the extent that any claim for personal injury and/or for property damage results from the negligent and/or the intentional wrongful acts or omissions of Consultant, its subcontractors of any tier, and its or their officers, agents, servants, or employees, successors or assigns.</w:t>
      </w:r>
    </w:p>
    <w:p w:rsidR="00E456CD" w:rsidRDefault="00000000">
      <w:pPr>
        <w:pStyle w:val="Normal47"/>
        <w:widowControl w:val="0"/>
        <w:spacing w:line="260" w:lineRule="atLeast"/>
        <w:jc w:val="both"/>
      </w:pPr>
      <w:r>
        <w:rPr>
          <w:rFonts w:ascii="Arial" w:eastAsia="Arial" w:hAnsi="Arial" w:cs="Arial"/>
          <w:color w:val="000000"/>
          <w:sz w:val="20"/>
        </w:rPr>
        <w:t>(emphasis added).</w:t>
      </w:r>
    </w:p>
    <w:p w:rsidR="00E456CD" w:rsidRDefault="00000000">
      <w:pPr>
        <w:pStyle w:val="Normal47"/>
        <w:widowControl w:val="0"/>
        <w:spacing w:before="200" w:line="260" w:lineRule="atLeast"/>
        <w:jc w:val="both"/>
      </w:pPr>
      <w:bookmarkStart w:id="7157" w:name="Bookmark_para_7_45"/>
      <w:bookmarkEnd w:id="7157"/>
      <w:r>
        <w:rPr>
          <w:rFonts w:ascii="Arial" w:eastAsia="Arial" w:hAnsi="Arial" w:cs="Arial"/>
          <w:color w:val="000000"/>
          <w:sz w:val="20"/>
        </w:rPr>
        <w:t>The City further alleged that Tutor, the successor-in-interest to another company retained by the City to construct the Van Nuys FlyAway facility, was contractually obligated "to defend, indemnify, and hold harmless the City against all costs, liability, damage or expense . . . sustained as a proximate result of the acts or omissions of [Tutor] or relating to acts or events pertaining to, or arising out of, the contract." The contract between the City and Tutor's predecessor-in-interest also required that the contractor, in performing its contractual obligations, "comply with all applicable present and/or future local, . . . State and Federal Laws, statutes, ordinances, rules,  [*1153]  regulations, restrictions and/or orders, including . . . the Americans with Disabilities Act of 1990," and stated that "Contractor shall be solely [**6]  responsible for any and all damages caused, and/or penalties levied, as the result of Contractor's noncompliance with such enactments." The contract also stated that</w:t>
      </w:r>
    </w:p>
    <w:p w:rsidR="00E456CD" w:rsidRDefault="00000000">
      <w:pPr>
        <w:pStyle w:val="Normal47"/>
        <w:widowControl w:val="0"/>
        <w:spacing w:line="260" w:lineRule="atLeast"/>
        <w:ind w:left="400"/>
        <w:jc w:val="both"/>
      </w:pPr>
      <w:bookmarkStart w:id="7158" w:name="Bookmark_para_8_45"/>
      <w:bookmarkEnd w:id="7158"/>
      <w:r>
        <w:rPr>
          <w:rFonts w:ascii="Arial" w:eastAsia="Arial" w:hAnsi="Arial" w:cs="Arial"/>
          <w:color w:val="000000"/>
          <w:sz w:val="20"/>
        </w:rPr>
        <w:t>[e]xcept for the City's sole negligence or willful misconduct, Contractor expressly agrees to . . . defend, indemnify, keep and hold City . . . harmless from any and all costs, liability, damage or expense . . . sustained as a proximate result of the acts or omissions of Contractor, its agents, servants, subcontractors, employees or invitees; or [] relating to acts or events pertaining to, or arising from or out of, this Contract.</w:t>
      </w:r>
    </w:p>
    <w:p w:rsidR="00E456CD" w:rsidRDefault="00000000">
      <w:pPr>
        <w:pStyle w:val="Normal47"/>
        <w:widowControl w:val="0"/>
        <w:spacing w:before="200" w:line="260" w:lineRule="atLeast"/>
        <w:jc w:val="both"/>
      </w:pPr>
      <w:bookmarkStart w:id="7159" w:name="Bookmark_para_9_44"/>
      <w:bookmarkEnd w:id="7159"/>
      <w:r>
        <w:rPr>
          <w:rFonts w:ascii="Arial" w:eastAsia="Arial" w:hAnsi="Arial" w:cs="Arial"/>
          <w:color w:val="000000"/>
          <w:sz w:val="20"/>
        </w:rPr>
        <w:t>Based on the foregoing contractual provisions between the City and Appellees' respective predecessors-in-interest, the City's third-party complaint against Appellees sought damages for breach of contract, express contractual indemnity, and declaratory relief establishing Appellees' obligations to defend and indemnify the City.</w:t>
      </w:r>
    </w:p>
    <w:p w:rsidR="00E456CD" w:rsidRDefault="00000000">
      <w:pPr>
        <w:pStyle w:val="Normal47"/>
        <w:widowControl w:val="0"/>
        <w:spacing w:before="200" w:line="260" w:lineRule="atLeast"/>
        <w:jc w:val="both"/>
      </w:pPr>
      <w:bookmarkStart w:id="7160" w:name="Bookmark_para_10_42"/>
      <w:bookmarkEnd w:id="7160"/>
      <w:r>
        <w:rPr>
          <w:rFonts w:ascii="Arial" w:eastAsia="Arial" w:hAnsi="Arial" w:cs="Arial"/>
          <w:color w:val="000000"/>
          <w:sz w:val="20"/>
        </w:rPr>
        <w:t>Tutor moved to dismiss the City's claims pursuant to Federal Rule of Civil Procedure 12(b)(6), on the theory that Title II and § 504 preempt the City's claims for indemnification. The district court granted Tutor's motion to dismiss on preemption grounds. The district court also denied the City's request for leave to amend its [**7]  complaint, because it believed that any potential amendment would be futile. The City and AECOM then stipulated that the district court could rule on the viability of the City's claims against AECOM on the same basis as it did on Tutor's motion to dismiss because AECOM had asserted an identical preemption defense. The district court subsequently dismissed the City's claims against AECOM in an order substantively identical to the order previously issued in regard to Tutor's motion to dismiss. The City now appeals the district court's dismissal of its third-party claims against Appellees.</w:t>
      </w:r>
    </w:p>
    <w:p w:rsidR="00E456CD" w:rsidRDefault="00000000">
      <w:pPr>
        <w:pStyle w:val="Normal47"/>
        <w:widowControl w:val="0"/>
        <w:spacing w:before="240" w:line="260" w:lineRule="atLeast"/>
      </w:pPr>
      <w:r>
        <w:br/>
      </w:r>
      <w:r>
        <w:rPr>
          <w:rFonts w:ascii="Arial" w:eastAsia="Arial" w:hAnsi="Arial" w:cs="Arial"/>
          <w:b/>
          <w:color w:val="000000"/>
          <w:sz w:val="20"/>
        </w:rPr>
        <w:t>JURISDICTION AND STANDARD OF REVIEW</w:t>
      </w:r>
    </w:p>
    <w:p w:rsidR="00E456CD" w:rsidRDefault="00000000">
      <w:pPr>
        <w:pStyle w:val="Normal47"/>
        <w:widowControl w:val="0"/>
        <w:spacing w:before="200" w:line="260" w:lineRule="atLeast"/>
        <w:jc w:val="both"/>
      </w:pPr>
      <w:bookmarkStart w:id="7161" w:name="Bookmark_para_11_40"/>
      <w:bookmarkEnd w:id="7161"/>
      <w:r>
        <w:rPr>
          <w:rFonts w:ascii="Arial" w:eastAsia="Arial" w:hAnsi="Arial" w:cs="Arial"/>
          <w:color w:val="000000"/>
          <w:sz w:val="20"/>
        </w:rPr>
        <w:t xml:space="preserve">The district court entered a final judgment as to all parties in this appeal on October 8, 2015. </w:t>
      </w:r>
      <w:bookmarkStart w:id="7162" w:name="Bookmark_I5NK6D7F2D6NRH0020000400"/>
      <w:bookmarkStart w:id="7163" w:name="Bookmark_LNHNREFclscc1_38"/>
      <w:bookmarkEnd w:id="7162"/>
      <w:bookmarkEnd w:id="7163"/>
      <w:r>
        <w:rPr>
          <w:rFonts w:ascii="Arial" w:eastAsia="Arial" w:hAnsi="Arial" w:cs="Arial"/>
          <w:color w:val="000000"/>
          <w:sz w:val="20"/>
        </w:rPr>
        <w:t xml:space="preserve">We have jurisdiction over final judgments of the district court pursuant to 28 U.S.C. § 1291. </w:t>
      </w:r>
      <w:bookmarkStart w:id="7164" w:name="Bookmark_LNHNREFclscc2_38"/>
      <w:bookmarkEnd w:id="7164"/>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a district court's dismissal for failure to state a claim under Federal Rule of Civil Procedure 12(b)(6). </w:t>
      </w:r>
      <w:bookmarkStart w:id="7165" w:name="Bookmark_I5NK6D7F2D6NRH0040000400"/>
      <w:bookmarkStart w:id="7166" w:name="Bookmark_I5NK6D7F2D6NRH0010000400"/>
      <w:bookmarkEnd w:id="7165"/>
      <w:bookmarkEnd w:id="7166"/>
      <w:r>
        <w:rPr>
          <w:rFonts w:ascii="Arial" w:eastAsia="Arial" w:hAnsi="Arial" w:cs="Arial"/>
          <w:i/>
          <w:color w:val="000000"/>
          <w:sz w:val="20"/>
        </w:rPr>
        <w:t>Pepper v. Apple Inc. (In re Apple iPhone Antitrust Litig.)</w:t>
      </w:r>
      <w:r>
        <w:rPr>
          <w:rFonts w:ascii="Arial" w:eastAsia="Arial" w:hAnsi="Arial" w:cs="Arial"/>
          <w:color w:val="000000"/>
          <w:sz w:val="20"/>
        </w:rPr>
        <w:t xml:space="preserve">, 846 F.3d 313, 317 (9th Cir. 2017). </w:t>
      </w:r>
      <w:bookmarkStart w:id="7167" w:name="Bookmark_I5NK6D7F2D6NRH0040000400_2"/>
      <w:bookmarkStart w:id="7168" w:name="Bookmark_LNHNREFclscc3_36"/>
      <w:bookmarkEnd w:id="7167"/>
      <w:bookmarkEnd w:id="7168"/>
      <w:r>
        <w:rPr>
          <w:rFonts w:ascii="Arial" w:eastAsia="Arial" w:hAnsi="Arial" w:cs="Arial"/>
          <w:color w:val="000000"/>
          <w:sz w:val="20"/>
        </w:rPr>
        <w:t xml:space="preserve">We similarly review </w:t>
      </w:r>
      <w:r>
        <w:rPr>
          <w:rFonts w:ascii="Arial" w:eastAsia="Arial" w:hAnsi="Arial" w:cs="Arial"/>
          <w:i/>
          <w:color w:val="000000"/>
          <w:sz w:val="20"/>
        </w:rPr>
        <w:t>de novo</w:t>
      </w:r>
      <w:r>
        <w:rPr>
          <w:rFonts w:ascii="Arial" w:eastAsia="Arial" w:hAnsi="Arial" w:cs="Arial"/>
          <w:color w:val="000000"/>
          <w:sz w:val="20"/>
        </w:rPr>
        <w:t xml:space="preserve"> questions of preemption under the Supremacy Clause. </w:t>
      </w:r>
      <w:bookmarkStart w:id="7169" w:name="Bookmark_I5NK6D7F2D6NRH0030000400"/>
      <w:bookmarkEnd w:id="7169"/>
      <w:r>
        <w:rPr>
          <w:rFonts w:ascii="Arial" w:eastAsia="Arial" w:hAnsi="Arial" w:cs="Arial"/>
          <w:i/>
          <w:color w:val="000000"/>
          <w:sz w:val="20"/>
        </w:rPr>
        <w:t>Kroske v. U.S. Bank Corp.</w:t>
      </w:r>
      <w:r>
        <w:rPr>
          <w:rFonts w:ascii="Arial" w:eastAsia="Arial" w:hAnsi="Arial" w:cs="Arial"/>
          <w:color w:val="000000"/>
          <w:sz w:val="20"/>
        </w:rPr>
        <w:t>, 432 F.3d 976, 980 (9th Cir. 2005).</w:t>
      </w:r>
    </w:p>
    <w:p w:rsidR="00E456CD" w:rsidRDefault="00000000">
      <w:pPr>
        <w:pStyle w:val="Normal47"/>
        <w:widowControl w:val="0"/>
        <w:spacing w:before="240" w:line="260" w:lineRule="atLeast"/>
      </w:pPr>
      <w:r>
        <w:br/>
      </w:r>
      <w:r>
        <w:rPr>
          <w:rFonts w:ascii="Arial" w:eastAsia="Arial" w:hAnsi="Arial" w:cs="Arial"/>
          <w:b/>
          <w:color w:val="000000"/>
          <w:sz w:val="20"/>
        </w:rPr>
        <w:t>ANALYSIS</w:t>
      </w:r>
    </w:p>
    <w:p w:rsidR="00E456CD" w:rsidRDefault="00000000">
      <w:pPr>
        <w:pStyle w:val="Normal47"/>
        <w:widowControl w:val="0"/>
        <w:spacing w:before="240" w:line="260" w:lineRule="atLeast"/>
      </w:pPr>
      <w:r>
        <w:br/>
      </w:r>
      <w:r>
        <w:rPr>
          <w:rFonts w:ascii="Arial" w:eastAsia="Arial" w:hAnsi="Arial" w:cs="Arial"/>
          <w:b/>
          <w:color w:val="000000"/>
          <w:sz w:val="20"/>
        </w:rPr>
        <w:t>I. The Americans with Disabilities Act and the Rehabilitation Act of 1973</w:t>
      </w:r>
    </w:p>
    <w:p w:rsidR="00E456CD" w:rsidRDefault="00000000">
      <w:pPr>
        <w:pStyle w:val="Normal47"/>
        <w:widowControl w:val="0"/>
        <w:spacing w:before="200" w:line="260" w:lineRule="atLeast"/>
        <w:jc w:val="both"/>
      </w:pPr>
      <w:bookmarkStart w:id="7170" w:name="Bookmark_para_12_39"/>
      <w:bookmarkStart w:id="7171" w:name="Bookmark_I5NK6D7F2HM6VW0010000400"/>
      <w:bookmarkEnd w:id="7170"/>
      <w:bookmarkEnd w:id="7171"/>
      <w:r>
        <w:rPr>
          <w:rFonts w:ascii="Arial" w:eastAsia="Arial" w:hAnsi="Arial" w:cs="Arial"/>
          <w:color w:val="000000"/>
          <w:sz w:val="20"/>
        </w:rPr>
        <w:t xml:space="preserve">Title II of the ADA states that "no qualified individual with a disability shall, by reason of such disability, be excluded from participation in [**8]  or be denied the benefits of the services, programs, or activities of a public entity, or be subjected to discrimination by any such entity." 42 U.S.C. § 12132. </w:t>
      </w:r>
      <w:bookmarkStart w:id="7172" w:name="Bookmark_I5NK6D7F2HM6VW0030000400"/>
      <w:bookmarkEnd w:id="7172"/>
      <w:r>
        <w:rPr>
          <w:rFonts w:ascii="Arial" w:eastAsia="Arial" w:hAnsi="Arial" w:cs="Arial"/>
          <w:color w:val="000000"/>
          <w:sz w:val="20"/>
        </w:rPr>
        <w:t xml:space="preserve">This echoes § 504 of the Rehabilitation Act, which states that "[n]o otherwise qualified individual with a disability . . . shall, solely by reason of her or his disability, be excluded from the participation in, be denied the benefits of, or be subjected to discrimination under any program or activity receiving Federal financial assistance." 29 U.S.C. § 794(a). </w:t>
      </w:r>
      <w:bookmarkStart w:id="7173" w:name="Bookmark_LNHNREFclscc4_35"/>
      <w:bookmarkEnd w:id="7173"/>
      <w:r>
        <w:rPr>
          <w:rFonts w:ascii="Arial" w:eastAsia="Arial" w:hAnsi="Arial" w:cs="Arial"/>
          <w:color w:val="000000"/>
          <w:sz w:val="20"/>
        </w:rPr>
        <w:t xml:space="preserve">Title II "extends the anti-discrimination prohibition embodied in section 504 [of the Rehabilitation Act of 1973] to all actions of state and local governments," H.R. Rep. No. 101-485(II), at 84 (1990), </w:t>
      </w:r>
      <w:r>
        <w:rPr>
          <w:rFonts w:ascii="Arial" w:eastAsia="Arial" w:hAnsi="Arial" w:cs="Arial"/>
          <w:i/>
          <w:color w:val="000000"/>
          <w:sz w:val="20"/>
        </w:rPr>
        <w:t>reprinted in</w:t>
      </w:r>
      <w:r>
        <w:rPr>
          <w:rFonts w:ascii="Arial" w:eastAsia="Arial" w:hAnsi="Arial" w:cs="Arial"/>
          <w:color w:val="000000"/>
          <w:sz w:val="20"/>
        </w:rPr>
        <w:t xml:space="preserve"> 1990 U.S.C.C.A.N. 303, 367, and should be read  [*1154]  "broadly in order to effectively implement the ADA's fundamental purpose of providing a clear and comprehensive national mandate for the elimination of discrimination against individuals with disabilities." </w:t>
      </w:r>
      <w:bookmarkStart w:id="7174" w:name="Bookmark_I5NK6D7F2D6NRH0050000400"/>
      <w:bookmarkEnd w:id="7174"/>
      <w:r>
        <w:rPr>
          <w:rFonts w:ascii="Arial" w:eastAsia="Arial" w:hAnsi="Arial" w:cs="Arial"/>
          <w:i/>
          <w:color w:val="000000"/>
          <w:sz w:val="20"/>
        </w:rPr>
        <w:t>Hason v. Med. Bd. of Cal.</w:t>
      </w:r>
      <w:r>
        <w:rPr>
          <w:rFonts w:ascii="Arial" w:eastAsia="Arial" w:hAnsi="Arial" w:cs="Arial"/>
          <w:color w:val="000000"/>
          <w:sz w:val="20"/>
        </w:rPr>
        <w:t xml:space="preserve">, 279 F.3d 1167, 1172 (9th Cir. 2002) (internal quotation marks and alteration omitted). </w:t>
      </w:r>
      <w:bookmarkStart w:id="7175" w:name="Bookmark_I5NK6D7F2HM6VW0030000400_2"/>
      <w:bookmarkEnd w:id="7175"/>
      <w:r>
        <w:rPr>
          <w:rFonts w:ascii="Arial" w:eastAsia="Arial" w:hAnsi="Arial" w:cs="Arial"/>
          <w:color w:val="000000"/>
          <w:sz w:val="20"/>
        </w:rPr>
        <w:t xml:space="preserve">In the context of claims brought under Title II, "the ADA's broad language brings within its scope anything a public entity does." </w:t>
      </w:r>
      <w:bookmarkStart w:id="7176" w:name="Bookmark_I5NK6D7F2HM6VW0020000400"/>
      <w:bookmarkEnd w:id="7176"/>
      <w:r>
        <w:rPr>
          <w:rFonts w:ascii="Arial" w:eastAsia="Arial" w:hAnsi="Arial" w:cs="Arial"/>
          <w:i/>
          <w:color w:val="000000"/>
          <w:sz w:val="20"/>
        </w:rPr>
        <w:t>Lee v. City of Los Angeles</w:t>
      </w:r>
      <w:r>
        <w:rPr>
          <w:rFonts w:ascii="Arial" w:eastAsia="Arial" w:hAnsi="Arial" w:cs="Arial"/>
          <w:color w:val="000000"/>
          <w:sz w:val="20"/>
        </w:rPr>
        <w:t>, 250 F.3d 668, 691 (9th Cir. 2001) (internal quotation marks omitted).</w:t>
      </w:r>
    </w:p>
    <w:p w:rsidR="00E456CD" w:rsidRDefault="00000000">
      <w:pPr>
        <w:pStyle w:val="Normal47"/>
        <w:widowControl w:val="0"/>
        <w:spacing w:before="240" w:line="260" w:lineRule="atLeast"/>
      </w:pPr>
      <w:r>
        <w:br/>
      </w:r>
      <w:r>
        <w:rPr>
          <w:rFonts w:ascii="Arial" w:eastAsia="Arial" w:hAnsi="Arial" w:cs="Arial"/>
          <w:b/>
          <w:color w:val="000000"/>
          <w:sz w:val="20"/>
        </w:rPr>
        <w:t>II. Federal Preemption of State Law</w:t>
      </w:r>
    </w:p>
    <w:p w:rsidR="00E456CD" w:rsidRDefault="00000000">
      <w:pPr>
        <w:pStyle w:val="Normal47"/>
        <w:widowControl w:val="0"/>
        <w:spacing w:before="200" w:line="260" w:lineRule="atLeast"/>
        <w:jc w:val="both"/>
      </w:pPr>
      <w:bookmarkStart w:id="7177" w:name="Bookmark_para_13_37"/>
      <w:bookmarkStart w:id="7178" w:name="Bookmark_I5NK6D7F2HM6VW0050000400"/>
      <w:bookmarkEnd w:id="7177"/>
      <w:bookmarkEnd w:id="7178"/>
      <w:r>
        <w:rPr>
          <w:rFonts w:ascii="Arial" w:eastAsia="Arial" w:hAnsi="Arial" w:cs="Arial"/>
          <w:color w:val="000000"/>
          <w:sz w:val="20"/>
        </w:rPr>
        <w:t xml:space="preserve">The Supremacy Clause of the United States Constitution provides that the [**9]  "Constitution, and the Laws of the United States which shall be made in Pursuance thereof . . . shall be the supreme Law of the Land; and the Judges in every State shall be bound thereby, any Thing in the Constitution or Laws of any State to the Contrary notwithstanding." U.S. Const. art. VI, cl. 2. </w:t>
      </w:r>
      <w:bookmarkStart w:id="7179" w:name="Bookmark_I5NK6D7F2N1RHK0020000400"/>
      <w:bookmarkStart w:id="7180" w:name="Bookmark_LNHNREFclscc5_34"/>
      <w:bookmarkEnd w:id="7179"/>
      <w:bookmarkEnd w:id="7180"/>
      <w:r>
        <w:rPr>
          <w:rFonts w:ascii="Arial" w:eastAsia="Arial" w:hAnsi="Arial" w:cs="Arial"/>
          <w:color w:val="000000"/>
          <w:sz w:val="20"/>
        </w:rPr>
        <w:t xml:space="preserve">The Supreme Court has set forth two principles to guide courts in applying the federal preemption principle embodied in this constitutional provision. First, "the purpose of Congress is the ultimate touchstone in every pre-emption case." </w:t>
      </w:r>
      <w:bookmarkStart w:id="7181" w:name="Bookmark_I5NK6D7F2HM6VW0040000400"/>
      <w:bookmarkEnd w:id="7181"/>
      <w:r>
        <w:rPr>
          <w:rFonts w:ascii="Arial" w:eastAsia="Arial" w:hAnsi="Arial" w:cs="Arial"/>
          <w:i/>
          <w:color w:val="000000"/>
          <w:sz w:val="20"/>
        </w:rPr>
        <w:t>Medtronic, Inc. v. Lohr</w:t>
      </w:r>
      <w:r>
        <w:rPr>
          <w:rFonts w:ascii="Arial" w:eastAsia="Arial" w:hAnsi="Arial" w:cs="Arial"/>
          <w:color w:val="000000"/>
          <w:sz w:val="20"/>
        </w:rPr>
        <w:t xml:space="preserve">, 518 U.S. 470, 485, 116 S. Ct. 2240, 135 L. Ed. 2d 700 (1996) (internal quotation marks and alteration omitted). </w:t>
      </w:r>
      <w:bookmarkStart w:id="7182" w:name="Bookmark_I5NK6D7F2N1RHK0020000400_2"/>
      <w:bookmarkEnd w:id="7182"/>
      <w:r>
        <w:rPr>
          <w:rFonts w:ascii="Arial" w:eastAsia="Arial" w:hAnsi="Arial" w:cs="Arial"/>
          <w:color w:val="000000"/>
          <w:sz w:val="20"/>
        </w:rPr>
        <w:t xml:space="preserve">Second, "[i]n all pre-emption cases, and particularly in those in which Congress has legislated in a field which the States have traditionally occupied, we start with the assumption that the historic police powers of the States were not to be superseded by the Federal Act unless that was the clear and manifest purpose of Congress." </w:t>
      </w:r>
      <w:r>
        <w:rPr>
          <w:rFonts w:ascii="Arial" w:eastAsia="Arial" w:hAnsi="Arial" w:cs="Arial"/>
          <w:i/>
          <w:color w:val="000000"/>
          <w:sz w:val="20"/>
        </w:rPr>
        <w:t>Id.</w:t>
      </w:r>
      <w:r>
        <w:rPr>
          <w:rFonts w:ascii="Arial" w:eastAsia="Arial" w:hAnsi="Arial" w:cs="Arial"/>
          <w:color w:val="000000"/>
          <w:sz w:val="20"/>
        </w:rPr>
        <w:t xml:space="preserve"> (internal quotation marks and ellipsis omitted); </w:t>
      </w:r>
      <w:r>
        <w:rPr>
          <w:rFonts w:ascii="Arial" w:eastAsia="Arial" w:hAnsi="Arial" w:cs="Arial"/>
          <w:i/>
          <w:color w:val="000000"/>
          <w:sz w:val="20"/>
        </w:rPr>
        <w:t xml:space="preserve">see also </w:t>
      </w:r>
      <w:bookmarkStart w:id="7183" w:name="Bookmark_I5NK6D7F2N1RHK0010000400"/>
      <w:bookmarkEnd w:id="7183"/>
      <w:r>
        <w:rPr>
          <w:rFonts w:ascii="Arial" w:eastAsia="Arial" w:hAnsi="Arial" w:cs="Arial"/>
          <w:i/>
          <w:color w:val="000000"/>
          <w:sz w:val="20"/>
        </w:rPr>
        <w:t>Wyeth v. Levine</w:t>
      </w:r>
      <w:r>
        <w:rPr>
          <w:rFonts w:ascii="Arial" w:eastAsia="Arial" w:hAnsi="Arial" w:cs="Arial"/>
          <w:color w:val="000000"/>
          <w:sz w:val="20"/>
        </w:rPr>
        <w:t>, 555 U.S. 555, 565, 129 S. Ct. 1187, 173 L. Ed. 2d 51 (2009).</w:t>
      </w:r>
    </w:p>
    <w:p w:rsidR="00E456CD" w:rsidRDefault="00000000">
      <w:pPr>
        <w:pStyle w:val="Normal47"/>
        <w:widowControl w:val="0"/>
        <w:spacing w:before="200" w:line="260" w:lineRule="atLeast"/>
        <w:jc w:val="both"/>
      </w:pPr>
      <w:bookmarkStart w:id="7184" w:name="Bookmark_para_14_36"/>
      <w:bookmarkStart w:id="7185" w:name="Bookmark_LNHNREFclscc6_30"/>
      <w:bookmarkEnd w:id="7184"/>
      <w:bookmarkEnd w:id="7185"/>
      <w:r>
        <w:rPr>
          <w:rFonts w:ascii="Arial" w:eastAsia="Arial" w:hAnsi="Arial" w:cs="Arial"/>
          <w:color w:val="000000"/>
          <w:sz w:val="20"/>
        </w:rPr>
        <w:t>We have recognized three ways in which a federal law may preempt state legislation:</w:t>
      </w:r>
    </w:p>
    <w:p w:rsidR="00E456CD" w:rsidRDefault="00000000">
      <w:pPr>
        <w:pStyle w:val="Normal47"/>
        <w:widowControl w:val="0"/>
        <w:spacing w:before="200" w:line="260" w:lineRule="atLeast"/>
        <w:ind w:left="400"/>
        <w:jc w:val="both"/>
      </w:pPr>
      <w:bookmarkStart w:id="7186" w:name="Bookmark_para_15_36"/>
      <w:bookmarkStart w:id="7187" w:name="Bookmark_I5NK6D7F2N1RHK0040000400"/>
      <w:bookmarkEnd w:id="7186"/>
      <w:bookmarkEnd w:id="7187"/>
      <w:r>
        <w:rPr>
          <w:rFonts w:ascii="Arial" w:eastAsia="Arial" w:hAnsi="Arial" w:cs="Arial"/>
          <w:color w:val="000000"/>
          <w:sz w:val="20"/>
        </w:rPr>
        <w:t>First, Congress may preempt state law by so stating in express terms. Second, preemption may be inferred when federal regulation in a particular field is so pervasive [**10]  as to make reasonable the inference that Congress left no room for the States to supplement it. In such cases of field preemption, the mere volume and complexity of federal regulations demonstrate an implicit congressional intent to displace all state law. Third, preemption may be implied when state law actually conflicts with federal law. Such a conflict arises when compliance with both federal and state regulations is a physical impossibility, or when state law stands as an obstacle to the accomplishment and execution of the full purposes and objectives of Congress.</w:t>
      </w:r>
    </w:p>
    <w:p w:rsidR="00E456CD" w:rsidRDefault="00000000">
      <w:pPr>
        <w:pStyle w:val="Normal47"/>
        <w:widowControl w:val="0"/>
        <w:spacing w:before="200" w:line="260" w:lineRule="atLeast"/>
        <w:jc w:val="both"/>
      </w:pPr>
      <w:bookmarkStart w:id="7188" w:name="Bookmark_I5NK6D7F2N1RHK0040000400_2"/>
      <w:bookmarkStart w:id="7189" w:name="Bookmark_I5NK6D7F2N1RHK0030000400"/>
      <w:bookmarkEnd w:id="7188"/>
      <w:bookmarkEnd w:id="7189"/>
      <w:r>
        <w:rPr>
          <w:rFonts w:ascii="Arial" w:eastAsia="Arial" w:hAnsi="Arial" w:cs="Arial"/>
          <w:i/>
          <w:color w:val="000000"/>
          <w:sz w:val="20"/>
        </w:rPr>
        <w:t>Bank of Am. v. City &amp; Cty. of S.F.</w:t>
      </w:r>
      <w:r>
        <w:rPr>
          <w:rFonts w:ascii="Arial" w:eastAsia="Arial" w:hAnsi="Arial" w:cs="Arial"/>
          <w:color w:val="000000"/>
          <w:sz w:val="20"/>
        </w:rPr>
        <w:t xml:space="preserve">, 309 F.3d 551, 558 (9th Cir. 2002), </w:t>
      </w:r>
      <w:r>
        <w:rPr>
          <w:rFonts w:ascii="Arial" w:eastAsia="Arial" w:hAnsi="Arial" w:cs="Arial"/>
          <w:i/>
          <w:color w:val="000000"/>
          <w:sz w:val="20"/>
        </w:rPr>
        <w:t>as amended on denial of reh'g and reh'g en banc</w:t>
      </w:r>
      <w:r>
        <w:rPr>
          <w:rFonts w:ascii="Arial" w:eastAsia="Arial" w:hAnsi="Arial" w:cs="Arial"/>
          <w:color w:val="000000"/>
          <w:sz w:val="20"/>
        </w:rPr>
        <w:t xml:space="preserve"> (Dec. 20, 2002) (internal quotation marks and citations omitted).</w:t>
      </w:r>
    </w:p>
    <w:p w:rsidR="00E456CD" w:rsidRDefault="00000000">
      <w:pPr>
        <w:pStyle w:val="Normal47"/>
        <w:widowControl w:val="0"/>
        <w:spacing w:before="200" w:line="260" w:lineRule="atLeast"/>
        <w:jc w:val="both"/>
      </w:pPr>
      <w:bookmarkStart w:id="7190" w:name="Bookmark_para_16_35"/>
      <w:bookmarkStart w:id="7191" w:name="Bookmark_I5XS577228T5140020000400"/>
      <w:bookmarkStart w:id="7192" w:name="Bookmark_I5XS577228T5140040000400"/>
      <w:bookmarkEnd w:id="7190"/>
      <w:bookmarkEnd w:id="7191"/>
      <w:bookmarkEnd w:id="7192"/>
      <w:r>
        <w:rPr>
          <w:rFonts w:ascii="Arial" w:eastAsia="Arial" w:hAnsi="Arial" w:cs="Arial"/>
          <w:color w:val="000000"/>
          <w:sz w:val="20"/>
        </w:rPr>
        <w:t xml:space="preserve">The Supreme Court has stated, in the context of banking regulations, that </w:t>
      </w:r>
      <w:bookmarkStart w:id="7193" w:name="Bookmark_LNHNREFclscc7_30"/>
      <w:bookmarkEnd w:id="7193"/>
      <w:r>
        <w:rPr>
          <w:rFonts w:ascii="Arial" w:eastAsia="Arial" w:hAnsi="Arial" w:cs="Arial"/>
          <w:color w:val="000000"/>
          <w:sz w:val="20"/>
        </w:rPr>
        <w:t xml:space="preserve">the general presumption against preemption "is not triggered when the State regulates in an area where there has been a history of significant federal presence." </w:t>
      </w:r>
      <w:bookmarkStart w:id="7194" w:name="Bookmark_I5XS577228T5140010000400"/>
      <w:bookmarkEnd w:id="7194"/>
      <w:r>
        <w:rPr>
          <w:rFonts w:ascii="Arial" w:eastAsia="Arial" w:hAnsi="Arial" w:cs="Arial"/>
          <w:i/>
          <w:color w:val="000000"/>
          <w:sz w:val="20"/>
        </w:rPr>
        <w:t>United States v. Locke</w:t>
      </w:r>
      <w:r>
        <w:rPr>
          <w:rFonts w:ascii="Arial" w:eastAsia="Arial" w:hAnsi="Arial" w:cs="Arial"/>
          <w:color w:val="000000"/>
          <w:sz w:val="20"/>
        </w:rPr>
        <w:t xml:space="preserve">, 529 U.S. 89, 108, 120 S. Ct. 1135, 146 L. Ed. 2d 69 (2000). Taken in isolation, this language might suggest that any time the federal government has historically regulated in a given area, the typical presumption against preemption does not apply. </w:t>
      </w:r>
      <w:bookmarkStart w:id="7195" w:name="Bookmark_I5XS57732HM6YT0010000400"/>
      <w:bookmarkEnd w:id="7195"/>
      <w:r>
        <w:rPr>
          <w:rFonts w:ascii="Arial" w:eastAsia="Arial" w:hAnsi="Arial" w:cs="Arial"/>
          <w:color w:val="000000"/>
          <w:sz w:val="20"/>
        </w:rPr>
        <w:t xml:space="preserve">However, the Court, in </w:t>
      </w:r>
      <w:bookmarkStart w:id="7196" w:name="Bookmark_I5XS577228T5140030000400"/>
      <w:bookmarkEnd w:id="7196"/>
      <w:r>
        <w:rPr>
          <w:rFonts w:ascii="Arial" w:eastAsia="Arial" w:hAnsi="Arial" w:cs="Arial"/>
          <w:i/>
          <w:color w:val="000000"/>
          <w:sz w:val="20"/>
        </w:rPr>
        <w:t>Wyeth v. Levine</w:t>
      </w:r>
      <w:r>
        <w:rPr>
          <w:rFonts w:ascii="Arial" w:eastAsia="Arial" w:hAnsi="Arial" w:cs="Arial"/>
          <w:color w:val="000000"/>
          <w:sz w:val="20"/>
        </w:rPr>
        <w:t xml:space="preserve">, 555 U.S. 555, 129 S. Ct. 1187, 173 L. Ed. 2d 51 (2009), somewhat cabined its language from </w:t>
      </w:r>
      <w:r>
        <w:rPr>
          <w:rFonts w:ascii="Arial" w:eastAsia="Arial" w:hAnsi="Arial" w:cs="Arial"/>
          <w:i/>
          <w:color w:val="000000"/>
          <w:sz w:val="20"/>
        </w:rPr>
        <w:t>Locke</w:t>
      </w:r>
      <w:r>
        <w:rPr>
          <w:rFonts w:ascii="Arial" w:eastAsia="Arial" w:hAnsi="Arial" w:cs="Arial"/>
          <w:color w:val="000000"/>
          <w:sz w:val="20"/>
        </w:rPr>
        <w:t xml:space="preserve"> by further explaining [**11]  the role of historic federal regulation in conducting a preemption analysis: </w:t>
      </w:r>
    </w:p>
    <w:p w:rsidR="00E456CD" w:rsidRDefault="00000000">
      <w:pPr>
        <w:pStyle w:val="Normal47"/>
        <w:widowControl w:val="0"/>
        <w:spacing w:before="200" w:line="260" w:lineRule="atLeast"/>
        <w:ind w:left="400"/>
        <w:jc w:val="both"/>
      </w:pPr>
      <w:bookmarkStart w:id="7197" w:name="Bookmark_para_17_33"/>
      <w:bookmarkStart w:id="7198" w:name="Bookmark_I5XS57732HM6YT0010000400_2"/>
      <w:bookmarkEnd w:id="7197"/>
      <w:bookmarkEnd w:id="7198"/>
      <w:r>
        <w:rPr>
          <w:rFonts w:ascii="Arial" w:eastAsia="Arial" w:hAnsi="Arial" w:cs="Arial"/>
          <w:color w:val="000000"/>
          <w:sz w:val="20"/>
        </w:rPr>
        <w:t xml:space="preserve"> [*1155]  Wyeth argues that the presumption against pre-emption should not apply to this case because the Federal Government has regulated drug labeling for more than a century. </w:t>
      </w:r>
      <w:bookmarkStart w:id="7199" w:name="Bookmark_I5NK6D7F2N1RHM0010000400"/>
      <w:bookmarkStart w:id="7200" w:name="Bookmark_I5XS57732HM6YT0010000400_3"/>
      <w:bookmarkEnd w:id="7199"/>
      <w:bookmarkEnd w:id="7200"/>
      <w:r>
        <w:rPr>
          <w:rFonts w:ascii="Arial" w:eastAsia="Arial" w:hAnsi="Arial" w:cs="Arial"/>
          <w:color w:val="000000"/>
          <w:sz w:val="20"/>
        </w:rPr>
        <w:t xml:space="preserve">That argument misunderstands the principle: We rely on the presumption because </w:t>
      </w:r>
      <w:bookmarkStart w:id="7201" w:name="Bookmark_LNHNREFclscc8_27"/>
      <w:bookmarkEnd w:id="7201"/>
      <w:r>
        <w:rPr>
          <w:rFonts w:ascii="Arial" w:eastAsia="Arial" w:hAnsi="Arial" w:cs="Arial"/>
          <w:color w:val="000000"/>
          <w:sz w:val="20"/>
        </w:rPr>
        <w:t xml:space="preserve">respect for the States as "independent sovereigns in our federal system" leads us to assume that "Congress does not cavalierly pre-empt state-law causes of action." </w:t>
      </w:r>
      <w:bookmarkStart w:id="7202" w:name="Bookmark_I5XS577228T5140050000400"/>
      <w:bookmarkEnd w:id="7202"/>
      <w:r>
        <w:rPr>
          <w:rFonts w:ascii="Arial" w:eastAsia="Arial" w:hAnsi="Arial" w:cs="Arial"/>
          <w:i/>
          <w:color w:val="000000"/>
          <w:sz w:val="20"/>
        </w:rPr>
        <w:t>Lohr</w:t>
      </w:r>
      <w:r>
        <w:rPr>
          <w:rFonts w:ascii="Arial" w:eastAsia="Arial" w:hAnsi="Arial" w:cs="Arial"/>
          <w:color w:val="000000"/>
          <w:sz w:val="20"/>
        </w:rPr>
        <w:t xml:space="preserve">, 518 U.S. at 485 . . . . </w:t>
      </w:r>
      <w:bookmarkStart w:id="7203" w:name="Bookmark_I5NK6D7F2N1RHM0010000400_2"/>
      <w:bookmarkEnd w:id="7203"/>
      <w:r>
        <w:rPr>
          <w:rFonts w:ascii="Arial" w:eastAsia="Arial" w:hAnsi="Arial" w:cs="Arial"/>
          <w:color w:val="000000"/>
          <w:sz w:val="20"/>
        </w:rPr>
        <w:t xml:space="preserve">The presumption thus accounts for the historic presence of state law but </w:t>
      </w:r>
      <w:r>
        <w:rPr>
          <w:rFonts w:ascii="Arial" w:eastAsia="Arial" w:hAnsi="Arial" w:cs="Arial"/>
          <w:i/>
          <w:color w:val="000000"/>
          <w:sz w:val="20"/>
        </w:rPr>
        <w:t>does not rely on the absence of federal regulation</w:t>
      </w:r>
      <w:r>
        <w:rPr>
          <w:rFonts w:ascii="Arial" w:eastAsia="Arial" w:hAnsi="Arial" w:cs="Arial"/>
          <w:color w:val="000000"/>
          <w:sz w:val="20"/>
        </w:rPr>
        <w:t>.</w:t>
      </w:r>
    </w:p>
    <w:p w:rsidR="00E456CD" w:rsidRDefault="00000000">
      <w:pPr>
        <w:pStyle w:val="Normal47"/>
        <w:widowControl w:val="0"/>
        <w:spacing w:before="200" w:line="260" w:lineRule="atLeast"/>
        <w:jc w:val="both"/>
      </w:pPr>
      <w:bookmarkStart w:id="7204" w:name="Bookmark_I5NK6D7F2N1RHM0010000400_3"/>
      <w:bookmarkStart w:id="7205" w:name="Bookmark_I5NK6D7F2HM6VX0050000400"/>
      <w:bookmarkEnd w:id="7204"/>
      <w:bookmarkEnd w:id="7205"/>
      <w:r>
        <w:rPr>
          <w:rFonts w:ascii="Arial" w:eastAsia="Arial" w:hAnsi="Arial" w:cs="Arial"/>
          <w:i/>
          <w:color w:val="000000"/>
          <w:sz w:val="20"/>
        </w:rPr>
        <w:t>Id.</w:t>
      </w:r>
      <w:r>
        <w:rPr>
          <w:rFonts w:ascii="Arial" w:eastAsia="Arial" w:hAnsi="Arial" w:cs="Arial"/>
          <w:color w:val="000000"/>
          <w:sz w:val="20"/>
        </w:rPr>
        <w:t xml:space="preserve"> at 565 n.3 (emphasis added). </w:t>
      </w:r>
      <w:r>
        <w:rPr>
          <w:rFonts w:ascii="Arial" w:eastAsia="Arial" w:hAnsi="Arial" w:cs="Arial"/>
          <w:i/>
          <w:color w:val="000000"/>
          <w:sz w:val="20"/>
        </w:rPr>
        <w:t>Locke</w:t>
      </w:r>
      <w:r>
        <w:rPr>
          <w:rFonts w:ascii="Arial" w:eastAsia="Arial" w:hAnsi="Arial" w:cs="Arial"/>
          <w:color w:val="000000"/>
          <w:sz w:val="20"/>
        </w:rPr>
        <w:t xml:space="preserve">'s assertion that the presumption against preemption will not apply "where there has been a history of significant federal presence" must therefore be considered in conjunction with the specific circumstances attendant to banking regulations, and particularly [**12]  the fact that in </w:t>
      </w:r>
      <w:r>
        <w:rPr>
          <w:rFonts w:ascii="Arial" w:eastAsia="Arial" w:hAnsi="Arial" w:cs="Arial"/>
          <w:i/>
          <w:color w:val="000000"/>
          <w:sz w:val="20"/>
        </w:rPr>
        <w:t>Locke</w:t>
      </w:r>
      <w:r>
        <w:rPr>
          <w:rFonts w:ascii="Arial" w:eastAsia="Arial" w:hAnsi="Arial" w:cs="Arial"/>
          <w:color w:val="000000"/>
          <w:sz w:val="20"/>
        </w:rPr>
        <w:t xml:space="preserve">, a state had "enacted legislation in an area where the federal interest has been manifest since the beginning of our Republic." </w:t>
      </w:r>
      <w:r>
        <w:rPr>
          <w:rFonts w:ascii="Arial" w:eastAsia="Arial" w:hAnsi="Arial" w:cs="Arial"/>
          <w:i/>
          <w:color w:val="000000"/>
          <w:sz w:val="20"/>
        </w:rPr>
        <w:t>Locke</w:t>
      </w:r>
      <w:r>
        <w:rPr>
          <w:rFonts w:ascii="Arial" w:eastAsia="Arial" w:hAnsi="Arial" w:cs="Arial"/>
          <w:color w:val="000000"/>
          <w:sz w:val="20"/>
        </w:rPr>
        <w:t xml:space="preserve">, 529 U.S. at 99, 120 S.Ct. 1135. The Supreme Court found a wholly different situation in </w:t>
      </w:r>
      <w:r>
        <w:rPr>
          <w:rFonts w:ascii="Arial" w:eastAsia="Arial" w:hAnsi="Arial" w:cs="Arial"/>
          <w:i/>
          <w:color w:val="000000"/>
          <w:sz w:val="20"/>
        </w:rPr>
        <w:t>Wyeth</w:t>
      </w:r>
      <w:r>
        <w:rPr>
          <w:rFonts w:ascii="Arial" w:eastAsia="Arial" w:hAnsi="Arial" w:cs="Arial"/>
          <w:color w:val="000000"/>
          <w:sz w:val="20"/>
        </w:rPr>
        <w:t xml:space="preserve">, and, although Congress had enacted a "significant public health law" as early as 1906, the Court nevertheless recognized </w:t>
      </w:r>
      <w:bookmarkStart w:id="7206" w:name="Bookmark_LNHNREFclscc9_22"/>
      <w:bookmarkEnd w:id="7206"/>
      <w:r>
        <w:rPr>
          <w:rFonts w:ascii="Arial" w:eastAsia="Arial" w:hAnsi="Arial" w:cs="Arial"/>
          <w:color w:val="000000"/>
          <w:sz w:val="20"/>
        </w:rPr>
        <w:t>public health and safety as a realm in which the presumption applies. 555 U.S. at 565-66, 565 n.3, 129 S.Ct. 1187.</w:t>
      </w:r>
    </w:p>
    <w:p w:rsidR="00E456CD" w:rsidRDefault="00000000">
      <w:pPr>
        <w:pStyle w:val="Normal47"/>
        <w:widowControl w:val="0"/>
        <w:spacing w:before="240" w:line="260" w:lineRule="atLeast"/>
      </w:pPr>
      <w:r>
        <w:br/>
      </w:r>
      <w:r>
        <w:rPr>
          <w:rFonts w:ascii="Arial" w:eastAsia="Arial" w:hAnsi="Arial" w:cs="Arial"/>
          <w:b/>
          <w:color w:val="000000"/>
          <w:sz w:val="20"/>
        </w:rPr>
        <w:t>III. Neither Title II nor Section 504 Preempts State Law Claims for Contribution</w:t>
      </w:r>
    </w:p>
    <w:p w:rsidR="00E456CD" w:rsidRDefault="00000000">
      <w:pPr>
        <w:pStyle w:val="Normal47"/>
        <w:widowControl w:val="0"/>
        <w:spacing w:before="200" w:line="260" w:lineRule="atLeast"/>
        <w:jc w:val="both"/>
      </w:pPr>
      <w:bookmarkStart w:id="7207" w:name="Bookmark_para_18_32"/>
      <w:bookmarkEnd w:id="7207"/>
      <w:r>
        <w:rPr>
          <w:rFonts w:ascii="Arial" w:eastAsia="Arial" w:hAnsi="Arial" w:cs="Arial"/>
          <w:color w:val="000000"/>
          <w:sz w:val="20"/>
        </w:rPr>
        <w:t xml:space="preserve">Neither Title II nor § 504 contains a statement of express preemption, and no party in this appeal contends otherwise. </w:t>
      </w:r>
      <w:bookmarkStart w:id="7208" w:name="Bookmark_I5NK6D7F2N1RHM0030000400"/>
      <w:bookmarkEnd w:id="7208"/>
      <w:r>
        <w:rPr>
          <w:rFonts w:ascii="Arial" w:eastAsia="Arial" w:hAnsi="Arial" w:cs="Arial"/>
          <w:color w:val="000000"/>
          <w:sz w:val="20"/>
        </w:rPr>
        <w:t xml:space="preserve">The district court's opinion suggests, however, that field preemption applies to preclude Appellant's claims. We disagree. </w:t>
      </w:r>
      <w:bookmarkStart w:id="7209" w:name="Bookmark_LNHNREFclscc10_20"/>
      <w:bookmarkEnd w:id="7209"/>
      <w:r>
        <w:rPr>
          <w:rFonts w:ascii="Arial" w:eastAsia="Arial" w:hAnsi="Arial" w:cs="Arial"/>
          <w:color w:val="000000"/>
          <w:sz w:val="20"/>
        </w:rPr>
        <w:t xml:space="preserve">Field preemption occurs "where the scheme of federal regulation is sufficiently comprehensive to make reasonable the inference that Congress left no room for supplementary state regulation," or "where the field is one in which the federal interest is so dominant that the federal system will be assumed to preclude enforcement of state laws on the same subject." </w:t>
      </w:r>
      <w:bookmarkStart w:id="7210" w:name="Bookmark_I5NK6D7F2N1RHM0020000400"/>
      <w:bookmarkEnd w:id="7210"/>
      <w:r>
        <w:rPr>
          <w:rFonts w:ascii="Arial" w:eastAsia="Arial" w:hAnsi="Arial" w:cs="Arial"/>
          <w:i/>
          <w:color w:val="000000"/>
          <w:sz w:val="20"/>
        </w:rPr>
        <w:t>Hillsborough Cty. v. Automated Med. Labs., Inc.</w:t>
      </w:r>
      <w:r>
        <w:rPr>
          <w:rFonts w:ascii="Arial" w:eastAsia="Arial" w:hAnsi="Arial" w:cs="Arial"/>
          <w:color w:val="000000"/>
          <w:sz w:val="20"/>
        </w:rPr>
        <w:t xml:space="preserve">, 471 U.S. 707, 713, 105 S. Ct. 2371, 85 L. Ed. 2d 714 (1985) (internal quotation marks omitted). </w:t>
      </w:r>
      <w:bookmarkStart w:id="7211" w:name="Bookmark_LNHNREFclscc11_18"/>
      <w:bookmarkEnd w:id="7211"/>
      <w:r>
        <w:rPr>
          <w:rFonts w:ascii="Arial" w:eastAsia="Arial" w:hAnsi="Arial" w:cs="Arial"/>
          <w:color w:val="000000"/>
          <w:sz w:val="20"/>
        </w:rPr>
        <w:t>Title II specifically states that "[n]othing in this chapter shall be construed to invalidate or limit the remedies, rights, and procedures of . . . any State or political subdivision of any State or jurisdiction that provides greater or equal protection for the rights of individuals with disabilities than are afforded by this chapter." 42 U.S.C. § 12201(b). In other words, the ADA expressly disavows preemptive federal [**13]  occupation of the disability-rights field.</w:t>
      </w:r>
    </w:p>
    <w:p w:rsidR="00E456CD" w:rsidRDefault="00000000">
      <w:pPr>
        <w:pStyle w:val="Normal47"/>
        <w:widowControl w:val="0"/>
        <w:spacing w:before="200" w:line="260" w:lineRule="atLeast"/>
        <w:jc w:val="both"/>
      </w:pPr>
      <w:bookmarkStart w:id="7212" w:name="Bookmark_para_19_31"/>
      <w:bookmarkStart w:id="7213" w:name="Bookmark_I5NK6D7F2N1RHM0050000400"/>
      <w:bookmarkEnd w:id="7212"/>
      <w:bookmarkEnd w:id="7213"/>
      <w:r>
        <w:rPr>
          <w:rFonts w:ascii="Arial" w:eastAsia="Arial" w:hAnsi="Arial" w:cs="Arial"/>
          <w:color w:val="000000"/>
          <w:sz w:val="20"/>
        </w:rPr>
        <w:t xml:space="preserve">Nevertheless, we may affirm on any basis finding support in the record, and Appellees contend—as they did before the district court—that conflict preemption precludes the City's claims. </w:t>
      </w:r>
      <w:bookmarkStart w:id="7214" w:name="Bookmark_I5NK6D7F28T4550020000400"/>
      <w:bookmarkEnd w:id="7214"/>
      <w:r>
        <w:rPr>
          <w:rFonts w:ascii="Arial" w:eastAsia="Arial" w:hAnsi="Arial" w:cs="Arial"/>
          <w:color w:val="000000"/>
          <w:sz w:val="20"/>
        </w:rPr>
        <w:t xml:space="preserve">Appellees' argument rests largely upon the Fourth Circuit Court of Appeals' decision in </w:t>
      </w:r>
      <w:bookmarkStart w:id="7215" w:name="Bookmark_I5NK6D7F2N1RHM0040000400"/>
      <w:bookmarkEnd w:id="7215"/>
      <w:r>
        <w:rPr>
          <w:rFonts w:ascii="Arial" w:eastAsia="Arial" w:hAnsi="Arial" w:cs="Arial"/>
          <w:i/>
          <w:color w:val="000000"/>
          <w:sz w:val="20"/>
        </w:rPr>
        <w:t>Equal Rights Center v. Niles Bolton Associates</w:t>
      </w:r>
      <w:r>
        <w:rPr>
          <w:rFonts w:ascii="Arial" w:eastAsia="Arial" w:hAnsi="Arial" w:cs="Arial"/>
          <w:color w:val="000000"/>
          <w:sz w:val="20"/>
        </w:rPr>
        <w:t xml:space="preserve">, 602 F.3d 597 (4th Cir. 2010). That case concerned a housing developer that filed crossclaims for implied and express contractual indemnification against the architect of its properties, seeking damages stemming from those properties' failure to comply with, </w:t>
      </w:r>
      <w:r>
        <w:rPr>
          <w:rFonts w:ascii="Arial" w:eastAsia="Arial" w:hAnsi="Arial" w:cs="Arial"/>
          <w:i/>
          <w:color w:val="000000"/>
          <w:sz w:val="20"/>
        </w:rPr>
        <w:t>inter alia</w:t>
      </w:r>
      <w:r>
        <w:rPr>
          <w:rFonts w:ascii="Arial" w:eastAsia="Arial" w:hAnsi="Arial" w:cs="Arial"/>
          <w:color w:val="000000"/>
          <w:sz w:val="20"/>
        </w:rPr>
        <w:t xml:space="preserve">, the ADA's disability accessibility requirements. </w:t>
      </w:r>
      <w:bookmarkStart w:id="7216" w:name="Bookmark_I5NK6D7F28T4550020000400_2"/>
      <w:bookmarkStart w:id="7217" w:name="Bookmark_I5NK6D7F28T4550040000400"/>
      <w:bookmarkEnd w:id="7216"/>
      <w:bookmarkEnd w:id="7217"/>
      <w:r>
        <w:rPr>
          <w:rFonts w:ascii="Arial" w:eastAsia="Arial" w:hAnsi="Arial" w:cs="Arial"/>
          <w:i/>
          <w:color w:val="000000"/>
          <w:sz w:val="20"/>
        </w:rPr>
        <w:t xml:space="preserve">See </w:t>
      </w:r>
      <w:bookmarkStart w:id="7218" w:name="Bookmark_I5NK6D7F28T4550010000400"/>
      <w:bookmarkEnd w:id="7218"/>
      <w:r>
        <w:rPr>
          <w:rFonts w:ascii="Arial" w:eastAsia="Arial" w:hAnsi="Arial" w:cs="Arial"/>
          <w:i/>
          <w:color w:val="000000"/>
          <w:sz w:val="20"/>
        </w:rPr>
        <w:t>id.</w:t>
      </w:r>
      <w:r>
        <w:rPr>
          <w:rFonts w:ascii="Arial" w:eastAsia="Arial" w:hAnsi="Arial" w:cs="Arial"/>
          <w:color w:val="000000"/>
          <w:sz w:val="20"/>
        </w:rPr>
        <w:t xml:space="preserve"> at 599. </w:t>
      </w:r>
      <w:bookmarkStart w:id="7219" w:name="Bookmark_I5NK6D7F28T4550040000400_2"/>
      <w:bookmarkEnd w:id="7219"/>
      <w:r>
        <w:rPr>
          <w:rFonts w:ascii="Arial" w:eastAsia="Arial" w:hAnsi="Arial" w:cs="Arial"/>
          <w:color w:val="000000"/>
          <w:sz w:val="20"/>
        </w:rPr>
        <w:t xml:space="preserve">The Fourth Circuit held that the ADA preempted the developer's claim for indemnification, and further concluded that granting the developer leave to amend to include a claim for contribution would be futile, because any contribution claim would be a </w:t>
      </w:r>
      <w:r>
        <w:rPr>
          <w:rFonts w:ascii="Arial" w:eastAsia="Arial" w:hAnsi="Arial" w:cs="Arial"/>
          <w:i/>
          <w:color w:val="000000"/>
          <w:sz w:val="20"/>
        </w:rPr>
        <w:t>de facto</w:t>
      </w:r>
      <w:r>
        <w:rPr>
          <w:rFonts w:ascii="Arial" w:eastAsia="Arial" w:hAnsi="Arial" w:cs="Arial"/>
          <w:color w:val="000000"/>
          <w:sz w:val="20"/>
        </w:rPr>
        <w:t xml:space="preserve"> indemnification claim, and thus similarly preempted. </w:t>
      </w:r>
      <w:bookmarkStart w:id="7220" w:name="Bookmark_I5NK6D7F28T4550030000400"/>
      <w:bookmarkEnd w:id="7220"/>
      <w:r>
        <w:rPr>
          <w:rFonts w:ascii="Arial" w:eastAsia="Arial" w:hAnsi="Arial" w:cs="Arial"/>
          <w:i/>
          <w:color w:val="000000"/>
          <w:sz w:val="20"/>
        </w:rPr>
        <w:t>Id.</w:t>
      </w:r>
      <w:r>
        <w:rPr>
          <w:rFonts w:ascii="Arial" w:eastAsia="Arial" w:hAnsi="Arial" w:cs="Arial"/>
          <w:color w:val="000000"/>
          <w:sz w:val="20"/>
        </w:rPr>
        <w:t xml:space="preserve"> at 602.</w:t>
      </w:r>
    </w:p>
    <w:p w:rsidR="00E456CD" w:rsidRDefault="00000000">
      <w:pPr>
        <w:pStyle w:val="Normal47"/>
        <w:widowControl w:val="0"/>
        <w:spacing w:before="200" w:line="260" w:lineRule="atLeast"/>
        <w:jc w:val="both"/>
      </w:pPr>
      <w:bookmarkStart w:id="7221" w:name="Bookmark_para_20_30"/>
      <w:bookmarkStart w:id="7222" w:name="Bookmark_I5NK6D7F2D6NRJ0010000400"/>
      <w:bookmarkStart w:id="7223" w:name="Bookmark_I5NK6D7F2D6NRJ0030000400"/>
      <w:bookmarkEnd w:id="7221"/>
      <w:bookmarkEnd w:id="7222"/>
      <w:bookmarkEnd w:id="7223"/>
      <w:r>
        <w:rPr>
          <w:rFonts w:ascii="Arial" w:eastAsia="Arial" w:hAnsi="Arial" w:cs="Arial"/>
          <w:color w:val="000000"/>
          <w:sz w:val="20"/>
        </w:rPr>
        <w:t xml:space="preserve"> [*1156]  The </w:t>
      </w:r>
      <w:r>
        <w:rPr>
          <w:rFonts w:ascii="Arial" w:eastAsia="Arial" w:hAnsi="Arial" w:cs="Arial"/>
          <w:i/>
          <w:color w:val="000000"/>
          <w:sz w:val="20"/>
        </w:rPr>
        <w:t>Equal Rights Center</w:t>
      </w:r>
      <w:r>
        <w:rPr>
          <w:rFonts w:ascii="Arial" w:eastAsia="Arial" w:hAnsi="Arial" w:cs="Arial"/>
          <w:color w:val="000000"/>
          <w:sz w:val="20"/>
        </w:rPr>
        <w:t xml:space="preserve"> court found that obstacle preemption, which is a subset of conflict preemption, applied to the claims there at issue. </w:t>
      </w:r>
      <w:bookmarkStart w:id="7224" w:name="Bookmark_I5NK6D7F28T4550050000400"/>
      <w:bookmarkEnd w:id="7224"/>
      <w:r>
        <w:rPr>
          <w:rFonts w:ascii="Arial" w:eastAsia="Arial" w:hAnsi="Arial" w:cs="Arial"/>
          <w:i/>
          <w:color w:val="000000"/>
          <w:sz w:val="20"/>
        </w:rPr>
        <w:t>Id.</w:t>
      </w:r>
      <w:r>
        <w:rPr>
          <w:rFonts w:ascii="Arial" w:eastAsia="Arial" w:hAnsi="Arial" w:cs="Arial"/>
          <w:color w:val="000000"/>
          <w:sz w:val="20"/>
        </w:rPr>
        <w:t xml:space="preserve"> at 601-02. It explained that the purpose of the ADA is "regulatory rather than compensatory," and that therefore "denying indemnification encourages [**14]  the reasonable care required by the [federal statute]." </w:t>
      </w:r>
      <w:r>
        <w:rPr>
          <w:rFonts w:ascii="Arial" w:eastAsia="Arial" w:hAnsi="Arial" w:cs="Arial"/>
          <w:i/>
          <w:color w:val="000000"/>
          <w:sz w:val="20"/>
        </w:rPr>
        <w:t>Id.</w:t>
      </w:r>
      <w:r>
        <w:rPr>
          <w:rFonts w:ascii="Arial" w:eastAsia="Arial" w:hAnsi="Arial" w:cs="Arial"/>
          <w:color w:val="000000"/>
          <w:sz w:val="20"/>
        </w:rPr>
        <w:t xml:space="preserve"> It further emphasized the nondelegable nature of responsibility under the ADA, pursuant to which "an owner cannot insulate himself from liability for discrimination in regard to living premises owned by him and managed for his benefit merely by relinquishing the responsibility for preventing such discrimination to another party." </w:t>
      </w:r>
      <w:bookmarkStart w:id="7225" w:name="Bookmark_I5NK6D7F2D6NRJ0020000400"/>
      <w:bookmarkEnd w:id="7225"/>
      <w:r>
        <w:rPr>
          <w:rFonts w:ascii="Arial" w:eastAsia="Arial" w:hAnsi="Arial" w:cs="Arial"/>
          <w:i/>
          <w:color w:val="000000"/>
          <w:sz w:val="20"/>
        </w:rPr>
        <w:t>Id.</w:t>
      </w:r>
      <w:r>
        <w:rPr>
          <w:rFonts w:ascii="Arial" w:eastAsia="Arial" w:hAnsi="Arial" w:cs="Arial"/>
          <w:color w:val="000000"/>
          <w:sz w:val="20"/>
        </w:rPr>
        <w:t xml:space="preserve"> at 602 (internal quotation marks and ellipsis omitted).</w:t>
      </w:r>
    </w:p>
    <w:p w:rsidR="00E456CD" w:rsidRDefault="00000000">
      <w:pPr>
        <w:pStyle w:val="Normal47"/>
        <w:widowControl w:val="0"/>
        <w:spacing w:before="200" w:line="260" w:lineRule="atLeast"/>
        <w:jc w:val="both"/>
      </w:pPr>
      <w:bookmarkStart w:id="7226" w:name="Bookmark_para_21_28"/>
      <w:bookmarkStart w:id="7227" w:name="Bookmark_I0N2817KN5100001C0P00009"/>
      <w:bookmarkStart w:id="7228" w:name="Bookmark_I5NK6D7F2D6NRJ0050000400"/>
      <w:bookmarkEnd w:id="7226"/>
      <w:bookmarkEnd w:id="7227"/>
      <w:bookmarkEnd w:id="7228"/>
      <w:r>
        <w:rPr>
          <w:rFonts w:ascii="Arial" w:eastAsia="Arial" w:hAnsi="Arial" w:cs="Arial"/>
          <w:color w:val="000000"/>
          <w:sz w:val="20"/>
        </w:rPr>
        <w:t xml:space="preserve">As an initial matter, the factual circumstances of </w:t>
      </w:r>
      <w:bookmarkStart w:id="7229" w:name="Bookmark_I5NK6D7F2D6NRJ0040000400"/>
      <w:bookmarkEnd w:id="7229"/>
      <w:r>
        <w:rPr>
          <w:rFonts w:ascii="Arial" w:eastAsia="Arial" w:hAnsi="Arial" w:cs="Arial"/>
          <w:i/>
          <w:color w:val="000000"/>
          <w:sz w:val="20"/>
        </w:rPr>
        <w:t>Equal Rights Center</w:t>
      </w:r>
      <w:r>
        <w:rPr>
          <w:rFonts w:ascii="Arial" w:eastAsia="Arial" w:hAnsi="Arial" w:cs="Arial"/>
          <w:color w:val="000000"/>
          <w:sz w:val="20"/>
        </w:rPr>
        <w:t xml:space="preserve"> materially differ from those in this appeal. </w:t>
      </w:r>
      <w:bookmarkStart w:id="7230" w:name="Bookmark_I0N2817KSWJ00001C0P0000B"/>
      <w:bookmarkStart w:id="7231" w:name="Bookmark_I5NK6D7F2D6NRK0020000400"/>
      <w:bookmarkEnd w:id="7230"/>
      <w:bookmarkEnd w:id="7231"/>
      <w:r>
        <w:rPr>
          <w:rFonts w:ascii="Arial" w:eastAsia="Arial" w:hAnsi="Arial" w:cs="Arial"/>
          <w:color w:val="000000"/>
          <w:sz w:val="20"/>
        </w:rPr>
        <w:t xml:space="preserve">Most importantly, the </w:t>
      </w:r>
      <w:r>
        <w:rPr>
          <w:rFonts w:ascii="Arial" w:eastAsia="Arial" w:hAnsi="Arial" w:cs="Arial"/>
          <w:i/>
          <w:color w:val="000000"/>
          <w:sz w:val="20"/>
        </w:rPr>
        <w:t>Equal Rights Center</w:t>
      </w:r>
      <w:r>
        <w:rPr>
          <w:rFonts w:ascii="Arial" w:eastAsia="Arial" w:hAnsi="Arial" w:cs="Arial"/>
          <w:color w:val="000000"/>
          <w:sz w:val="20"/>
        </w:rPr>
        <w:t xml:space="preserve"> court emphasized that the developer "sought to allocate the </w:t>
      </w:r>
      <w:r>
        <w:rPr>
          <w:rFonts w:ascii="Arial" w:eastAsia="Arial" w:hAnsi="Arial" w:cs="Arial"/>
          <w:i/>
          <w:color w:val="000000"/>
          <w:sz w:val="20"/>
        </w:rPr>
        <w:t>full</w:t>
      </w:r>
      <w:r>
        <w:rPr>
          <w:rFonts w:ascii="Arial" w:eastAsia="Arial" w:hAnsi="Arial" w:cs="Arial"/>
          <w:color w:val="000000"/>
          <w:sz w:val="20"/>
        </w:rPr>
        <w:t xml:space="preserve"> risk of loss to [the architect] for the apartment buildings at issue," and determined that "[a]llowing an owner to </w:t>
      </w:r>
      <w:r>
        <w:rPr>
          <w:rFonts w:ascii="Arial" w:eastAsia="Arial" w:hAnsi="Arial" w:cs="Arial"/>
          <w:i/>
          <w:color w:val="000000"/>
          <w:sz w:val="20"/>
        </w:rPr>
        <w:t>completely insulate</w:t>
      </w:r>
      <w:r>
        <w:rPr>
          <w:rFonts w:ascii="Arial" w:eastAsia="Arial" w:hAnsi="Arial" w:cs="Arial"/>
          <w:color w:val="000000"/>
          <w:sz w:val="20"/>
        </w:rPr>
        <w:t xml:space="preserve"> itself [in that manner] from liability for an ADA or FHA violation through contract [would] diminish[] its incentive to ensure compliance with discrimination laws." </w:t>
      </w:r>
      <w:r>
        <w:rPr>
          <w:rFonts w:ascii="Arial" w:eastAsia="Arial" w:hAnsi="Arial" w:cs="Arial"/>
          <w:i/>
          <w:color w:val="000000"/>
          <w:sz w:val="20"/>
        </w:rPr>
        <w:t>Id.</w:t>
      </w:r>
      <w:r>
        <w:rPr>
          <w:rFonts w:ascii="Arial" w:eastAsia="Arial" w:hAnsi="Arial" w:cs="Arial"/>
          <w:color w:val="000000"/>
          <w:sz w:val="20"/>
        </w:rPr>
        <w:t xml:space="preserve"> (emphases added). Here, by contrast, the relevant contractual provisions assign liability to Appellees only to the extent that their own actions give rise to liability. </w:t>
      </w:r>
      <w:bookmarkStart w:id="7232" w:name="Bookmark_I5NK6D7F2D6NRK0020000400_2"/>
      <w:bookmarkEnd w:id="7232"/>
      <w:r>
        <w:rPr>
          <w:rFonts w:ascii="Arial" w:eastAsia="Arial" w:hAnsi="Arial" w:cs="Arial"/>
          <w:color w:val="000000"/>
          <w:sz w:val="20"/>
        </w:rPr>
        <w:t xml:space="preserve">Thus, the </w:t>
      </w:r>
      <w:bookmarkStart w:id="7233" w:name="Bookmark_I5NK6D7F2D6NRK0010000400"/>
      <w:bookmarkEnd w:id="7233"/>
      <w:r>
        <w:rPr>
          <w:rFonts w:ascii="Arial" w:eastAsia="Arial" w:hAnsi="Arial" w:cs="Arial"/>
          <w:i/>
          <w:color w:val="000000"/>
          <w:sz w:val="20"/>
        </w:rPr>
        <w:t>Equal Rights Center</w:t>
      </w:r>
      <w:r>
        <w:rPr>
          <w:rFonts w:ascii="Arial" w:eastAsia="Arial" w:hAnsi="Arial" w:cs="Arial"/>
          <w:color w:val="000000"/>
          <w:sz w:val="20"/>
        </w:rPr>
        <w:t xml:space="preserve"> court's concern with permitting a responsible [**15]  party to completely insulate itself from Title II liability is not in play here. On the contrary, under the present circumstances, the greater concern is the potential for contractors to shield themselves from any liability they caused under both state contract law and federal disability regulations if Title II and § 504 are found to preempt Appellant's claims.</w:t>
      </w:r>
      <w:r>
        <w:rPr>
          <w:rFonts w:ascii="Arial" w:eastAsia="Arial" w:hAnsi="Arial" w:cs="Arial"/>
          <w:vertAlign w:val="superscript"/>
        </w:rPr>
        <w:footnoteReference w:customMarkFollows="1" w:id="305"/>
        <w:t>2</w:t>
      </w:r>
    </w:p>
    <w:p w:rsidR="00E456CD" w:rsidRDefault="00000000">
      <w:pPr>
        <w:pStyle w:val="Normal47"/>
        <w:widowControl w:val="0"/>
        <w:spacing w:before="200" w:line="260" w:lineRule="atLeast"/>
        <w:jc w:val="both"/>
      </w:pPr>
      <w:bookmarkStart w:id="7235" w:name="Bookmark_para_22_27"/>
      <w:bookmarkStart w:id="7236" w:name="Bookmark_I5NK6D7F2D6NRK0040000400"/>
      <w:bookmarkStart w:id="7237" w:name="Bookmark_I5NK6D7F2HM6VY0010000400"/>
      <w:bookmarkEnd w:id="7235"/>
      <w:bookmarkEnd w:id="7236"/>
      <w:bookmarkEnd w:id="7237"/>
      <w:r>
        <w:rPr>
          <w:rFonts w:ascii="Arial" w:eastAsia="Arial" w:hAnsi="Arial" w:cs="Arial"/>
          <w:color w:val="000000"/>
          <w:sz w:val="20"/>
        </w:rPr>
        <w:t xml:space="preserve">Furthermore, while the developer in </w:t>
      </w:r>
      <w:r>
        <w:rPr>
          <w:rFonts w:ascii="Arial" w:eastAsia="Arial" w:hAnsi="Arial" w:cs="Arial"/>
          <w:i/>
          <w:color w:val="000000"/>
          <w:sz w:val="20"/>
        </w:rPr>
        <w:t>Equal Rights Center</w:t>
      </w:r>
      <w:r>
        <w:rPr>
          <w:rFonts w:ascii="Arial" w:eastAsia="Arial" w:hAnsi="Arial" w:cs="Arial"/>
          <w:color w:val="000000"/>
          <w:sz w:val="20"/>
        </w:rPr>
        <w:t xml:space="preserve"> sought leave to amend to add a claim for contribution, the Fourth Circuit affirmed the district court's denial on the ground that the developer "really [sought] to have [the architect] pay </w:t>
      </w:r>
      <w:r>
        <w:rPr>
          <w:rFonts w:ascii="Arial" w:eastAsia="Arial" w:hAnsi="Arial" w:cs="Arial"/>
          <w:i/>
          <w:color w:val="000000"/>
          <w:sz w:val="20"/>
        </w:rPr>
        <w:t>all</w:t>
      </w:r>
      <w:r>
        <w:rPr>
          <w:rFonts w:ascii="Arial" w:eastAsia="Arial" w:hAnsi="Arial" w:cs="Arial"/>
          <w:color w:val="000000"/>
          <w:sz w:val="20"/>
        </w:rPr>
        <w:t xml:space="preserve"> damages," and that any such claim would therefore be a "</w:t>
      </w:r>
      <w:r>
        <w:rPr>
          <w:rFonts w:ascii="Arial" w:eastAsia="Arial" w:hAnsi="Arial" w:cs="Arial"/>
          <w:i/>
          <w:color w:val="000000"/>
          <w:sz w:val="20"/>
        </w:rPr>
        <w:t>de facto</w:t>
      </w:r>
      <w:r>
        <w:rPr>
          <w:rFonts w:ascii="Arial" w:eastAsia="Arial" w:hAnsi="Arial" w:cs="Arial"/>
          <w:color w:val="000000"/>
          <w:sz w:val="20"/>
        </w:rPr>
        <w:t xml:space="preserve"> claim for indemnification." </w:t>
      </w:r>
      <w:bookmarkStart w:id="7238" w:name="Bookmark_I5NK6D7F2D6NRK0030000400"/>
      <w:bookmarkEnd w:id="7238"/>
      <w:r>
        <w:rPr>
          <w:rFonts w:ascii="Arial" w:eastAsia="Arial" w:hAnsi="Arial" w:cs="Arial"/>
          <w:color w:val="000000"/>
          <w:sz w:val="20"/>
        </w:rPr>
        <w:t xml:space="preserve">602 F.3d at 602, 604. Because the so-called contribution claim really constituted a claim for indemnification, the court declined to reach the question of whether a genuine state-law claim for contribution would be preempted. </w:t>
      </w:r>
      <w:r>
        <w:rPr>
          <w:rFonts w:ascii="Arial" w:eastAsia="Arial" w:hAnsi="Arial" w:cs="Arial"/>
          <w:i/>
          <w:color w:val="000000"/>
          <w:sz w:val="20"/>
        </w:rPr>
        <w:t xml:space="preserve">See </w:t>
      </w:r>
      <w:bookmarkStart w:id="7239" w:name="Bookmark_I5NK6D7F2D6NRK0050000400"/>
      <w:bookmarkEnd w:id="7239"/>
      <w:r>
        <w:rPr>
          <w:rFonts w:ascii="Arial" w:eastAsia="Arial" w:hAnsi="Arial" w:cs="Arial"/>
          <w:i/>
          <w:color w:val="000000"/>
          <w:sz w:val="20"/>
        </w:rPr>
        <w:t>id.</w:t>
      </w:r>
      <w:r>
        <w:rPr>
          <w:rFonts w:ascii="Arial" w:eastAsia="Arial" w:hAnsi="Arial" w:cs="Arial"/>
          <w:color w:val="000000"/>
          <w:sz w:val="20"/>
        </w:rPr>
        <w:t xml:space="preserve"> at 604 n.2.</w:t>
      </w:r>
      <w:r>
        <w:rPr>
          <w:rFonts w:ascii="Arial" w:eastAsia="Arial" w:hAnsi="Arial" w:cs="Arial"/>
          <w:vertAlign w:val="superscript"/>
        </w:rPr>
        <w:footnoteReference w:customMarkFollows="1" w:id="306"/>
        <w:t>3</w:t>
      </w:r>
    </w:p>
    <w:p w:rsidR="00E456CD" w:rsidRDefault="00000000">
      <w:pPr>
        <w:pStyle w:val="Normal47"/>
        <w:widowControl w:val="0"/>
        <w:spacing w:before="200" w:line="260" w:lineRule="atLeast"/>
        <w:jc w:val="both"/>
      </w:pPr>
      <w:bookmarkStart w:id="7246" w:name="Bookmark_para_23_27"/>
      <w:bookmarkStart w:id="7247" w:name="Bookmark_I5NK6D7F2HM6W00020000400"/>
      <w:bookmarkStart w:id="7248" w:name="Bookmark_I5NK6D7F2HM6W00040000400"/>
      <w:bookmarkEnd w:id="7246"/>
      <w:bookmarkEnd w:id="7247"/>
      <w:bookmarkEnd w:id="7248"/>
      <w:r>
        <w:rPr>
          <w:rFonts w:ascii="Arial" w:eastAsia="Arial" w:hAnsi="Arial" w:cs="Arial"/>
          <w:color w:val="000000"/>
          <w:sz w:val="20"/>
        </w:rPr>
        <w:t xml:space="preserve">Appellees also cite </w:t>
      </w:r>
      <w:bookmarkStart w:id="7249" w:name="Bookmark_I5NK6D7F2HM6W00010000400"/>
      <w:bookmarkEnd w:id="7249"/>
      <w:r>
        <w:rPr>
          <w:rFonts w:ascii="Arial" w:eastAsia="Arial" w:hAnsi="Arial" w:cs="Arial"/>
          <w:i/>
          <w:color w:val="000000"/>
          <w:sz w:val="20"/>
        </w:rPr>
        <w:t>Indep. Living Ctr. of S. Cal. v. City of L.A.</w:t>
      </w:r>
      <w:r>
        <w:rPr>
          <w:rFonts w:ascii="Arial" w:eastAsia="Arial" w:hAnsi="Arial" w:cs="Arial"/>
          <w:color w:val="000000"/>
          <w:sz w:val="20"/>
        </w:rPr>
        <w:t xml:space="preserve">, 973 F. Supp. 2d 1139 (C.D. Cal. 2013) in support of their preemption argument. </w:t>
      </w:r>
      <w:bookmarkStart w:id="7250" w:name="Bookmark_I5NK6D7F2N1RHN0010000400"/>
      <w:bookmarkEnd w:id="7250"/>
      <w:r>
        <w:rPr>
          <w:rFonts w:ascii="Arial" w:eastAsia="Arial" w:hAnsi="Arial" w:cs="Arial"/>
          <w:color w:val="000000"/>
          <w:sz w:val="20"/>
        </w:rPr>
        <w:t xml:space="preserve">That district court case concerned a suit for Title  [*1157]  II and § 504 liability against the City of Los Angeles, and various owners of residential properties in the City of Los Angeles that received [**16]  federal funds from or through the City, for having engaged in a "'pattern or practice' of discrimination against people with disabilities in violation of federal and state anti-discrimination laws." </w:t>
      </w:r>
      <w:bookmarkStart w:id="7251" w:name="Bookmark_I5NK6D7F2HM6W00030000400"/>
      <w:bookmarkEnd w:id="7251"/>
      <w:r>
        <w:rPr>
          <w:rFonts w:ascii="Arial" w:eastAsia="Arial" w:hAnsi="Arial" w:cs="Arial"/>
          <w:i/>
          <w:color w:val="000000"/>
          <w:sz w:val="20"/>
        </w:rPr>
        <w:t>Id.</w:t>
      </w:r>
      <w:r>
        <w:rPr>
          <w:rFonts w:ascii="Arial" w:eastAsia="Arial" w:hAnsi="Arial" w:cs="Arial"/>
          <w:color w:val="000000"/>
          <w:sz w:val="20"/>
        </w:rPr>
        <w:t xml:space="preserve"> at 1142. The City crossclaimed for express and implied contribution or indemnity against the property owners. </w:t>
      </w:r>
      <w:bookmarkStart w:id="7252" w:name="Bookmark_I5NK6D7F2N1RHN0010000400_2"/>
      <w:bookmarkStart w:id="7253" w:name="Bookmark_I5NK6D7F2HM6W00050000400"/>
      <w:bookmarkEnd w:id="7252"/>
      <w:bookmarkEnd w:id="7253"/>
      <w:r>
        <w:rPr>
          <w:rFonts w:ascii="Arial" w:eastAsia="Arial" w:hAnsi="Arial" w:cs="Arial"/>
          <w:i/>
          <w:color w:val="000000"/>
          <w:sz w:val="20"/>
        </w:rPr>
        <w:t>Id.</w:t>
      </w:r>
      <w:r>
        <w:rPr>
          <w:rFonts w:ascii="Arial" w:eastAsia="Arial" w:hAnsi="Arial" w:cs="Arial"/>
          <w:color w:val="000000"/>
          <w:sz w:val="20"/>
        </w:rPr>
        <w:t xml:space="preserve"> at 1143. </w:t>
      </w:r>
      <w:bookmarkStart w:id="7254" w:name="Bookmark_I5NK6D7F2N1RHN0030000400"/>
      <w:bookmarkEnd w:id="7254"/>
      <w:r>
        <w:rPr>
          <w:rFonts w:ascii="Arial" w:eastAsia="Arial" w:hAnsi="Arial" w:cs="Arial"/>
          <w:color w:val="000000"/>
          <w:sz w:val="20"/>
        </w:rPr>
        <w:t xml:space="preserve">The property owners moved to dismiss the City's crossclaims. </w:t>
      </w:r>
      <w:r>
        <w:rPr>
          <w:rFonts w:ascii="Arial" w:eastAsia="Arial" w:hAnsi="Arial" w:cs="Arial"/>
          <w:i/>
          <w:color w:val="000000"/>
          <w:sz w:val="20"/>
        </w:rPr>
        <w:t>Id.</w:t>
      </w:r>
      <w:r>
        <w:rPr>
          <w:rFonts w:ascii="Arial" w:eastAsia="Arial" w:hAnsi="Arial" w:cs="Arial"/>
          <w:color w:val="000000"/>
          <w:sz w:val="20"/>
        </w:rPr>
        <w:t xml:space="preserve"> The district court found that no cause of action for implied contribution or indemnification exists under Title II or § 504. </w:t>
      </w:r>
      <w:bookmarkStart w:id="7255" w:name="Bookmark_I5NK6D7F2N1RHN0050000400"/>
      <w:bookmarkStart w:id="7256" w:name="Bookmark_I5NK6D7F2N1RHN0020000400"/>
      <w:bookmarkEnd w:id="7255"/>
      <w:bookmarkEnd w:id="7256"/>
      <w:r>
        <w:rPr>
          <w:rFonts w:ascii="Arial" w:eastAsia="Arial" w:hAnsi="Arial" w:cs="Arial"/>
          <w:i/>
          <w:color w:val="000000"/>
          <w:sz w:val="20"/>
        </w:rPr>
        <w:t>Id.</w:t>
      </w:r>
      <w:r>
        <w:rPr>
          <w:rFonts w:ascii="Arial" w:eastAsia="Arial" w:hAnsi="Arial" w:cs="Arial"/>
          <w:color w:val="000000"/>
          <w:sz w:val="20"/>
        </w:rPr>
        <w:t xml:space="preserve"> at 1154, 1156. </w:t>
      </w:r>
      <w:bookmarkStart w:id="7257" w:name="Bookmark_I5NK6D7F2N1RHN0050000400_2"/>
      <w:bookmarkEnd w:id="7257"/>
      <w:r>
        <w:rPr>
          <w:rFonts w:ascii="Arial" w:eastAsia="Arial" w:hAnsi="Arial" w:cs="Arial"/>
          <w:color w:val="000000"/>
          <w:sz w:val="20"/>
        </w:rPr>
        <w:t xml:space="preserve">The district court also determined that state-law indemnity and contribution claims posed an obstacle to the full implementation of Title II and § 504, and that they were accordingly preempted. </w:t>
      </w:r>
      <w:bookmarkStart w:id="7258" w:name="Bookmark_I5NK6D7F2SF8CW0020000400"/>
      <w:bookmarkStart w:id="7259" w:name="Bookmark_I5NK6D7F2N1RHN0040000400"/>
      <w:bookmarkEnd w:id="7258"/>
      <w:bookmarkEnd w:id="7259"/>
      <w:r>
        <w:rPr>
          <w:rFonts w:ascii="Arial" w:eastAsia="Arial" w:hAnsi="Arial" w:cs="Arial"/>
          <w:i/>
          <w:color w:val="000000"/>
          <w:sz w:val="20"/>
        </w:rPr>
        <w:t>Id.</w:t>
      </w:r>
      <w:r>
        <w:rPr>
          <w:rFonts w:ascii="Arial" w:eastAsia="Arial" w:hAnsi="Arial" w:cs="Arial"/>
          <w:color w:val="000000"/>
          <w:sz w:val="20"/>
        </w:rPr>
        <w:t xml:space="preserve"> at 1160. </w:t>
      </w:r>
      <w:bookmarkStart w:id="7260" w:name="Bookmark_I5NK6D7F2SF8CW0020000400_2"/>
      <w:bookmarkEnd w:id="7260"/>
      <w:r>
        <w:rPr>
          <w:rFonts w:ascii="Arial" w:eastAsia="Arial" w:hAnsi="Arial" w:cs="Arial"/>
          <w:color w:val="000000"/>
          <w:sz w:val="20"/>
        </w:rPr>
        <w:t xml:space="preserve">It reasoned "that congressional objectives are best served when parties with duties under the antidiscrimination statutes remain independently responsible for compliance," and held that "allowing public entities regulated by Section 504 and Title II to seek indemnification or contribution through state law to offset their liability would interfere with the methods by which the federal statutes were designed to reach their goal." </w:t>
      </w:r>
      <w:r>
        <w:rPr>
          <w:rFonts w:ascii="Arial" w:eastAsia="Arial" w:hAnsi="Arial" w:cs="Arial"/>
          <w:i/>
          <w:color w:val="000000"/>
          <w:sz w:val="20"/>
        </w:rPr>
        <w:t>Id.</w:t>
      </w:r>
      <w:r>
        <w:rPr>
          <w:rFonts w:ascii="Arial" w:eastAsia="Arial" w:hAnsi="Arial" w:cs="Arial"/>
          <w:color w:val="000000"/>
          <w:sz w:val="20"/>
        </w:rPr>
        <w:t xml:space="preserve"> (internal alterations and quotation marks omitted). The court further held that the City's contractual [**17]  indemnity crossclaim derived from the first-party claims under the ADA and FHA, citing </w:t>
      </w:r>
      <w:r>
        <w:rPr>
          <w:rFonts w:ascii="Arial" w:eastAsia="Arial" w:hAnsi="Arial" w:cs="Arial"/>
          <w:i/>
          <w:color w:val="000000"/>
          <w:sz w:val="20"/>
        </w:rPr>
        <w:t>Equal Rights Center</w:t>
      </w:r>
      <w:r>
        <w:rPr>
          <w:rFonts w:ascii="Arial" w:eastAsia="Arial" w:hAnsi="Arial" w:cs="Arial"/>
          <w:color w:val="000000"/>
          <w:sz w:val="20"/>
        </w:rPr>
        <w:t xml:space="preserve"> for the proposition that such claims present an impermissible attempt to contract around the nondelegable nature of a party's duties under the ADA and FHA, and that permitting those claims would therefore undermine federal law. </w:t>
      </w:r>
      <w:bookmarkStart w:id="7261" w:name="Bookmark_I5NK6D7F2SF8CW0010000400"/>
      <w:bookmarkEnd w:id="7261"/>
      <w:r>
        <w:rPr>
          <w:rFonts w:ascii="Arial" w:eastAsia="Arial" w:hAnsi="Arial" w:cs="Arial"/>
          <w:i/>
          <w:color w:val="000000"/>
          <w:sz w:val="20"/>
        </w:rPr>
        <w:t>Id.</w:t>
      </w:r>
      <w:r>
        <w:rPr>
          <w:rFonts w:ascii="Arial" w:eastAsia="Arial" w:hAnsi="Arial" w:cs="Arial"/>
          <w:color w:val="000000"/>
          <w:sz w:val="20"/>
        </w:rPr>
        <w:t xml:space="preserve"> at 1161. The </w:t>
      </w:r>
      <w:r>
        <w:rPr>
          <w:rFonts w:ascii="Arial" w:eastAsia="Arial" w:hAnsi="Arial" w:cs="Arial"/>
          <w:i/>
          <w:color w:val="000000"/>
          <w:sz w:val="20"/>
        </w:rPr>
        <w:t>Independent Living Center</w:t>
      </w:r>
      <w:r>
        <w:rPr>
          <w:rFonts w:ascii="Arial" w:eastAsia="Arial" w:hAnsi="Arial" w:cs="Arial"/>
          <w:color w:val="000000"/>
          <w:sz w:val="20"/>
        </w:rPr>
        <w:t xml:space="preserve"> court rested its analysis regarding contract claim preemption wholly on </w:t>
      </w:r>
      <w:r>
        <w:rPr>
          <w:rFonts w:ascii="Arial" w:eastAsia="Arial" w:hAnsi="Arial" w:cs="Arial"/>
          <w:i/>
          <w:color w:val="000000"/>
          <w:sz w:val="20"/>
        </w:rPr>
        <w:t>Equal Rights Center</w:t>
      </w:r>
      <w:r>
        <w:rPr>
          <w:rFonts w:ascii="Arial" w:eastAsia="Arial" w:hAnsi="Arial" w:cs="Arial"/>
          <w:color w:val="000000"/>
          <w:sz w:val="20"/>
        </w:rPr>
        <w:t xml:space="preserve">, and did not discuss any difference between claims seeking contractual contribution, and those seeking indemnity. </w:t>
      </w:r>
      <w:r>
        <w:rPr>
          <w:rFonts w:ascii="Arial" w:eastAsia="Arial" w:hAnsi="Arial" w:cs="Arial"/>
          <w:i/>
          <w:color w:val="000000"/>
          <w:sz w:val="20"/>
        </w:rPr>
        <w:t>Id.</w:t>
      </w:r>
      <w:r>
        <w:rPr>
          <w:rFonts w:ascii="Arial" w:eastAsia="Arial" w:hAnsi="Arial" w:cs="Arial"/>
          <w:color w:val="000000"/>
          <w:sz w:val="20"/>
        </w:rPr>
        <w:t xml:space="preserve"> We are, of course, not bound in any way by </w:t>
      </w:r>
      <w:r>
        <w:rPr>
          <w:rFonts w:ascii="Arial" w:eastAsia="Arial" w:hAnsi="Arial" w:cs="Arial"/>
          <w:i/>
          <w:color w:val="000000"/>
          <w:sz w:val="20"/>
        </w:rPr>
        <w:t>Independent Living Center</w:t>
      </w:r>
      <w:r>
        <w:rPr>
          <w:rFonts w:ascii="Arial" w:eastAsia="Arial" w:hAnsi="Arial" w:cs="Arial"/>
          <w:color w:val="000000"/>
          <w:sz w:val="20"/>
        </w:rPr>
        <w:t>, but we address its reasoning in this opinion as part of our analysis.</w:t>
      </w:r>
    </w:p>
    <w:p w:rsidR="00E456CD" w:rsidRDefault="00000000">
      <w:pPr>
        <w:pStyle w:val="Normal47"/>
        <w:widowControl w:val="0"/>
        <w:spacing w:before="200" w:line="260" w:lineRule="atLeast"/>
        <w:jc w:val="both"/>
      </w:pPr>
      <w:bookmarkStart w:id="7262" w:name="Bookmark_para_24_25"/>
      <w:bookmarkStart w:id="7263" w:name="Bookmark_I5NK6D7F2SF8CW0040000400"/>
      <w:bookmarkStart w:id="7264" w:name="Bookmark_I5NK6D7F28T4570010000400"/>
      <w:bookmarkEnd w:id="7262"/>
      <w:bookmarkEnd w:id="7263"/>
      <w:bookmarkEnd w:id="7264"/>
      <w:r>
        <w:rPr>
          <w:rFonts w:ascii="Arial" w:eastAsia="Arial" w:hAnsi="Arial" w:cs="Arial"/>
          <w:color w:val="000000"/>
          <w:sz w:val="20"/>
        </w:rPr>
        <w:t xml:space="preserve">The district court in this case declined to address two aspects of </w:t>
      </w:r>
      <w:r>
        <w:rPr>
          <w:rFonts w:ascii="Arial" w:eastAsia="Arial" w:hAnsi="Arial" w:cs="Arial"/>
          <w:i/>
          <w:color w:val="000000"/>
          <w:sz w:val="20"/>
        </w:rPr>
        <w:t>Independent Living Center</w:t>
      </w:r>
      <w:r>
        <w:rPr>
          <w:rFonts w:ascii="Arial" w:eastAsia="Arial" w:hAnsi="Arial" w:cs="Arial"/>
          <w:color w:val="000000"/>
          <w:sz w:val="20"/>
        </w:rPr>
        <w:t xml:space="preserve"> that cabin its persuasive effect on the present appeal. First, as the </w:t>
      </w:r>
      <w:r>
        <w:rPr>
          <w:rFonts w:ascii="Arial" w:eastAsia="Arial" w:hAnsi="Arial" w:cs="Arial"/>
          <w:i/>
          <w:color w:val="000000"/>
          <w:sz w:val="20"/>
        </w:rPr>
        <w:t>Independent Living Center</w:t>
      </w:r>
      <w:r>
        <w:rPr>
          <w:rFonts w:ascii="Arial" w:eastAsia="Arial" w:hAnsi="Arial" w:cs="Arial"/>
          <w:color w:val="000000"/>
          <w:sz w:val="20"/>
        </w:rPr>
        <w:t xml:space="preserve"> court emphasized, the first-party plaintiffs in that matter alleged that the City had "failed . . . to maintain </w:t>
      </w:r>
      <w:r>
        <w:rPr>
          <w:rFonts w:ascii="Arial" w:eastAsia="Arial" w:hAnsi="Arial" w:cs="Arial"/>
          <w:i/>
          <w:color w:val="000000"/>
          <w:sz w:val="20"/>
        </w:rPr>
        <w:t>policies, practices, or procedures</w:t>
      </w:r>
      <w:r>
        <w:rPr>
          <w:rFonts w:ascii="Arial" w:eastAsia="Arial" w:hAnsi="Arial" w:cs="Arial"/>
          <w:color w:val="000000"/>
          <w:sz w:val="20"/>
        </w:rPr>
        <w:t xml:space="preserve"> to ensure that accessible housing units [were] made available and [were] meaningfully accessible to people with disabilities," and that they additionally [**18]  "</w:t>
      </w:r>
      <w:r>
        <w:rPr>
          <w:rFonts w:ascii="Arial" w:eastAsia="Arial" w:hAnsi="Arial" w:cs="Arial"/>
          <w:i/>
          <w:color w:val="000000"/>
          <w:sz w:val="20"/>
        </w:rPr>
        <w:t>failed to monitor compliance</w:t>
      </w:r>
      <w:r>
        <w:rPr>
          <w:rFonts w:ascii="Arial" w:eastAsia="Arial" w:hAnsi="Arial" w:cs="Arial"/>
          <w:color w:val="000000"/>
          <w:sz w:val="20"/>
        </w:rPr>
        <w:t xml:space="preserve"> with the Rehabilitation Act accessibility requirements." </w:t>
      </w:r>
      <w:bookmarkStart w:id="7265" w:name="Bookmark_I5NK6D7F2SF8CW0030000400"/>
      <w:bookmarkEnd w:id="7265"/>
      <w:r>
        <w:rPr>
          <w:rFonts w:ascii="Arial" w:eastAsia="Arial" w:hAnsi="Arial" w:cs="Arial"/>
          <w:i/>
          <w:color w:val="000000"/>
          <w:sz w:val="20"/>
        </w:rPr>
        <w:t>Id.</w:t>
      </w:r>
      <w:r>
        <w:rPr>
          <w:rFonts w:ascii="Arial" w:eastAsia="Arial" w:hAnsi="Arial" w:cs="Arial"/>
          <w:color w:val="000000"/>
          <w:sz w:val="20"/>
        </w:rPr>
        <w:t xml:space="preserve"> at 1144-45 (internal quotation marks omitted, emphases added). </w:t>
      </w:r>
      <w:bookmarkStart w:id="7266" w:name="Bookmark_I0N2817KC5M00001C0P00007"/>
      <w:bookmarkStart w:id="7267" w:name="Bookmark_I5NK6D7F28T4570030000400"/>
      <w:bookmarkEnd w:id="7266"/>
      <w:bookmarkEnd w:id="7267"/>
      <w:r>
        <w:rPr>
          <w:rFonts w:ascii="Arial" w:eastAsia="Arial" w:hAnsi="Arial" w:cs="Arial"/>
          <w:color w:val="000000"/>
          <w:sz w:val="20"/>
        </w:rPr>
        <w:t xml:space="preserve">The court expressly found that "the main focus of [the] lawsuit [was] the legality of the overall housing program," and that "Plaintiffs did not file this case because a particular building violated provisions under the various statutes." </w:t>
      </w:r>
      <w:bookmarkStart w:id="7268" w:name="Bookmark_I5NK6D7F2SF8CW0050000400"/>
      <w:bookmarkEnd w:id="7268"/>
      <w:r>
        <w:rPr>
          <w:rFonts w:ascii="Arial" w:eastAsia="Arial" w:hAnsi="Arial" w:cs="Arial"/>
          <w:i/>
          <w:color w:val="000000"/>
          <w:sz w:val="20"/>
        </w:rPr>
        <w:t>Id.</w:t>
      </w:r>
      <w:r>
        <w:rPr>
          <w:rFonts w:ascii="Arial" w:eastAsia="Arial" w:hAnsi="Arial" w:cs="Arial"/>
          <w:color w:val="000000"/>
          <w:sz w:val="20"/>
        </w:rPr>
        <w:t xml:space="preserve"> at 1148 (internal alterations omitted). </w:t>
      </w:r>
      <w:bookmarkStart w:id="7269" w:name="Bookmark_I5NK6D7F28T4570030000400_2"/>
      <w:bookmarkEnd w:id="7269"/>
      <w:r>
        <w:rPr>
          <w:rFonts w:ascii="Arial" w:eastAsia="Arial" w:hAnsi="Arial" w:cs="Arial"/>
          <w:color w:val="000000"/>
          <w:sz w:val="20"/>
        </w:rPr>
        <w:t xml:space="preserve">Rather, the plaintiffs sought redress for a programmatic failure on the part of the City to maintain adequate policies and oversight under the relevant federal statutes. </w:t>
      </w:r>
      <w:r>
        <w:rPr>
          <w:rFonts w:ascii="Arial" w:eastAsia="Arial" w:hAnsi="Arial" w:cs="Arial"/>
          <w:i/>
          <w:color w:val="000000"/>
          <w:sz w:val="20"/>
        </w:rPr>
        <w:t xml:space="preserve">See </w:t>
      </w:r>
      <w:bookmarkStart w:id="7270" w:name="Bookmark_I5NK6D7F28T4570020000400"/>
      <w:bookmarkEnd w:id="7270"/>
      <w:r>
        <w:rPr>
          <w:rFonts w:ascii="Arial" w:eastAsia="Arial" w:hAnsi="Arial" w:cs="Arial"/>
          <w:i/>
          <w:color w:val="000000"/>
          <w:sz w:val="20"/>
        </w:rPr>
        <w:t>id.</w:t>
      </w:r>
      <w:r>
        <w:rPr>
          <w:rFonts w:ascii="Arial" w:eastAsia="Arial" w:hAnsi="Arial" w:cs="Arial"/>
          <w:color w:val="000000"/>
          <w:sz w:val="20"/>
        </w:rPr>
        <w:t xml:space="preserve"> at 1148-49.</w:t>
      </w:r>
    </w:p>
    <w:p w:rsidR="00E456CD" w:rsidRDefault="00000000">
      <w:pPr>
        <w:pStyle w:val="Normal47"/>
        <w:widowControl w:val="0"/>
        <w:spacing w:before="200" w:line="260" w:lineRule="atLeast"/>
        <w:jc w:val="both"/>
      </w:pPr>
      <w:bookmarkStart w:id="7271" w:name="Bookmark_para_25_25"/>
      <w:bookmarkEnd w:id="7271"/>
      <w:r>
        <w:rPr>
          <w:rFonts w:ascii="Arial" w:eastAsia="Arial" w:hAnsi="Arial" w:cs="Arial"/>
          <w:color w:val="000000"/>
          <w:sz w:val="20"/>
        </w:rPr>
        <w:t xml:space="preserve">That factual circumstance stands in stark contrast to the situation presented by this appeal. Cities implement policies and procedures as part of their standard operation. Were courts to permit a city to contract away its liability to implement policies and procedures that comply with federal disability regulations, they would indeed be permitting delegation of an entity's duties under the ADA. Here, however, the City does not seek indemnification or contribution for damages arising out of its own failure to implement policies or exercise oversight. Rather, it seeks redress for  [*1158]  specific construction and design [**19]  failures related to the FlyAway bus service. </w:t>
      </w:r>
      <w:bookmarkStart w:id="7272" w:name="Bookmark_LNHNREFclscc12_16"/>
      <w:bookmarkEnd w:id="7272"/>
      <w:r>
        <w:rPr>
          <w:rFonts w:ascii="Arial" w:eastAsia="Arial" w:hAnsi="Arial" w:cs="Arial"/>
          <w:color w:val="000000"/>
          <w:sz w:val="20"/>
        </w:rPr>
        <w:t>Cities usually have no choice but to contract out design and construction of public facilities because they do not have the expertise, personnel, or equipment necessary to construct public projects. They delegate that task by necessity. Accordingly, an important component in a city's doing all it can to fulfill its duties under Title II and § 504 is to require as part of its contracts with necessary third party entities that the requirements of those statutes be met.</w:t>
      </w:r>
      <w:r>
        <w:rPr>
          <w:rFonts w:ascii="Arial" w:eastAsia="Arial" w:hAnsi="Arial" w:cs="Arial"/>
          <w:vertAlign w:val="superscript"/>
        </w:rPr>
        <w:footnoteReference w:customMarkFollows="1" w:id="307"/>
        <w:t>4</w:t>
      </w:r>
      <w:r>
        <w:rPr>
          <w:rFonts w:ascii="Arial" w:eastAsia="Arial" w:hAnsi="Arial" w:cs="Arial"/>
          <w:color w:val="000000"/>
          <w:sz w:val="20"/>
        </w:rPr>
        <w:t xml:space="preserve"> Permitting enforcement of contract claims seeking to hold a contractor liable for duties necessarily delegated to it does not raise the specter of entirely insulating public entities from ongoing Title II or § 504 liability posed by offloading all the city's responsibilities under those laws.</w:t>
      </w:r>
    </w:p>
    <w:p w:rsidR="00E456CD" w:rsidRDefault="00000000">
      <w:pPr>
        <w:pStyle w:val="Normal47"/>
        <w:widowControl w:val="0"/>
        <w:spacing w:before="200" w:line="260" w:lineRule="atLeast"/>
        <w:jc w:val="both"/>
      </w:pPr>
      <w:bookmarkStart w:id="7286" w:name="Bookmark_para_27_23"/>
      <w:bookmarkStart w:id="7287" w:name="Bookmark_I5NK6D7F2HM6W10010000400"/>
      <w:bookmarkEnd w:id="7286"/>
      <w:bookmarkEnd w:id="7287"/>
      <w:r>
        <w:rPr>
          <w:rFonts w:ascii="Arial" w:eastAsia="Arial" w:hAnsi="Arial" w:cs="Arial"/>
          <w:color w:val="000000"/>
          <w:sz w:val="20"/>
        </w:rPr>
        <w:t xml:space="preserve">Second, although it found that conflict preemption precluded the City's claims for both contribution and indemnification, the </w:t>
      </w:r>
      <w:r>
        <w:rPr>
          <w:rFonts w:ascii="Arial" w:eastAsia="Arial" w:hAnsi="Arial" w:cs="Arial"/>
          <w:i/>
          <w:color w:val="000000"/>
          <w:sz w:val="20"/>
        </w:rPr>
        <w:t>Independent Living Center</w:t>
      </w:r>
      <w:r>
        <w:rPr>
          <w:rFonts w:ascii="Arial" w:eastAsia="Arial" w:hAnsi="Arial" w:cs="Arial"/>
          <w:color w:val="000000"/>
          <w:sz w:val="20"/>
        </w:rPr>
        <w:t xml:space="preserve"> court relies almost entirely on </w:t>
      </w:r>
      <w:r>
        <w:rPr>
          <w:rFonts w:ascii="Arial" w:eastAsia="Arial" w:hAnsi="Arial" w:cs="Arial"/>
          <w:i/>
          <w:color w:val="000000"/>
          <w:sz w:val="20"/>
        </w:rPr>
        <w:t>Equal Rights Center</w:t>
      </w:r>
      <w:r>
        <w:rPr>
          <w:rFonts w:ascii="Arial" w:eastAsia="Arial" w:hAnsi="Arial" w:cs="Arial"/>
          <w:color w:val="000000"/>
          <w:sz w:val="20"/>
        </w:rPr>
        <w:t xml:space="preserve">—a case that expressly declined to address whether conflict preemption would apply to claims for contribution, as opposed to those for indemnification. </w:t>
      </w:r>
      <w:r>
        <w:rPr>
          <w:rFonts w:ascii="Arial" w:eastAsia="Arial" w:hAnsi="Arial" w:cs="Arial"/>
          <w:i/>
          <w:color w:val="000000"/>
          <w:sz w:val="20"/>
        </w:rPr>
        <w:t xml:space="preserve">See </w:t>
      </w:r>
      <w:bookmarkStart w:id="7288" w:name="Bookmark_I5NK6D7F28T4580050000400"/>
      <w:bookmarkEnd w:id="7288"/>
      <w:r>
        <w:rPr>
          <w:rFonts w:ascii="Arial" w:eastAsia="Arial" w:hAnsi="Arial" w:cs="Arial"/>
          <w:i/>
          <w:color w:val="000000"/>
          <w:sz w:val="20"/>
        </w:rPr>
        <w:t>Indep. Living Ctr.</w:t>
      </w:r>
      <w:r>
        <w:rPr>
          <w:rFonts w:ascii="Arial" w:eastAsia="Arial" w:hAnsi="Arial" w:cs="Arial"/>
          <w:color w:val="000000"/>
          <w:sz w:val="20"/>
        </w:rPr>
        <w:t xml:space="preserve">, 973 F. Supp. 2d at 1160-61. </w:t>
      </w:r>
      <w:r>
        <w:rPr>
          <w:rFonts w:ascii="Arial" w:eastAsia="Arial" w:hAnsi="Arial" w:cs="Arial"/>
          <w:i/>
          <w:color w:val="000000"/>
          <w:sz w:val="20"/>
        </w:rPr>
        <w:t>Independent Living Center</w:t>
      </w:r>
      <w:r>
        <w:rPr>
          <w:rFonts w:ascii="Arial" w:eastAsia="Arial" w:hAnsi="Arial" w:cs="Arial"/>
          <w:color w:val="000000"/>
          <w:sz w:val="20"/>
        </w:rPr>
        <w:t xml:space="preserve"> expresses a clear concern regarding attempts to shift a responsible party's liability under federal disability statutes to another party, and accordingly explains how permitting express contractual indemnification claims poses an obstacle to the regulatory purpose of the ADA. It does not, however, explain how permitting claims for contribution commensurate with a third-party's own wrongdoing would pose a similar obstacle.</w:t>
      </w:r>
    </w:p>
    <w:p w:rsidR="00E456CD" w:rsidRDefault="00000000">
      <w:pPr>
        <w:pStyle w:val="Normal47"/>
        <w:widowControl w:val="0"/>
        <w:spacing w:before="200" w:line="260" w:lineRule="atLeast"/>
        <w:jc w:val="both"/>
      </w:pPr>
      <w:bookmarkStart w:id="7289" w:name="Bookmark_para_28_23"/>
      <w:bookmarkStart w:id="7290" w:name="Bookmark_I5NK6D7F2HM6W10030000400"/>
      <w:bookmarkStart w:id="7291" w:name="Bookmark_I5NK6D7F2HM6W10050000400"/>
      <w:bookmarkEnd w:id="7289"/>
      <w:bookmarkEnd w:id="7290"/>
      <w:bookmarkEnd w:id="7291"/>
      <w:r>
        <w:rPr>
          <w:rFonts w:ascii="Arial" w:eastAsia="Arial" w:hAnsi="Arial" w:cs="Arial"/>
          <w:color w:val="000000"/>
          <w:sz w:val="20"/>
        </w:rPr>
        <w:t xml:space="preserve">As discussed </w:t>
      </w:r>
      <w:r>
        <w:rPr>
          <w:rFonts w:ascii="Arial" w:eastAsia="Arial" w:hAnsi="Arial" w:cs="Arial"/>
          <w:i/>
          <w:color w:val="000000"/>
          <w:sz w:val="20"/>
        </w:rPr>
        <w:t>supra</w:t>
      </w:r>
      <w:r>
        <w:rPr>
          <w:rFonts w:ascii="Arial" w:eastAsia="Arial" w:hAnsi="Arial" w:cs="Arial"/>
          <w:color w:val="000000"/>
          <w:sz w:val="20"/>
        </w:rPr>
        <w:t xml:space="preserve">, </w:t>
      </w:r>
      <w:bookmarkStart w:id="7292" w:name="Bookmark_LNHNREFclscc15_10"/>
      <w:bookmarkEnd w:id="7292"/>
      <w:r>
        <w:rPr>
          <w:rFonts w:ascii="Arial" w:eastAsia="Arial" w:hAnsi="Arial" w:cs="Arial"/>
          <w:color w:val="000000"/>
          <w:sz w:val="20"/>
        </w:rPr>
        <w:t xml:space="preserve">analysis under the Supremacy Clause begins with a presumption against preemption, "unless [preemption] was the clear and manifest purpose of Congress." </w:t>
      </w:r>
      <w:bookmarkStart w:id="7293" w:name="Bookmark_I5NK6D7F2HM6W10020000400"/>
      <w:bookmarkEnd w:id="7293"/>
      <w:r>
        <w:rPr>
          <w:rFonts w:ascii="Arial" w:eastAsia="Arial" w:hAnsi="Arial" w:cs="Arial"/>
          <w:i/>
          <w:color w:val="000000"/>
          <w:sz w:val="20"/>
        </w:rPr>
        <w:t>Medtronic</w:t>
      </w:r>
      <w:r>
        <w:rPr>
          <w:rFonts w:ascii="Arial" w:eastAsia="Arial" w:hAnsi="Arial" w:cs="Arial"/>
          <w:color w:val="000000"/>
          <w:sz w:val="20"/>
        </w:rPr>
        <w:t xml:space="preserve">, 518 U.S. at 485. The </w:t>
      </w:r>
      <w:r>
        <w:rPr>
          <w:rFonts w:ascii="Arial" w:eastAsia="Arial" w:hAnsi="Arial" w:cs="Arial"/>
          <w:i/>
          <w:color w:val="000000"/>
          <w:sz w:val="20"/>
        </w:rPr>
        <w:t>Independent Living Center</w:t>
      </w:r>
      <w:r>
        <w:rPr>
          <w:rFonts w:ascii="Arial" w:eastAsia="Arial" w:hAnsi="Arial" w:cs="Arial"/>
          <w:color w:val="000000"/>
          <w:sz w:val="20"/>
        </w:rPr>
        <w:t xml:space="preserve"> court held that "the presumption against preemption is inapplicable [to [**21]  the ADA], because the states have not traditionally occupied the field of antidiscrimination law." </w:t>
      </w:r>
      <w:bookmarkStart w:id="7294" w:name="Bookmark_I5NK6D7F2HM6W10040000400"/>
      <w:bookmarkEnd w:id="7294"/>
      <w:r>
        <w:rPr>
          <w:rFonts w:ascii="Arial" w:eastAsia="Arial" w:hAnsi="Arial" w:cs="Arial"/>
          <w:color w:val="000000"/>
          <w:sz w:val="20"/>
        </w:rPr>
        <w:t>973 F. Supp. 2d at 1157. We disagree with this characterization of  [*1159]  the historical legal landscape, and we believe the district court erred in concluding that the presumption against preemption is inapplicable to claims brought under Title II of the ADA.</w:t>
      </w:r>
    </w:p>
    <w:p w:rsidR="00E456CD" w:rsidRDefault="00000000">
      <w:pPr>
        <w:pStyle w:val="Normal47"/>
        <w:widowControl w:val="0"/>
        <w:spacing w:before="200" w:line="260" w:lineRule="atLeast"/>
        <w:jc w:val="both"/>
      </w:pPr>
      <w:bookmarkStart w:id="7295" w:name="Bookmark_para_29_22"/>
      <w:bookmarkStart w:id="7296" w:name="Bookmark_I5NK6D7F2HM6W20020000400"/>
      <w:bookmarkStart w:id="7297" w:name="Bookmark_I5NK6D7F2HM6W20040000400"/>
      <w:bookmarkStart w:id="7298" w:name="Bookmark_I5NK6D7F2SF8CY0010000400"/>
      <w:bookmarkEnd w:id="7295"/>
      <w:bookmarkEnd w:id="7296"/>
      <w:bookmarkEnd w:id="7297"/>
      <w:bookmarkEnd w:id="7298"/>
      <w:r>
        <w:rPr>
          <w:rFonts w:ascii="Arial" w:eastAsia="Arial" w:hAnsi="Arial" w:cs="Arial"/>
          <w:color w:val="000000"/>
          <w:sz w:val="20"/>
        </w:rPr>
        <w:t xml:space="preserve">In </w:t>
      </w:r>
      <w:bookmarkStart w:id="7299" w:name="Bookmark_I5NK6D7F2HM6W20010000400"/>
      <w:bookmarkEnd w:id="7299"/>
      <w:r>
        <w:rPr>
          <w:rFonts w:ascii="Arial" w:eastAsia="Arial" w:hAnsi="Arial" w:cs="Arial"/>
          <w:i/>
          <w:color w:val="000000"/>
          <w:sz w:val="20"/>
        </w:rPr>
        <w:t>Federation of African American Contractors v. City of Oakland</w:t>
      </w:r>
      <w:r>
        <w:rPr>
          <w:rFonts w:ascii="Arial" w:eastAsia="Arial" w:hAnsi="Arial" w:cs="Arial"/>
          <w:color w:val="000000"/>
          <w:sz w:val="20"/>
        </w:rPr>
        <w:t xml:space="preserve">, 96 F.3d 1204, 1214 (9th Cir. 1996), we observed that </w:t>
      </w:r>
      <w:bookmarkStart w:id="7300" w:name="Bookmark_LNHNREFclscc16_10"/>
      <w:bookmarkEnd w:id="7300"/>
      <w:r>
        <w:rPr>
          <w:rFonts w:ascii="Arial" w:eastAsia="Arial" w:hAnsi="Arial" w:cs="Arial"/>
          <w:color w:val="000000"/>
          <w:sz w:val="20"/>
        </w:rPr>
        <w:t xml:space="preserve">"[p]rivate causes of action against state actors who impair federal civil rights have not been traditionally relegated to state law." However, the mere co-existence of state and federal causes of action does not support a rejection of the presumption. </w:t>
      </w:r>
      <w:r>
        <w:rPr>
          <w:rFonts w:ascii="Arial" w:eastAsia="Arial" w:hAnsi="Arial" w:cs="Arial"/>
          <w:i/>
          <w:color w:val="000000"/>
          <w:sz w:val="20"/>
        </w:rPr>
        <w:t xml:space="preserve">See </w:t>
      </w:r>
      <w:bookmarkStart w:id="7301" w:name="Bookmark_I5NK6D7F2HM6W20030000400"/>
      <w:bookmarkEnd w:id="7301"/>
      <w:r>
        <w:rPr>
          <w:rFonts w:ascii="Arial" w:eastAsia="Arial" w:hAnsi="Arial" w:cs="Arial"/>
          <w:i/>
          <w:color w:val="000000"/>
          <w:sz w:val="20"/>
        </w:rPr>
        <w:t>Wyeth</w:t>
      </w:r>
      <w:r>
        <w:rPr>
          <w:rFonts w:ascii="Arial" w:eastAsia="Arial" w:hAnsi="Arial" w:cs="Arial"/>
          <w:color w:val="000000"/>
          <w:sz w:val="20"/>
        </w:rPr>
        <w:t xml:space="preserve">, 555 U.S. at 565 n.3. </w:t>
      </w:r>
      <w:bookmarkStart w:id="7302" w:name="Bookmark_I5NK6D7F2SF8CY0030000400"/>
      <w:bookmarkEnd w:id="7302"/>
      <w:r>
        <w:rPr>
          <w:rFonts w:ascii="Arial" w:eastAsia="Arial" w:hAnsi="Arial" w:cs="Arial"/>
          <w:color w:val="000000"/>
          <w:sz w:val="20"/>
        </w:rPr>
        <w:t xml:space="preserve">Similarly, the fact that "Congress enacted Title II against a backdrop of pervasive unequal treatment in the administration of state services and programs," and that its "enactment of the ADA represents its judgment that there should be a comprehensive national mandate for the elimination of discrimination against individuals with disabilities," </w:t>
      </w:r>
      <w:bookmarkStart w:id="7303" w:name="Bookmark_I5NK6D7F2HM6W20050000400"/>
      <w:bookmarkEnd w:id="7303"/>
      <w:r>
        <w:rPr>
          <w:rFonts w:ascii="Arial" w:eastAsia="Arial" w:hAnsi="Arial" w:cs="Arial"/>
          <w:color w:val="000000"/>
          <w:sz w:val="20"/>
        </w:rPr>
        <w:t xml:space="preserve">973 F. Supp. 2d at 1158, does not render the presumption against preemption inapplicable. </w:t>
      </w:r>
      <w:bookmarkStart w:id="7304" w:name="Bookmark_I5NK6D7F2SF8CY0030000400_2"/>
      <w:bookmarkEnd w:id="7304"/>
      <w:r>
        <w:rPr>
          <w:rFonts w:ascii="Arial" w:eastAsia="Arial" w:hAnsi="Arial" w:cs="Arial"/>
          <w:color w:val="000000"/>
          <w:sz w:val="20"/>
        </w:rPr>
        <w:t xml:space="preserve">As the Supreme Court has explained, the presumption is rooted in federalism concerns. </w:t>
      </w:r>
      <w:bookmarkStart w:id="7305" w:name="Bookmark_I5NK6D7F28T4590040000400"/>
      <w:bookmarkEnd w:id="7305"/>
      <w:r>
        <w:rPr>
          <w:rFonts w:ascii="Arial" w:eastAsia="Arial" w:hAnsi="Arial" w:cs="Arial"/>
          <w:i/>
          <w:color w:val="000000"/>
          <w:sz w:val="20"/>
        </w:rPr>
        <w:t>See, e.g.</w:t>
      </w:r>
      <w:r>
        <w:rPr>
          <w:rFonts w:ascii="Arial" w:eastAsia="Arial" w:hAnsi="Arial" w:cs="Arial"/>
          <w:color w:val="000000"/>
          <w:sz w:val="20"/>
        </w:rPr>
        <w:t xml:space="preserve">, </w:t>
      </w:r>
      <w:bookmarkStart w:id="7306" w:name="Bookmark_I5NK6D7F2SF8CY0020000400"/>
      <w:bookmarkEnd w:id="7306"/>
      <w:r>
        <w:rPr>
          <w:rFonts w:ascii="Arial" w:eastAsia="Arial" w:hAnsi="Arial" w:cs="Arial"/>
          <w:i/>
          <w:color w:val="000000"/>
          <w:sz w:val="20"/>
        </w:rPr>
        <w:t>Jones v. Rath Packing Co.</w:t>
      </w:r>
      <w:r>
        <w:rPr>
          <w:rFonts w:ascii="Arial" w:eastAsia="Arial" w:hAnsi="Arial" w:cs="Arial"/>
          <w:color w:val="000000"/>
          <w:sz w:val="20"/>
        </w:rPr>
        <w:t xml:space="preserve">, 430 U.S. 519, 525, 97 S. Ct. 1305, 51 L. Ed. 2d 604 (1977); </w:t>
      </w:r>
      <w:r>
        <w:rPr>
          <w:rFonts w:ascii="Arial" w:eastAsia="Arial" w:hAnsi="Arial" w:cs="Arial"/>
          <w:i/>
          <w:color w:val="000000"/>
          <w:sz w:val="20"/>
        </w:rPr>
        <w:t xml:space="preserve">see also </w:t>
      </w:r>
      <w:bookmarkStart w:id="7307" w:name="Bookmark_I5NK6D7F2SF8CY0040000400"/>
      <w:bookmarkEnd w:id="7307"/>
      <w:r>
        <w:rPr>
          <w:rFonts w:ascii="Arial" w:eastAsia="Arial" w:hAnsi="Arial" w:cs="Arial"/>
          <w:i/>
          <w:color w:val="000000"/>
          <w:sz w:val="20"/>
        </w:rPr>
        <w:t>Wyeth</w:t>
      </w:r>
      <w:r>
        <w:rPr>
          <w:rFonts w:ascii="Arial" w:eastAsia="Arial" w:hAnsi="Arial" w:cs="Arial"/>
          <w:color w:val="000000"/>
          <w:sz w:val="20"/>
        </w:rPr>
        <w:t xml:space="preserve">, 555 U.S. at 565 n.3; </w:t>
      </w:r>
      <w:bookmarkStart w:id="7308" w:name="Bookmark_I5NK6D7F28T4590010000400"/>
      <w:bookmarkEnd w:id="7308"/>
      <w:r>
        <w:rPr>
          <w:rFonts w:ascii="Arial" w:eastAsia="Arial" w:hAnsi="Arial" w:cs="Arial"/>
          <w:i/>
          <w:color w:val="000000"/>
          <w:sz w:val="20"/>
        </w:rPr>
        <w:t>id.</w:t>
      </w:r>
      <w:r>
        <w:rPr>
          <w:rFonts w:ascii="Arial" w:eastAsia="Arial" w:hAnsi="Arial" w:cs="Arial"/>
          <w:color w:val="000000"/>
          <w:sz w:val="20"/>
        </w:rPr>
        <w:t xml:space="preserve"> at 583-87 (Thomas, J., concurring in the judgment). </w:t>
      </w:r>
      <w:bookmarkStart w:id="7309" w:name="Bookmark_I5NK6D7F28T4590040000400_2"/>
      <w:bookmarkEnd w:id="7309"/>
      <w:r>
        <w:rPr>
          <w:rFonts w:ascii="Arial" w:eastAsia="Arial" w:hAnsi="Arial" w:cs="Arial"/>
          <w:color w:val="000000"/>
          <w:sz w:val="20"/>
        </w:rPr>
        <w:t xml:space="preserve">The relevant question is whether [**22]  a given area is one in which states have historically had the power to regulate, not whether states have previously regulated in the precise manner or to the degree that the federal government has itself chosen to regulate. </w:t>
      </w:r>
      <w:r>
        <w:rPr>
          <w:rFonts w:ascii="Arial" w:eastAsia="Arial" w:hAnsi="Arial" w:cs="Arial"/>
          <w:i/>
          <w:color w:val="000000"/>
          <w:sz w:val="20"/>
        </w:rPr>
        <w:t xml:space="preserve">See </w:t>
      </w:r>
      <w:bookmarkStart w:id="7310" w:name="Bookmark_I5NK6D7F28T4590030000400"/>
      <w:bookmarkEnd w:id="7310"/>
      <w:r>
        <w:rPr>
          <w:rFonts w:ascii="Arial" w:eastAsia="Arial" w:hAnsi="Arial" w:cs="Arial"/>
          <w:i/>
          <w:color w:val="000000"/>
          <w:sz w:val="20"/>
        </w:rPr>
        <w:t>Wyeth</w:t>
      </w:r>
      <w:r>
        <w:rPr>
          <w:rFonts w:ascii="Arial" w:eastAsia="Arial" w:hAnsi="Arial" w:cs="Arial"/>
          <w:color w:val="000000"/>
          <w:sz w:val="20"/>
        </w:rPr>
        <w:t>, 555 U.S. at 565, 565 n.3. Indeed, if state and federal regulatory choices perfectly aligned, there would be no cause for federal legislation at all. Conversely, if the presumption against preemption failed to apply anytime federal regulations add something to state legislation, the presumption would be a nullity.</w:t>
      </w:r>
    </w:p>
    <w:p w:rsidR="00E456CD" w:rsidRDefault="00000000">
      <w:pPr>
        <w:pStyle w:val="Normal47"/>
        <w:widowControl w:val="0"/>
        <w:spacing w:before="200" w:line="260" w:lineRule="atLeast"/>
        <w:jc w:val="both"/>
      </w:pPr>
      <w:bookmarkStart w:id="7311" w:name="Bookmark_para_30_22"/>
      <w:bookmarkStart w:id="7312" w:name="Bookmark_I5NK6D7F2N1RHS0010000400"/>
      <w:bookmarkStart w:id="7313" w:name="Bookmark_LNHNREFclscc17_8"/>
      <w:bookmarkEnd w:id="7311"/>
      <w:bookmarkEnd w:id="7312"/>
      <w:bookmarkEnd w:id="7313"/>
      <w:r>
        <w:rPr>
          <w:rFonts w:ascii="Arial" w:eastAsia="Arial" w:hAnsi="Arial" w:cs="Arial"/>
          <w:color w:val="000000"/>
          <w:sz w:val="20"/>
        </w:rPr>
        <w:t xml:space="preserve">States have historically regulated in the area of civil rights generally, and in the field of discrimination against disabled individuals specifically. </w:t>
      </w:r>
      <w:bookmarkStart w:id="7314" w:name="Bookmark_I5NK6D7F2HM6W30020000400"/>
      <w:bookmarkEnd w:id="7314"/>
      <w:r>
        <w:rPr>
          <w:rFonts w:ascii="Arial" w:eastAsia="Arial" w:hAnsi="Arial" w:cs="Arial"/>
          <w:i/>
          <w:color w:val="000000"/>
          <w:sz w:val="20"/>
        </w:rPr>
        <w:t xml:space="preserve">See, e.g., </w:t>
      </w:r>
      <w:bookmarkStart w:id="7315" w:name="Bookmark_I5NK6D7F28T4590050000400"/>
      <w:bookmarkEnd w:id="7315"/>
      <w:r>
        <w:rPr>
          <w:rFonts w:ascii="Arial" w:eastAsia="Arial" w:hAnsi="Arial" w:cs="Arial"/>
          <w:i/>
          <w:color w:val="000000"/>
          <w:sz w:val="20"/>
        </w:rPr>
        <w:t>Board of Trustees v. Garrett</w:t>
      </w:r>
      <w:r>
        <w:rPr>
          <w:rFonts w:ascii="Arial" w:eastAsia="Arial" w:hAnsi="Arial" w:cs="Arial"/>
          <w:color w:val="000000"/>
          <w:sz w:val="20"/>
        </w:rPr>
        <w:t xml:space="preserve">, 531 U.S. 356, 368 n.5, 121 S. Ct. 955, 148 L. Ed. 2d 866 (2001) ("It is worth noting that by the time that Congress enacted the ADA in 1990, every State in the Union had enacted such measures [against disability discrimination]."); </w:t>
      </w:r>
      <w:r>
        <w:rPr>
          <w:rFonts w:ascii="Arial" w:eastAsia="Arial" w:hAnsi="Arial" w:cs="Arial"/>
          <w:i/>
          <w:color w:val="000000"/>
          <w:sz w:val="20"/>
        </w:rPr>
        <w:t xml:space="preserve">see also </w:t>
      </w:r>
      <w:bookmarkStart w:id="7316" w:name="Bookmark_I5NK6D7F2N1RHS0020000400"/>
      <w:bookmarkEnd w:id="7316"/>
      <w:r>
        <w:rPr>
          <w:rFonts w:ascii="Arial" w:eastAsia="Arial" w:hAnsi="Arial" w:cs="Arial"/>
          <w:i/>
          <w:color w:val="000000"/>
          <w:sz w:val="20"/>
        </w:rPr>
        <w:t>Bob-Lo Excursion Co. v. Michigan</w:t>
      </w:r>
      <w:r>
        <w:rPr>
          <w:rFonts w:ascii="Arial" w:eastAsia="Arial" w:hAnsi="Arial" w:cs="Arial"/>
          <w:color w:val="000000"/>
          <w:sz w:val="20"/>
        </w:rPr>
        <w:t xml:space="preserve">, 333 U.S. 28, 33, 68 S. Ct. 358, 92 L. Ed. 455 (1948) (noting that "many states" had at that time enacted civil rights statutes); </w:t>
      </w:r>
      <w:bookmarkStart w:id="7317" w:name="Bookmark_I5NK6D7F2N1RHS0040000400"/>
      <w:bookmarkEnd w:id="7317"/>
      <w:r>
        <w:rPr>
          <w:rFonts w:ascii="Arial" w:eastAsia="Arial" w:hAnsi="Arial" w:cs="Arial"/>
          <w:i/>
          <w:color w:val="000000"/>
          <w:sz w:val="20"/>
        </w:rPr>
        <w:t>Rodriguez v. Barrita, Inc.</w:t>
      </w:r>
      <w:r>
        <w:rPr>
          <w:rFonts w:ascii="Arial" w:eastAsia="Arial" w:hAnsi="Arial" w:cs="Arial"/>
          <w:color w:val="000000"/>
          <w:sz w:val="20"/>
        </w:rPr>
        <w:t xml:space="preserve">, 10 F. Supp. 3d 1062, 1073 (N.D. Cal. 2014) ("Long before Congress passed the ADA, California enacted several statutes to prohibit disability discrimination at the state level."). We therefore apply the presumption against preemption, and, accordingly, will find preemption only if Congress indicated a "clear [**23]  and manifest purpose" to that effect. </w:t>
      </w:r>
      <w:bookmarkStart w:id="7318" w:name="Bookmark_I5NK6D7F2HM6W30020000400_2"/>
      <w:bookmarkStart w:id="7319" w:name="Bookmark_I5NK6D7F2HM6W30010000400"/>
      <w:bookmarkEnd w:id="7318"/>
      <w:bookmarkEnd w:id="7319"/>
      <w:r>
        <w:rPr>
          <w:rFonts w:ascii="Arial" w:eastAsia="Arial" w:hAnsi="Arial" w:cs="Arial"/>
          <w:i/>
          <w:color w:val="000000"/>
          <w:sz w:val="20"/>
        </w:rPr>
        <w:t>Nation v. City of Glendale</w:t>
      </w:r>
      <w:r>
        <w:rPr>
          <w:rFonts w:ascii="Arial" w:eastAsia="Arial" w:hAnsi="Arial" w:cs="Arial"/>
          <w:color w:val="000000"/>
          <w:sz w:val="20"/>
        </w:rPr>
        <w:t>, 804 F.3d 1292, 1298 (9th Cir. 2015).</w:t>
      </w:r>
    </w:p>
    <w:p w:rsidR="00E456CD" w:rsidRDefault="00000000">
      <w:pPr>
        <w:pStyle w:val="Normal47"/>
        <w:widowControl w:val="0"/>
        <w:spacing w:before="200" w:line="260" w:lineRule="atLeast"/>
        <w:jc w:val="both"/>
      </w:pPr>
      <w:bookmarkStart w:id="7320" w:name="Bookmark_para_31_22"/>
      <w:bookmarkStart w:id="7321" w:name="Bookmark_I5NK6D7F2HM6W30040000400"/>
      <w:bookmarkStart w:id="7322" w:name="Bookmark_LNHNREFclscc18_8"/>
      <w:bookmarkEnd w:id="7320"/>
      <w:bookmarkEnd w:id="7321"/>
      <w:bookmarkEnd w:id="7322"/>
      <w:r>
        <w:rPr>
          <w:rFonts w:ascii="Arial" w:eastAsia="Arial" w:hAnsi="Arial" w:cs="Arial"/>
          <w:color w:val="000000"/>
          <w:sz w:val="20"/>
        </w:rPr>
        <w:t xml:space="preserve">Obstacle preemption applies when a given "state law[] stands as an obstacle to the accomplishment and execution of the full purposes and objectives of Congress." </w:t>
      </w:r>
      <w:bookmarkStart w:id="7323" w:name="Bookmark_I5NK6D7F2HM6W30030000400"/>
      <w:bookmarkEnd w:id="7323"/>
      <w:r>
        <w:rPr>
          <w:rFonts w:ascii="Arial" w:eastAsia="Arial" w:hAnsi="Arial" w:cs="Arial"/>
          <w:i/>
          <w:color w:val="000000"/>
          <w:sz w:val="20"/>
        </w:rPr>
        <w:t>Crosby v. Nat'l Foreign Trade Council</w:t>
      </w:r>
      <w:r>
        <w:rPr>
          <w:rFonts w:ascii="Arial" w:eastAsia="Arial" w:hAnsi="Arial" w:cs="Arial"/>
          <w:color w:val="000000"/>
          <w:sz w:val="20"/>
        </w:rPr>
        <w:t xml:space="preserve">, 530 U.S. 363, 373, 120 S. Ct. 2288, 147 L. Ed. 2d 352 (2000) (quoting </w:t>
      </w:r>
      <w:bookmarkStart w:id="7324" w:name="Bookmark_I5NK6D7F2HM6W30050000400"/>
      <w:bookmarkEnd w:id="7324"/>
      <w:r>
        <w:rPr>
          <w:rFonts w:ascii="Arial" w:eastAsia="Arial" w:hAnsi="Arial" w:cs="Arial"/>
          <w:i/>
          <w:color w:val="000000"/>
          <w:sz w:val="20"/>
        </w:rPr>
        <w:t>Hines v. Davidowitz</w:t>
      </w:r>
      <w:r>
        <w:rPr>
          <w:rFonts w:ascii="Arial" w:eastAsia="Arial" w:hAnsi="Arial" w:cs="Arial"/>
          <w:color w:val="000000"/>
          <w:sz w:val="20"/>
        </w:rPr>
        <w:t xml:space="preserve">, 312 U.S. 52, 67, 61 S. Ct. 399, 85 L. Ed. 581 (1941)). "What is a sufficient obstacle is a matter of judgment, to be informed by examining the federal statute as a whole and identifying its purpose and intended effects." </w:t>
      </w:r>
      <w:r>
        <w:rPr>
          <w:rFonts w:ascii="Arial" w:eastAsia="Arial" w:hAnsi="Arial" w:cs="Arial"/>
          <w:i/>
          <w:color w:val="000000"/>
          <w:sz w:val="20"/>
        </w:rPr>
        <w:t>Id.</w:t>
      </w:r>
      <w:r>
        <w:rPr>
          <w:rFonts w:ascii="Arial" w:eastAsia="Arial" w:hAnsi="Arial" w:cs="Arial"/>
          <w:color w:val="000000"/>
          <w:sz w:val="20"/>
        </w:rPr>
        <w:t xml:space="preserve"> Accordingly, whether claims for express contractual indemnification or contribution conflict with Title II and § 504 requires consideration of those statutes' animating purposes and intended consequences.</w:t>
      </w:r>
    </w:p>
    <w:p w:rsidR="00E456CD" w:rsidRDefault="00000000">
      <w:pPr>
        <w:pStyle w:val="Normal47"/>
        <w:widowControl w:val="0"/>
        <w:spacing w:before="200" w:line="260" w:lineRule="atLeast"/>
        <w:jc w:val="both"/>
      </w:pPr>
      <w:bookmarkStart w:id="7325" w:name="Bookmark_para_32_22"/>
      <w:bookmarkStart w:id="7326" w:name="Bookmark_I5NK6D7F28T45B0030000400"/>
      <w:bookmarkStart w:id="7327" w:name="Bookmark_LNHNREFclscc19_6"/>
      <w:bookmarkEnd w:id="7325"/>
      <w:bookmarkEnd w:id="7326"/>
      <w:bookmarkEnd w:id="7327"/>
      <w:r>
        <w:rPr>
          <w:rFonts w:ascii="Arial" w:eastAsia="Arial" w:hAnsi="Arial" w:cs="Arial"/>
          <w:color w:val="000000"/>
          <w:sz w:val="20"/>
        </w:rPr>
        <w:t xml:space="preserve">Congress expressly set forth the purpose of Title II as "to provide a clear and comprehensive national mandate for the elimination of discrimination against individuals  [*1160]  with disabilities" through "clear, strong, consistent, enforceable standards addressing discrimination against individuals with disabilities." 42 U.S.C. § 12101(b)(1)-(2). We have noted that "[t]here is no significant difference in analysis of the rights and obligations created by the ADA and the Rehabilitation Act." </w:t>
      </w:r>
      <w:bookmarkStart w:id="7328" w:name="Bookmark_I5NK6D7F28T45B0020000400"/>
      <w:bookmarkEnd w:id="7328"/>
      <w:r>
        <w:rPr>
          <w:rFonts w:ascii="Arial" w:eastAsia="Arial" w:hAnsi="Arial" w:cs="Arial"/>
          <w:i/>
          <w:color w:val="000000"/>
          <w:sz w:val="20"/>
        </w:rPr>
        <w:t>Zukle v. Regents of Univ. of Cal.</w:t>
      </w:r>
      <w:r>
        <w:rPr>
          <w:rFonts w:ascii="Arial" w:eastAsia="Arial" w:hAnsi="Arial" w:cs="Arial"/>
          <w:color w:val="000000"/>
          <w:sz w:val="20"/>
        </w:rPr>
        <w:t xml:space="preserve">, 166 F.3d 1041, 1045 n.11 (9th Cir. 1999) (listing cases); </w:t>
      </w:r>
      <w:r>
        <w:rPr>
          <w:rFonts w:ascii="Arial" w:eastAsia="Arial" w:hAnsi="Arial" w:cs="Arial"/>
          <w:i/>
          <w:color w:val="000000"/>
          <w:sz w:val="20"/>
        </w:rPr>
        <w:t xml:space="preserve">see also </w:t>
      </w:r>
      <w:bookmarkStart w:id="7329" w:name="Bookmark_I5NK6D7F28T45B0040000400"/>
      <w:bookmarkEnd w:id="7329"/>
      <w:r>
        <w:rPr>
          <w:rFonts w:ascii="Arial" w:eastAsia="Arial" w:hAnsi="Arial" w:cs="Arial"/>
          <w:i/>
          <w:color w:val="000000"/>
          <w:sz w:val="20"/>
        </w:rPr>
        <w:t>Weinreich v. L.A. Cty. Metro. Transp. Auth.</w:t>
      </w:r>
      <w:r>
        <w:rPr>
          <w:rFonts w:ascii="Arial" w:eastAsia="Arial" w:hAnsi="Arial" w:cs="Arial"/>
          <w:color w:val="000000"/>
          <w:sz w:val="20"/>
        </w:rPr>
        <w:t>, 114 F.3d 976, 978 (9th Cir. 1997) ("Title II of the ADA was expressly modeled after Section 504 of the Rehabilitation Act.").</w:t>
      </w:r>
    </w:p>
    <w:p w:rsidR="00E456CD" w:rsidRDefault="00000000">
      <w:pPr>
        <w:pStyle w:val="Normal47"/>
        <w:widowControl w:val="0"/>
        <w:spacing w:before="200" w:line="260" w:lineRule="atLeast"/>
        <w:jc w:val="both"/>
      </w:pPr>
      <w:bookmarkStart w:id="7330" w:name="Bookmark_para_33_21"/>
      <w:bookmarkStart w:id="7331" w:name="Bookmark_I5NK6D7F2SF8D10020000400"/>
      <w:bookmarkEnd w:id="7330"/>
      <w:bookmarkEnd w:id="7331"/>
      <w:r>
        <w:rPr>
          <w:rFonts w:ascii="Arial" w:eastAsia="Arial" w:hAnsi="Arial" w:cs="Arial"/>
          <w:color w:val="000000"/>
          <w:sz w:val="20"/>
        </w:rPr>
        <w:t xml:space="preserve">Nothing in Title II or § 504 addresses claims for state-law indemnification [**24]  or contribution filed by a public entity against a contractor. In </w:t>
      </w:r>
      <w:r>
        <w:rPr>
          <w:rFonts w:ascii="Arial" w:eastAsia="Arial" w:hAnsi="Arial" w:cs="Arial"/>
          <w:i/>
          <w:color w:val="000000"/>
          <w:sz w:val="20"/>
        </w:rPr>
        <w:t>Equal Rights Center</w:t>
      </w:r>
      <w:r>
        <w:rPr>
          <w:rFonts w:ascii="Arial" w:eastAsia="Arial" w:hAnsi="Arial" w:cs="Arial"/>
          <w:color w:val="000000"/>
          <w:sz w:val="20"/>
        </w:rPr>
        <w:t xml:space="preserve">, the Fourth Circuit drew on its reasoning in </w:t>
      </w:r>
      <w:bookmarkStart w:id="7332" w:name="Bookmark_I5NK6D7F2SF8D10010000400"/>
      <w:bookmarkEnd w:id="7332"/>
      <w:r>
        <w:rPr>
          <w:rFonts w:ascii="Arial" w:eastAsia="Arial" w:hAnsi="Arial" w:cs="Arial"/>
          <w:i/>
          <w:color w:val="000000"/>
          <w:sz w:val="20"/>
        </w:rPr>
        <w:t>Baker, Watts &amp; Co. v. Miles &amp; Stockbridge</w:t>
      </w:r>
      <w:r>
        <w:rPr>
          <w:rFonts w:ascii="Arial" w:eastAsia="Arial" w:hAnsi="Arial" w:cs="Arial"/>
          <w:color w:val="000000"/>
          <w:sz w:val="20"/>
        </w:rPr>
        <w:t xml:space="preserve">, 876 F.2d 1101 (4th Cir. 1989), to nevertheless find contractual indemnification precluded. </w:t>
      </w:r>
      <w:bookmarkStart w:id="7333" w:name="Bookmark_I5NK6D7F2SF8D10040000400"/>
      <w:bookmarkEnd w:id="7333"/>
      <w:r>
        <w:rPr>
          <w:rFonts w:ascii="Arial" w:eastAsia="Arial" w:hAnsi="Arial" w:cs="Arial"/>
          <w:color w:val="000000"/>
          <w:sz w:val="20"/>
        </w:rPr>
        <w:t>It explained that</w:t>
      </w:r>
    </w:p>
    <w:p w:rsidR="00E456CD" w:rsidRDefault="00000000">
      <w:pPr>
        <w:pStyle w:val="Normal47"/>
        <w:widowControl w:val="0"/>
        <w:spacing w:before="200" w:line="260" w:lineRule="atLeast"/>
        <w:ind w:left="400"/>
        <w:jc w:val="both"/>
      </w:pPr>
      <w:bookmarkStart w:id="7334" w:name="Bookmark_para_34_19"/>
      <w:bookmarkStart w:id="7335" w:name="Bookmark_I5NK6D7F2SF8D10040000400_2"/>
      <w:bookmarkEnd w:id="7334"/>
      <w:bookmarkEnd w:id="7335"/>
      <w:r>
        <w:rPr>
          <w:rFonts w:ascii="Arial" w:eastAsia="Arial" w:hAnsi="Arial" w:cs="Arial"/>
          <w:color w:val="000000"/>
          <w:sz w:val="20"/>
        </w:rPr>
        <w:t xml:space="preserve">In holding the indemnification claim [in </w:t>
      </w:r>
      <w:r>
        <w:rPr>
          <w:rFonts w:ascii="Arial" w:eastAsia="Arial" w:hAnsi="Arial" w:cs="Arial"/>
          <w:i/>
          <w:color w:val="000000"/>
          <w:sz w:val="20"/>
        </w:rPr>
        <w:t>Baker, Watts &amp; Co.</w:t>
      </w:r>
      <w:r>
        <w:rPr>
          <w:rFonts w:ascii="Arial" w:eastAsia="Arial" w:hAnsi="Arial" w:cs="Arial"/>
          <w:color w:val="000000"/>
          <w:sz w:val="20"/>
        </w:rPr>
        <w:t xml:space="preserve">] preempted, we analyzed whether the claim represented an obstacle to the regulatory goals of the federal law. We explained that "Congress ha[d] not provided a right to indemnification in the federal securities laws under any circumstances." Furthermore, we emphasized the total nature of a claim for indemnity, concluding that "it would run counter to the basic policy of the federal securities laws to allow a securities wrongdoer . . . to shift its </w:t>
      </w:r>
      <w:r>
        <w:rPr>
          <w:rFonts w:ascii="Arial" w:eastAsia="Arial" w:hAnsi="Arial" w:cs="Arial"/>
          <w:i/>
          <w:color w:val="000000"/>
          <w:sz w:val="20"/>
        </w:rPr>
        <w:t>entire</w:t>
      </w:r>
      <w:r>
        <w:rPr>
          <w:rFonts w:ascii="Arial" w:eastAsia="Arial" w:hAnsi="Arial" w:cs="Arial"/>
          <w:color w:val="000000"/>
          <w:sz w:val="20"/>
        </w:rPr>
        <w:t xml:space="preserve"> responsibility for federal violations on the basis of a collateral state action for indemnification." As we explained, "[t]he goal of the 1933 and 1934 Acts is preventive as well as remedial, and 'denying indemnification encourages the reasonable care required by the federal securities provisions.'"</w:t>
      </w:r>
    </w:p>
    <w:p w:rsidR="00E456CD" w:rsidRDefault="00000000">
      <w:pPr>
        <w:pStyle w:val="Normal47"/>
        <w:widowControl w:val="0"/>
        <w:spacing w:before="200" w:line="260" w:lineRule="atLeast"/>
        <w:jc w:val="both"/>
      </w:pPr>
      <w:bookmarkStart w:id="7336" w:name="Bookmark_I5NK6D7F2SF8D10040000400_3"/>
      <w:bookmarkStart w:id="7337" w:name="Bookmark_I5NK6D7F2SF8D10030000400"/>
      <w:bookmarkEnd w:id="7336"/>
      <w:bookmarkEnd w:id="7337"/>
      <w:r>
        <w:rPr>
          <w:rFonts w:ascii="Arial" w:eastAsia="Arial" w:hAnsi="Arial" w:cs="Arial"/>
          <w:i/>
          <w:color w:val="000000"/>
          <w:sz w:val="20"/>
        </w:rPr>
        <w:t>Equal Rights Ctr.</w:t>
      </w:r>
      <w:r>
        <w:rPr>
          <w:rFonts w:ascii="Arial" w:eastAsia="Arial" w:hAnsi="Arial" w:cs="Arial"/>
          <w:color w:val="000000"/>
          <w:sz w:val="20"/>
        </w:rPr>
        <w:t xml:space="preserve">, 602 F.3d at 601 (internal citations omitted). To the extent that this analysis relies on congressional </w:t>
      </w:r>
      <w:r>
        <w:rPr>
          <w:rFonts w:ascii="Arial" w:eastAsia="Arial" w:hAnsi="Arial" w:cs="Arial"/>
          <w:i/>
          <w:color w:val="000000"/>
          <w:sz w:val="20"/>
        </w:rPr>
        <w:t>omission</w:t>
      </w:r>
      <w:r>
        <w:rPr>
          <w:rFonts w:ascii="Arial" w:eastAsia="Arial" w:hAnsi="Arial" w:cs="Arial"/>
          <w:color w:val="000000"/>
          <w:sz w:val="20"/>
        </w:rPr>
        <w:t xml:space="preserve"> of a federal cause of action for indemnification, it turns the presumption against preemption [**25]  on its head. </w:t>
      </w:r>
      <w:bookmarkStart w:id="7338" w:name="Bookmark_LNHNREFclscc20_5"/>
      <w:bookmarkEnd w:id="7338"/>
      <w:r>
        <w:rPr>
          <w:rFonts w:ascii="Arial" w:eastAsia="Arial" w:hAnsi="Arial" w:cs="Arial"/>
          <w:color w:val="000000"/>
          <w:sz w:val="20"/>
        </w:rPr>
        <w:t>The basic premise of the presumption is that absent an affirmative indication to the contrary, a federal regulation will not preempt state law. The failure to provide a federal analogue to a state-law cause of action does not meet this standard.</w:t>
      </w:r>
    </w:p>
    <w:p w:rsidR="00E456CD" w:rsidRDefault="00000000">
      <w:pPr>
        <w:pStyle w:val="Normal47"/>
        <w:widowControl w:val="0"/>
        <w:spacing w:before="200" w:line="260" w:lineRule="atLeast"/>
        <w:jc w:val="both"/>
      </w:pPr>
      <w:bookmarkStart w:id="7339" w:name="Bookmark_para_35_18"/>
      <w:bookmarkEnd w:id="7339"/>
      <w:r>
        <w:rPr>
          <w:rFonts w:ascii="Arial" w:eastAsia="Arial" w:hAnsi="Arial" w:cs="Arial"/>
          <w:color w:val="000000"/>
          <w:sz w:val="20"/>
        </w:rPr>
        <w:t xml:space="preserve">Any concern that a public entity will be able to contract out of Title II or § 504 compliance makes sense in the context of indemnification for an entity's failure to maintain appropriate policies and practices—in other words, for its failure to take action solely within its control, as was arguably the case in </w:t>
      </w:r>
      <w:r>
        <w:rPr>
          <w:rFonts w:ascii="Arial" w:eastAsia="Arial" w:hAnsi="Arial" w:cs="Arial"/>
          <w:i/>
          <w:color w:val="000000"/>
          <w:sz w:val="20"/>
        </w:rPr>
        <w:t>Equal Rights Center</w:t>
      </w:r>
      <w:r>
        <w:rPr>
          <w:rFonts w:ascii="Arial" w:eastAsia="Arial" w:hAnsi="Arial" w:cs="Arial"/>
          <w:color w:val="000000"/>
          <w:sz w:val="20"/>
        </w:rPr>
        <w:t>. Permitting a shift of liability to a party lacking the power to remedy the violation would frustrate the federal statutes' regulatory purpose. As we have stated in the Title III context of landlords and lessees,</w:t>
      </w:r>
    </w:p>
    <w:p w:rsidR="00E456CD" w:rsidRDefault="00000000">
      <w:pPr>
        <w:pStyle w:val="Normal47"/>
        <w:widowControl w:val="0"/>
        <w:spacing w:before="200" w:line="260" w:lineRule="atLeast"/>
        <w:ind w:left="400"/>
        <w:jc w:val="both"/>
      </w:pPr>
      <w:bookmarkStart w:id="7340" w:name="Bookmark_para_36_17"/>
      <w:bookmarkStart w:id="7341" w:name="Bookmark_LNHNREFclscc21_5"/>
      <w:bookmarkEnd w:id="7340"/>
      <w:bookmarkEnd w:id="7341"/>
      <w:r>
        <w:rPr>
          <w:rFonts w:ascii="Arial" w:eastAsia="Arial" w:hAnsi="Arial" w:cs="Arial"/>
          <w:color w:val="000000"/>
          <w:sz w:val="20"/>
        </w:rPr>
        <w:t xml:space="preserve">a covered entity may not use a contractual provision to reduce any of its obligations under [the ADA] . . . . [A] public accommodation's obligations are not extended or changed in any manner by virtue of its lease with the other entity. </w:t>
      </w:r>
      <w:bookmarkStart w:id="7342" w:name="Bookmark_I5NK6D7F2D6NRR0010000400"/>
      <w:bookmarkEnd w:id="7342"/>
      <w:r>
        <w:rPr>
          <w:rFonts w:ascii="Arial" w:eastAsia="Arial" w:hAnsi="Arial" w:cs="Arial"/>
          <w:color w:val="000000"/>
          <w:sz w:val="20"/>
        </w:rPr>
        <w:t xml:space="preserve">H.R.Rep. No. 101-485(II), at 104, </w:t>
      </w:r>
      <w:r>
        <w:rPr>
          <w:rFonts w:ascii="Arial" w:eastAsia="Arial" w:hAnsi="Arial" w:cs="Arial"/>
          <w:i/>
          <w:color w:val="000000"/>
          <w:sz w:val="20"/>
        </w:rPr>
        <w:t>reprinted in</w:t>
      </w:r>
      <w:r>
        <w:rPr>
          <w:rFonts w:ascii="Arial" w:eastAsia="Arial" w:hAnsi="Arial" w:cs="Arial"/>
          <w:color w:val="000000"/>
          <w:sz w:val="20"/>
        </w:rPr>
        <w:t xml:space="preserve"> 1990 U.S.C.C.A.N. 303, 387. The legislative history [of the ADA] confirms that a landlord has an independent obligation to comply [**26]  with the ADA that may not be eliminated by contract.</w:t>
      </w:r>
    </w:p>
    <w:p w:rsidR="00E456CD" w:rsidRDefault="00000000">
      <w:pPr>
        <w:pStyle w:val="Normal47"/>
        <w:widowControl w:val="0"/>
        <w:spacing w:before="200" w:line="260" w:lineRule="atLeast"/>
        <w:jc w:val="both"/>
      </w:pPr>
      <w:bookmarkStart w:id="7343" w:name="Bookmark_I5NK6D7F2D6NRR0010000400_2"/>
      <w:bookmarkStart w:id="7344" w:name="Bookmark_I5NK6D7F2SF8D10050000400"/>
      <w:bookmarkEnd w:id="7343"/>
      <w:bookmarkEnd w:id="7344"/>
      <w:r>
        <w:rPr>
          <w:rFonts w:ascii="Arial" w:eastAsia="Arial" w:hAnsi="Arial" w:cs="Arial"/>
          <w:i/>
          <w:color w:val="000000"/>
          <w:sz w:val="20"/>
        </w:rPr>
        <w:t>Botosan v. Paul McNally Realty</w:t>
      </w:r>
      <w:r>
        <w:rPr>
          <w:rFonts w:ascii="Arial" w:eastAsia="Arial" w:hAnsi="Arial" w:cs="Arial"/>
          <w:color w:val="000000"/>
          <w:sz w:val="20"/>
        </w:rPr>
        <w:t>, 216 F.3d 827, 833 (9th Cir. 2000). This principle applies equally to Title II's requirements for public services. Crucially, however, the third-party claims asserted by the City against Appellees do not seek to shift liability in such a manner.</w:t>
      </w:r>
    </w:p>
    <w:p w:rsidR="00E456CD" w:rsidRDefault="00000000">
      <w:pPr>
        <w:pStyle w:val="Normal47"/>
        <w:widowControl w:val="0"/>
        <w:spacing w:before="200" w:line="260" w:lineRule="atLeast"/>
        <w:jc w:val="both"/>
      </w:pPr>
      <w:bookmarkStart w:id="7345" w:name="Bookmark_para_37_16"/>
      <w:bookmarkStart w:id="7346" w:name="Bookmark_I0N2817M66F00001C0P0000D"/>
      <w:bookmarkStart w:id="7347" w:name="Bookmark_I5NK6D7F2D6NRR0030000400"/>
      <w:bookmarkEnd w:id="7345"/>
      <w:bookmarkEnd w:id="7346"/>
      <w:bookmarkEnd w:id="7347"/>
      <w:r>
        <w:rPr>
          <w:rFonts w:ascii="Arial" w:eastAsia="Arial" w:hAnsi="Arial" w:cs="Arial"/>
          <w:color w:val="000000"/>
          <w:sz w:val="20"/>
        </w:rPr>
        <w:t xml:space="preserve">Unlike the crossclaims at issue in </w:t>
      </w:r>
      <w:bookmarkStart w:id="7348" w:name="Bookmark_I5NK6D7F2D6NRR0020000400"/>
      <w:bookmarkEnd w:id="7348"/>
      <w:r>
        <w:rPr>
          <w:rFonts w:ascii="Arial" w:eastAsia="Arial" w:hAnsi="Arial" w:cs="Arial"/>
          <w:i/>
          <w:color w:val="000000"/>
          <w:sz w:val="20"/>
        </w:rPr>
        <w:t>Equal Rights Center</w:t>
      </w:r>
      <w:r>
        <w:rPr>
          <w:rFonts w:ascii="Arial" w:eastAsia="Arial" w:hAnsi="Arial" w:cs="Arial"/>
          <w:color w:val="000000"/>
          <w:sz w:val="20"/>
        </w:rPr>
        <w:t xml:space="preserve">, the City's third-party claim seeks only to collect for violations arising out of </w:t>
      </w:r>
      <w:r>
        <w:rPr>
          <w:rFonts w:ascii="Arial" w:eastAsia="Arial" w:hAnsi="Arial" w:cs="Arial"/>
          <w:i/>
          <w:color w:val="000000"/>
          <w:sz w:val="20"/>
        </w:rPr>
        <w:t>Appellees' own negligence or wrongdoing</w:t>
      </w:r>
      <w:r>
        <w:rPr>
          <w:rFonts w:ascii="Arial" w:eastAsia="Arial" w:hAnsi="Arial" w:cs="Arial"/>
          <w:color w:val="000000"/>
          <w:sz w:val="20"/>
        </w:rPr>
        <w:t xml:space="preserve">.  [*1161]  In this sense, though styled as a claim for "indemnification," the City functionally seeks contribution from Appellees. Allowing the City to seek redress for liability incurred by virtue of a third-party contractor's actions does not plausibly pose an obstacle to the intended purpose and effect of Title II or § 504. </w:t>
      </w:r>
      <w:bookmarkStart w:id="7349" w:name="Bookmark_I5NK6D7F2D6NRR0050000400"/>
      <w:bookmarkEnd w:id="7349"/>
      <w:r>
        <w:rPr>
          <w:rFonts w:ascii="Arial" w:eastAsia="Arial" w:hAnsi="Arial" w:cs="Arial"/>
          <w:color w:val="000000"/>
          <w:sz w:val="20"/>
        </w:rPr>
        <w:t xml:space="preserve">Rather, finding such claims precluded would itself hamper the statutes' regulatory purpose. </w:t>
      </w:r>
      <w:bookmarkStart w:id="7350" w:name="Bookmark_LNHNREFclscc22_4"/>
      <w:bookmarkEnd w:id="7350"/>
      <w:r>
        <w:rPr>
          <w:rFonts w:ascii="Arial" w:eastAsia="Arial" w:hAnsi="Arial" w:cs="Arial"/>
          <w:color w:val="000000"/>
          <w:sz w:val="20"/>
        </w:rPr>
        <w:t xml:space="preserve">The most a public entity may be able to do in furtherance of its duties under the respective acts may, in many situations, be to expressly contract for compliance (contractual provisions for which it will potentially have to pay a premium to the contractor). From there, the entity best situated to ensure full compliance may well be the contractor tasked [**27]  with designing or constructing the public resource in question, and precluding contract clauses for contribution reduces a contractor's incentives to do so. </w:t>
      </w:r>
      <w:r>
        <w:rPr>
          <w:rFonts w:ascii="Arial" w:eastAsia="Arial" w:hAnsi="Arial" w:cs="Arial"/>
          <w:i/>
          <w:color w:val="000000"/>
          <w:sz w:val="20"/>
        </w:rPr>
        <w:t xml:space="preserve">Cf. </w:t>
      </w:r>
      <w:bookmarkStart w:id="7351" w:name="Bookmark_I5NK6D7F2D6NRR0040000400"/>
      <w:bookmarkEnd w:id="7351"/>
      <w:r>
        <w:rPr>
          <w:rFonts w:ascii="Arial" w:eastAsia="Arial" w:hAnsi="Arial" w:cs="Arial"/>
          <w:i/>
          <w:color w:val="000000"/>
          <w:sz w:val="20"/>
        </w:rPr>
        <w:t>Baker, Watts &amp; Co.</w:t>
      </w:r>
      <w:r>
        <w:rPr>
          <w:rFonts w:ascii="Arial" w:eastAsia="Arial" w:hAnsi="Arial" w:cs="Arial"/>
          <w:color w:val="000000"/>
          <w:sz w:val="20"/>
        </w:rPr>
        <w:t xml:space="preserve">, 876 F.2d at 1107 (finding indemnification claims preempted by federal securities law, but stating that "Congress did not remove it from the power of a state to conclude that a state right to </w:t>
      </w:r>
      <w:r>
        <w:rPr>
          <w:rFonts w:ascii="Arial" w:eastAsia="Arial" w:hAnsi="Arial" w:cs="Arial"/>
          <w:i/>
          <w:color w:val="000000"/>
          <w:sz w:val="20"/>
        </w:rPr>
        <w:t>contribution</w:t>
      </w:r>
      <w:r>
        <w:rPr>
          <w:rFonts w:ascii="Arial" w:eastAsia="Arial" w:hAnsi="Arial" w:cs="Arial"/>
          <w:color w:val="000000"/>
          <w:sz w:val="20"/>
        </w:rPr>
        <w:t xml:space="preserve"> would further the regulatory purposes of the federal securities laws by holding all violators to account." (emphasis added)).</w:t>
      </w:r>
    </w:p>
    <w:p w:rsidR="00E456CD" w:rsidRDefault="00000000">
      <w:pPr>
        <w:pStyle w:val="Normal47"/>
        <w:widowControl w:val="0"/>
        <w:spacing w:before="200" w:line="260" w:lineRule="atLeast"/>
        <w:jc w:val="both"/>
      </w:pPr>
      <w:bookmarkStart w:id="7352" w:name="Bookmark_para_38_16"/>
      <w:bookmarkEnd w:id="7352"/>
      <w:r>
        <w:rPr>
          <w:rFonts w:ascii="Arial" w:eastAsia="Arial" w:hAnsi="Arial" w:cs="Arial"/>
          <w:color w:val="000000"/>
          <w:sz w:val="20"/>
        </w:rPr>
        <w:t xml:space="preserve">In sum, neither Title II of the ADA nor § 504 of the Rehabilitation Act preempt the City's state-law claims for </w:t>
      </w:r>
      <w:r>
        <w:rPr>
          <w:rFonts w:ascii="Arial" w:eastAsia="Arial" w:hAnsi="Arial" w:cs="Arial"/>
          <w:i/>
          <w:color w:val="000000"/>
          <w:sz w:val="20"/>
        </w:rPr>
        <w:t>de facto</w:t>
      </w:r>
      <w:r>
        <w:rPr>
          <w:rFonts w:ascii="Arial" w:eastAsia="Arial" w:hAnsi="Arial" w:cs="Arial"/>
          <w:color w:val="000000"/>
          <w:sz w:val="20"/>
        </w:rPr>
        <w:t xml:space="preserve"> contribution, however styled, against Appellees.</w:t>
      </w:r>
    </w:p>
    <w:p w:rsidR="00E456CD" w:rsidRDefault="00000000">
      <w:pPr>
        <w:pStyle w:val="Normal47"/>
        <w:widowControl w:val="0"/>
        <w:spacing w:before="240" w:line="260" w:lineRule="atLeast"/>
      </w:pPr>
      <w:r>
        <w:br/>
      </w:r>
      <w:r>
        <w:rPr>
          <w:rFonts w:ascii="Arial" w:eastAsia="Arial" w:hAnsi="Arial" w:cs="Arial"/>
          <w:b/>
          <w:color w:val="000000"/>
          <w:sz w:val="20"/>
        </w:rPr>
        <w:t>CONCLUSION</w:t>
      </w:r>
    </w:p>
    <w:p w:rsidR="00E456CD" w:rsidRDefault="00000000">
      <w:pPr>
        <w:pStyle w:val="Normal47"/>
        <w:widowControl w:val="0"/>
        <w:spacing w:before="200" w:line="260" w:lineRule="atLeast"/>
        <w:jc w:val="both"/>
      </w:pPr>
      <w:bookmarkStart w:id="7353" w:name="Bookmark_para_39_16"/>
      <w:bookmarkEnd w:id="7353"/>
      <w:r>
        <w:rPr>
          <w:rFonts w:ascii="Arial" w:eastAsia="Arial" w:hAnsi="Arial" w:cs="Arial"/>
          <w:color w:val="000000"/>
          <w:sz w:val="20"/>
        </w:rPr>
        <w:t>For the reasons set forth in this opinion, we REVERSE the district court's order dismissing the City's third-party claims, and REMAND for further proceedings consistent with this opinion.</w:t>
      </w:r>
    </w:p>
    <w:p w:rsidR="00E456CD" w:rsidRDefault="00E456CD">
      <w:pPr>
        <w:pStyle w:val="Normal47"/>
      </w:pPr>
    </w:p>
    <w:p w:rsidR="00E456CD" w:rsidRDefault="00000000">
      <w:pPr>
        <w:pStyle w:val="Normal47"/>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6064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515430049"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E2085" id="Line 103"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8"/>
        <w:sectPr w:rsidR="00E456CD">
          <w:headerReference w:type="even" r:id="rId295"/>
          <w:headerReference w:type="default" r:id="rId296"/>
          <w:footerReference w:type="even" r:id="rId297"/>
          <w:footerReference w:type="default" r:id="rId298"/>
          <w:headerReference w:type="first" r:id="rId299"/>
          <w:footerReference w:type="first" r:id="rId300"/>
          <w:pgSz w:w="12240" w:h="15840"/>
          <w:pgMar w:top="840" w:right="1000" w:bottom="840" w:left="1000" w:header="400" w:footer="400" w:gutter="0"/>
          <w:cols w:space="720"/>
          <w:titlePg/>
        </w:sectPr>
      </w:pPr>
    </w:p>
    <w:p w:rsidR="00E456CD" w:rsidRDefault="00E456CD">
      <w:pPr>
        <w:pStyle w:val="Normal48"/>
      </w:pPr>
    </w:p>
    <w:p w:rsidR="00E456CD" w:rsidRDefault="00000000">
      <w:pPr>
        <w:pStyle w:val="Heading147"/>
        <w:keepNext w:val="0"/>
        <w:widowControl w:val="0"/>
        <w:spacing w:after="200" w:line="340" w:lineRule="atLeast"/>
        <w:jc w:val="center"/>
      </w:pPr>
      <w:r>
        <w:rPr>
          <w:rFonts w:eastAsia="Arial"/>
          <w:color w:val="000000"/>
          <w:sz w:val="28"/>
        </w:rPr>
        <w:t>Berrett v. Clark Cnty. Sch. Dist. No. 161</w:t>
      </w:r>
    </w:p>
    <w:p w:rsidR="00E456CD" w:rsidRDefault="00000000">
      <w:pPr>
        <w:pStyle w:val="Normal48"/>
        <w:widowControl w:val="0"/>
        <w:spacing w:before="120" w:line="260" w:lineRule="atLeast"/>
        <w:jc w:val="center"/>
      </w:pPr>
      <w:r>
        <w:rPr>
          <w:rFonts w:ascii="Arial" w:eastAsia="Arial" w:hAnsi="Arial" w:cs="Arial"/>
          <w:color w:val="000000"/>
          <w:sz w:val="20"/>
        </w:rPr>
        <w:t>United States Court of Appeals for the Ninth Circuit</w:t>
      </w:r>
    </w:p>
    <w:p w:rsidR="00E456CD" w:rsidRDefault="00000000">
      <w:pPr>
        <w:pStyle w:val="Normal48"/>
        <w:widowControl w:val="0"/>
        <w:spacing w:before="120" w:line="260" w:lineRule="atLeast"/>
        <w:jc w:val="center"/>
      </w:pPr>
      <w:r>
        <w:rPr>
          <w:rFonts w:ascii="Arial" w:eastAsia="Arial" w:hAnsi="Arial" w:cs="Arial"/>
          <w:color w:val="000000"/>
          <w:sz w:val="20"/>
        </w:rPr>
        <w:t>March 9, 2017, Argued and Submitted, Seattle, Washington; March 17, 2017, Filed</w:t>
      </w:r>
    </w:p>
    <w:p w:rsidR="00E456CD" w:rsidRDefault="00000000">
      <w:pPr>
        <w:pStyle w:val="Normal48"/>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14-35894</w:t>
      </w:r>
    </w:p>
    <w:p w:rsidR="00E456CD" w:rsidRDefault="00E456CD">
      <w:pPr>
        <w:pStyle w:val="Normal48"/>
        <w:widowControl w:val="0"/>
        <w:spacing w:line="240" w:lineRule="atLeast"/>
        <w:jc w:val="both"/>
      </w:pPr>
      <w:bookmarkStart w:id="7354" w:name="Bookmark_49"/>
      <w:bookmarkEnd w:id="7354"/>
    </w:p>
    <w:p w:rsidR="00E456CD" w:rsidRDefault="00000000">
      <w:pPr>
        <w:pStyle w:val="Normal48"/>
        <w:widowControl w:val="0"/>
        <w:spacing w:before="200" w:line="240" w:lineRule="atLeast"/>
      </w:pPr>
      <w:bookmarkStart w:id="7355" w:name="Reporter_47"/>
      <w:bookmarkEnd w:id="7355"/>
      <w:r>
        <w:rPr>
          <w:rFonts w:ascii="Arial" w:eastAsia="Arial" w:hAnsi="Arial" w:cs="Arial"/>
          <w:b/>
          <w:color w:val="000000"/>
          <w:sz w:val="18"/>
        </w:rPr>
        <w:t>Reporter</w:t>
      </w:r>
    </w:p>
    <w:p w:rsidR="00E456CD" w:rsidRDefault="00000000">
      <w:pPr>
        <w:pStyle w:val="Normal48"/>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682 Fed. Appx. 623 *; 2017 U.S. App. LEXIS 4802 **; 2017 WL 1031357</w:t>
      </w:r>
    </w:p>
    <w:p w:rsidR="00E456CD" w:rsidRDefault="00000000">
      <w:pPr>
        <w:pStyle w:val="Normal48"/>
        <w:widowControl w:val="0"/>
        <w:spacing w:before="120" w:line="260" w:lineRule="atLeast"/>
      </w:pPr>
      <w:r>
        <w:rPr>
          <w:rFonts w:ascii="Arial" w:eastAsia="Arial" w:hAnsi="Arial" w:cs="Arial"/>
          <w:color w:val="000000"/>
          <w:sz w:val="20"/>
        </w:rPr>
        <w:t>RONALD RYAN BERRETT; LANIE BERRETT, Plaintiffs-Appellants, v. CLARK COUNTY SCHOOL DISTRICT NO. 161, Defendant-Appellee.</w:t>
      </w:r>
    </w:p>
    <w:p w:rsidR="00E456CD" w:rsidRDefault="00000000">
      <w:pPr>
        <w:pStyle w:val="Normal48"/>
        <w:widowControl w:val="0"/>
        <w:spacing w:before="240" w:line="260" w:lineRule="atLeast"/>
        <w:jc w:val="both"/>
      </w:pPr>
      <w:bookmarkStart w:id="7356" w:name="Notice_24"/>
      <w:bookmarkEnd w:id="7356"/>
      <w:r>
        <w:rPr>
          <w:rFonts w:ascii="Arial" w:eastAsia="Arial" w:hAnsi="Arial" w:cs="Arial"/>
          <w:b/>
          <w:color w:val="000000"/>
          <w:sz w:val="20"/>
        </w:rPr>
        <w:t>Notice:</w:t>
      </w:r>
      <w:r>
        <w:rPr>
          <w:rFonts w:ascii="Arial" w:eastAsia="Arial" w:hAnsi="Arial" w:cs="Arial"/>
          <w:color w:val="000000"/>
          <w:sz w:val="20"/>
        </w:rPr>
        <w:t> </w:t>
      </w:r>
      <w:bookmarkStart w:id="7357" w:name="Bookmark_para_1_47"/>
      <w:bookmarkEnd w:id="7357"/>
      <w:r>
        <w:rPr>
          <w:rFonts w:ascii="Arial" w:eastAsia="Arial" w:hAnsi="Arial" w:cs="Arial"/>
          <w:color w:val="000000"/>
          <w:sz w:val="20"/>
        </w:rPr>
        <w:t>PLEASE REFER TO FEDERAL RULES OF APPELLATE PROCEDURE RULE 32.1 GOVERNING THE CITATION TO UNPUBLISHED OPINIONS.</w:t>
      </w:r>
    </w:p>
    <w:p w:rsidR="00E456CD" w:rsidRDefault="00000000">
      <w:pPr>
        <w:pStyle w:val="Normal48"/>
        <w:widowControl w:val="0"/>
        <w:spacing w:before="240" w:line="260" w:lineRule="atLeast"/>
      </w:pPr>
      <w:bookmarkStart w:id="7358" w:name="Subsequent_History_20"/>
      <w:bookmarkEnd w:id="7358"/>
      <w:r>
        <w:rPr>
          <w:rFonts w:ascii="Arial" w:eastAsia="Arial" w:hAnsi="Arial" w:cs="Arial"/>
          <w:b/>
          <w:color w:val="000000"/>
          <w:sz w:val="20"/>
        </w:rPr>
        <w:t>Subsequent History:</w:t>
      </w:r>
      <w:r>
        <w:rPr>
          <w:rFonts w:ascii="Arial" w:eastAsia="Arial" w:hAnsi="Arial" w:cs="Arial"/>
          <w:color w:val="000000"/>
          <w:sz w:val="20"/>
        </w:rPr>
        <w:t> On remand at, Motion granted by, Dismissed without prejudice by Berrett v. Clark Cnty. Sch. Dist. No. 161, 2017 U.S. Dist. LEXIS 59159 (D. Idaho, Apr. 18, 2017)</w:t>
      </w:r>
    </w:p>
    <w:p w:rsidR="00E456CD" w:rsidRDefault="00000000">
      <w:pPr>
        <w:pStyle w:val="Normal48"/>
        <w:widowControl w:val="0"/>
        <w:spacing w:before="240" w:line="260" w:lineRule="atLeast"/>
        <w:jc w:val="both"/>
      </w:pPr>
      <w:bookmarkStart w:id="7359" w:name="Prior_History_47"/>
      <w:bookmarkEnd w:id="7359"/>
      <w:r>
        <w:rPr>
          <w:rFonts w:ascii="Arial" w:eastAsia="Arial" w:hAnsi="Arial" w:cs="Arial"/>
          <w:b/>
          <w:color w:val="000000"/>
          <w:sz w:val="20"/>
        </w:rPr>
        <w:t>Prior History:</w:t>
      </w:r>
      <w:r>
        <w:rPr>
          <w:rFonts w:ascii="Arial" w:eastAsia="Arial" w:hAnsi="Arial" w:cs="Arial"/>
          <w:color w:val="000000"/>
          <w:sz w:val="20"/>
        </w:rPr>
        <w:t> </w:t>
      </w:r>
      <w:bookmarkStart w:id="7360" w:name="Bookmark_para_2_47"/>
      <w:bookmarkEnd w:id="7360"/>
      <w:r>
        <w:rPr>
          <w:rFonts w:ascii="Arial" w:eastAsia="Arial" w:hAnsi="Arial" w:cs="Arial"/>
          <w:color w:val="000000"/>
          <w:sz w:val="20"/>
        </w:rPr>
        <w:t> [**1] Appeal from the United States District Court for the District of Idaho. D.C. No. 4:12-cv-00626-EJL-CWD. Edward J. Lodge, District Judge, Presiding.</w:t>
      </w:r>
    </w:p>
    <w:p w:rsidR="00E456CD" w:rsidRDefault="00000000">
      <w:pPr>
        <w:pStyle w:val="Normal48"/>
        <w:widowControl w:val="0"/>
        <w:spacing w:before="120" w:line="260" w:lineRule="atLeast"/>
      </w:pPr>
      <w:r>
        <w:rPr>
          <w:rFonts w:ascii="Arial" w:eastAsia="Arial" w:hAnsi="Arial" w:cs="Arial"/>
          <w:color w:val="000000"/>
          <w:sz w:val="20"/>
        </w:rPr>
        <w:t>Berrett v. Clark County Sch. Dist. No. 161, 2014 U.S. Dist. LEXIS 141308 (D. Idaho, Sept. 30, 2014)</w:t>
      </w:r>
    </w:p>
    <w:p w:rsidR="00E456CD" w:rsidRDefault="00000000">
      <w:pPr>
        <w:pStyle w:val="Normal48"/>
        <w:widowControl w:val="0"/>
        <w:spacing w:before="240" w:line="260" w:lineRule="atLeast"/>
        <w:jc w:val="both"/>
      </w:pPr>
      <w:bookmarkStart w:id="7361" w:name="Disposition_13"/>
      <w:bookmarkEnd w:id="7361"/>
      <w:r>
        <w:rPr>
          <w:rFonts w:ascii="Arial" w:eastAsia="Arial" w:hAnsi="Arial" w:cs="Arial"/>
          <w:b/>
          <w:color w:val="000000"/>
          <w:sz w:val="20"/>
        </w:rPr>
        <w:t>Disposition:</w:t>
      </w:r>
      <w:r>
        <w:rPr>
          <w:rFonts w:ascii="Arial" w:eastAsia="Arial" w:hAnsi="Arial" w:cs="Arial"/>
          <w:color w:val="000000"/>
          <w:sz w:val="20"/>
        </w:rPr>
        <w:t> </w:t>
      </w:r>
      <w:bookmarkStart w:id="7362" w:name="Bookmark_clspara_1_2"/>
      <w:bookmarkEnd w:id="7362"/>
      <w:r>
        <w:rPr>
          <w:rFonts w:ascii="Arial" w:eastAsia="Arial" w:hAnsi="Arial" w:cs="Arial"/>
          <w:color w:val="000000"/>
          <w:sz w:val="20"/>
        </w:rPr>
        <w:t>AFFIRMED IN PART, REVERSED IN PART, AND REMANDED.</w:t>
      </w:r>
    </w:p>
    <w:p w:rsidR="00E456CD" w:rsidRDefault="00000000">
      <w:pPr>
        <w:pStyle w:val="Normal48"/>
        <w:widowControl w:val="0"/>
        <w:spacing w:before="240" w:line="260" w:lineRule="atLeast"/>
      </w:pPr>
      <w:bookmarkStart w:id="7363" w:name="Counsel_47"/>
      <w:bookmarkEnd w:id="7363"/>
      <w:r>
        <w:rPr>
          <w:rFonts w:ascii="Arial" w:eastAsia="Arial" w:hAnsi="Arial" w:cs="Arial"/>
          <w:b/>
          <w:color w:val="000000"/>
          <w:sz w:val="20"/>
        </w:rPr>
        <w:t>Counsel:</w:t>
      </w:r>
      <w:r>
        <w:rPr>
          <w:rFonts w:ascii="Arial" w:eastAsia="Arial" w:hAnsi="Arial" w:cs="Arial"/>
          <w:color w:val="000000"/>
          <w:sz w:val="20"/>
        </w:rPr>
        <w:t> For RONALD RYAN BERRETT, LANIE BERRETT, Plaintiffs - Appellants: Jacob Scott Wessel, Thomsen Holman Wheiler, PLLC, Idaho Falls, ID.</w:t>
      </w:r>
    </w:p>
    <w:p w:rsidR="00E456CD" w:rsidRDefault="00000000">
      <w:pPr>
        <w:pStyle w:val="Normal48"/>
        <w:widowControl w:val="0"/>
        <w:spacing w:before="120" w:line="260" w:lineRule="atLeast"/>
      </w:pPr>
      <w:r>
        <w:rPr>
          <w:rFonts w:ascii="Arial" w:eastAsia="Arial" w:hAnsi="Arial" w:cs="Arial"/>
          <w:color w:val="000000"/>
          <w:sz w:val="20"/>
        </w:rPr>
        <w:t>For CLARK COUNTY SCHOOL DISTRICT NO. 161, Defendant - Appellee: Blake G. Hall, Hall Angell &amp; Associates, LLP, Idaho Falls, ID.</w:t>
      </w:r>
    </w:p>
    <w:p w:rsidR="00E456CD" w:rsidRDefault="00000000">
      <w:pPr>
        <w:pStyle w:val="Normal48"/>
        <w:widowControl w:val="0"/>
        <w:spacing w:before="240" w:line="260" w:lineRule="atLeast"/>
      </w:pPr>
      <w:bookmarkStart w:id="7364" w:name="Judges_47"/>
      <w:bookmarkEnd w:id="7364"/>
      <w:r>
        <w:rPr>
          <w:rFonts w:ascii="Arial" w:eastAsia="Arial" w:hAnsi="Arial" w:cs="Arial"/>
          <w:b/>
          <w:color w:val="000000"/>
          <w:sz w:val="20"/>
        </w:rPr>
        <w:t>Judges:</w:t>
      </w:r>
      <w:r>
        <w:rPr>
          <w:rFonts w:ascii="Arial" w:eastAsia="Arial" w:hAnsi="Arial" w:cs="Arial"/>
          <w:color w:val="000000"/>
          <w:sz w:val="20"/>
        </w:rPr>
        <w:t> Before: GRABER, IKUTA, and HURWITZ, Circuit Judges. IKUTA, Circuit Judge, dissenting in part.</w:t>
      </w:r>
    </w:p>
    <w:p w:rsidR="00E456CD" w:rsidRDefault="00000000">
      <w:pPr>
        <w:pStyle w:val="Normal48"/>
        <w:keepNext/>
        <w:widowControl w:val="0"/>
        <w:spacing w:before="240" w:line="340" w:lineRule="atLeast"/>
      </w:pPr>
      <w:bookmarkStart w:id="7365" w:name="Opinion_47"/>
      <w:bookmarkEnd w:id="7365"/>
      <w:r>
        <w:rPr>
          <w:rFonts w:ascii="Arial" w:eastAsia="Arial" w:hAnsi="Arial" w:cs="Arial"/>
          <w:b/>
          <w:color w:val="000000"/>
          <w:sz w:val="28"/>
        </w:rPr>
        <w:t>Opinion</w:t>
      </w:r>
    </w:p>
    <w:p w:rsidR="00E456CD" w:rsidRDefault="00E22289">
      <w:pPr>
        <w:pStyle w:val="Normal48"/>
        <w:spacing w:line="60" w:lineRule="exact"/>
      </w:pPr>
      <w:r>
        <w:rPr>
          <w:noProof/>
        </w:rPr>
        <mc:AlternateContent>
          <mc:Choice Requires="wps">
            <w:drawing>
              <wp:anchor distT="0" distB="0" distL="114300" distR="114300" simplePos="0" relativeHeight="25176166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951587359"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24494" id="Line 104"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8"/>
        <w:spacing w:line="120" w:lineRule="exact"/>
      </w:pPr>
    </w:p>
    <w:p w:rsidR="00E456CD" w:rsidRDefault="00000000">
      <w:pPr>
        <w:pStyle w:val="Normal48"/>
        <w:widowControl w:val="0"/>
        <w:spacing w:before="240" w:line="260" w:lineRule="atLeast"/>
      </w:pPr>
      <w:r>
        <w:br/>
      </w:r>
      <w:r>
        <w:rPr>
          <w:rFonts w:ascii="Arial" w:eastAsia="Arial" w:hAnsi="Arial" w:cs="Arial"/>
          <w:color w:val="000000"/>
          <w:sz w:val="20"/>
        </w:rPr>
        <w:t> [*624]  MEMORANDUM</w:t>
      </w:r>
      <w:r>
        <w:rPr>
          <w:rFonts w:ascii="Arial" w:eastAsia="Arial" w:hAnsi="Arial" w:cs="Arial"/>
          <w:vertAlign w:val="superscript"/>
        </w:rPr>
        <w:footnoteReference w:customMarkFollows="1" w:id="308"/>
        <w:t>*</w:t>
      </w:r>
    </w:p>
    <w:p w:rsidR="00E456CD" w:rsidRDefault="00000000">
      <w:pPr>
        <w:pStyle w:val="Normal48"/>
        <w:widowControl w:val="0"/>
        <w:spacing w:before="200" w:line="260" w:lineRule="atLeast"/>
        <w:jc w:val="both"/>
      </w:pPr>
      <w:bookmarkStart w:id="7367" w:name="Bookmark_para_3_47"/>
      <w:bookmarkEnd w:id="7367"/>
      <w:r>
        <w:rPr>
          <w:rFonts w:ascii="Arial" w:eastAsia="Arial" w:hAnsi="Arial" w:cs="Arial"/>
          <w:color w:val="000000"/>
          <w:sz w:val="20"/>
        </w:rPr>
        <w:t>Plaintiffs Ronald Ryan and Lanie Berrett appeal the district court's order granting summary judgment in favor of defendant Clark County School District (Clark County). We have jurisdiction under 28 U.S.C. § 1291.</w:t>
      </w:r>
    </w:p>
    <w:p w:rsidR="00E456CD" w:rsidRDefault="00000000">
      <w:pPr>
        <w:pStyle w:val="Normal48"/>
        <w:widowControl w:val="0"/>
        <w:spacing w:before="200" w:line="260" w:lineRule="atLeast"/>
        <w:jc w:val="both"/>
      </w:pPr>
      <w:bookmarkStart w:id="7368" w:name="Bookmark_para_4_47"/>
      <w:bookmarkStart w:id="7369" w:name="Bookmark_I5N9361N2D6N1D0020000400"/>
      <w:bookmarkEnd w:id="7368"/>
      <w:bookmarkEnd w:id="7369"/>
      <w:r>
        <w:rPr>
          <w:rFonts w:ascii="Arial" w:eastAsia="Arial" w:hAnsi="Arial" w:cs="Arial"/>
          <w:color w:val="000000"/>
          <w:sz w:val="20"/>
        </w:rPr>
        <w:t xml:space="preserve">The district court erred in granting Clark County's motion for summary judgment on Mr. Berrett's claim for retaliatory discharge under the Idaho Protection of Public Employees Act (Idaho Whistleblower Act). Mr. Berrett established a prima facie case of retaliatory conduct by presenting evidence that: he engaged in protected activity by reporting "a violation or suspected violation of a law," Idaho Code § 6-2104(1)(a); he suffered an "adverse action" when he was terminated, [**2]  </w:t>
      </w:r>
      <w:r>
        <w:rPr>
          <w:rFonts w:ascii="Arial" w:eastAsia="Arial" w:hAnsi="Arial" w:cs="Arial"/>
          <w:i/>
          <w:color w:val="000000"/>
          <w:sz w:val="20"/>
        </w:rPr>
        <w:t>id.</w:t>
      </w:r>
      <w:r>
        <w:rPr>
          <w:rFonts w:ascii="Arial" w:eastAsia="Arial" w:hAnsi="Arial" w:cs="Arial"/>
          <w:color w:val="000000"/>
          <w:sz w:val="20"/>
        </w:rPr>
        <w:t xml:space="preserve"> § 6-2103(1); and the "close relation in time" between them, among other factors, suggests he may have been fired for reporting the propane issue. </w:t>
      </w:r>
      <w:bookmarkStart w:id="7370" w:name="Bookmark_I5N9361N2D6N1D0040000400"/>
      <w:bookmarkStart w:id="7371" w:name="Bookmark_I5N9361N2D6N1D0010000400"/>
      <w:bookmarkEnd w:id="7370"/>
      <w:bookmarkEnd w:id="7371"/>
      <w:r>
        <w:rPr>
          <w:rFonts w:ascii="Arial" w:eastAsia="Arial" w:hAnsi="Arial" w:cs="Arial"/>
          <w:i/>
          <w:color w:val="000000"/>
          <w:sz w:val="20"/>
        </w:rPr>
        <w:t>Curlee v. Kootenai Cty. Fire &amp; Rescue</w:t>
      </w:r>
      <w:r>
        <w:rPr>
          <w:rFonts w:ascii="Arial" w:eastAsia="Arial" w:hAnsi="Arial" w:cs="Arial"/>
          <w:color w:val="000000"/>
          <w:sz w:val="20"/>
        </w:rPr>
        <w:t xml:space="preserve">, 148 Idaho 391, 397, 224 P.3d 458 (2008). </w:t>
      </w:r>
      <w:bookmarkStart w:id="7372" w:name="Bookmark_I5N9361N2D6N1D0040000400_2"/>
      <w:bookmarkEnd w:id="7372"/>
      <w:r>
        <w:rPr>
          <w:rFonts w:ascii="Arial" w:eastAsia="Arial" w:hAnsi="Arial" w:cs="Arial"/>
          <w:color w:val="000000"/>
          <w:sz w:val="20"/>
        </w:rPr>
        <w:t xml:space="preserve">This is sufficient to create a genuine issue of material fact to survive summary judgment. </w:t>
      </w:r>
      <w:bookmarkStart w:id="7373" w:name="Bookmark_I5N9361N2D6N1D0030000400"/>
      <w:bookmarkEnd w:id="7373"/>
      <w:r>
        <w:rPr>
          <w:rFonts w:ascii="Arial" w:eastAsia="Arial" w:hAnsi="Arial" w:cs="Arial"/>
          <w:i/>
          <w:color w:val="000000"/>
          <w:sz w:val="20"/>
        </w:rPr>
        <w:t>Id.</w:t>
      </w:r>
      <w:r>
        <w:rPr>
          <w:rFonts w:ascii="Arial" w:eastAsia="Arial" w:hAnsi="Arial" w:cs="Arial"/>
          <w:color w:val="000000"/>
          <w:sz w:val="20"/>
        </w:rPr>
        <w:t xml:space="preserve"> at 396 (holding that the </w:t>
      </w:r>
      <w:r>
        <w:rPr>
          <w:rFonts w:ascii="Arial" w:eastAsia="Arial" w:hAnsi="Arial" w:cs="Arial"/>
          <w:i/>
          <w:color w:val="000000"/>
          <w:sz w:val="20"/>
        </w:rPr>
        <w:t>McDonnell Douglas</w:t>
      </w:r>
      <w:r>
        <w:rPr>
          <w:rFonts w:ascii="Arial" w:eastAsia="Arial" w:hAnsi="Arial" w:cs="Arial"/>
          <w:color w:val="000000"/>
          <w:sz w:val="20"/>
        </w:rPr>
        <w:t xml:space="preserve"> burden-shifting framework does not apply to claims under the Idaho Whistleblower Act at the summary judgment stage).</w:t>
      </w:r>
    </w:p>
    <w:p w:rsidR="00E456CD" w:rsidRDefault="00000000">
      <w:pPr>
        <w:pStyle w:val="Normal48"/>
        <w:widowControl w:val="0"/>
        <w:spacing w:before="200" w:line="260" w:lineRule="atLeast"/>
        <w:jc w:val="both"/>
      </w:pPr>
      <w:bookmarkStart w:id="7374" w:name="Bookmark_para_5_47"/>
      <w:bookmarkEnd w:id="7374"/>
      <w:r>
        <w:rPr>
          <w:rFonts w:ascii="Arial" w:eastAsia="Arial" w:hAnsi="Arial" w:cs="Arial"/>
          <w:color w:val="000000"/>
          <w:sz w:val="20"/>
        </w:rPr>
        <w:t>The district court correctly held that Ms. Berrett did not engage in any protected activity and therefore cannot bring a claim under the Idaho Whistleblower Act. However, the court failed to address Ms. Berrett's common law claim for termination in violation of public policy—that is, firing her in retaliation for her husband's statutorily protected whistleblower activity—and should consider on remand whether  [*625]  this claim also survives summary judgment.</w:t>
      </w:r>
    </w:p>
    <w:p w:rsidR="00E456CD" w:rsidRDefault="00000000">
      <w:pPr>
        <w:pStyle w:val="Normal48"/>
        <w:widowControl w:val="0"/>
        <w:spacing w:before="200" w:line="260" w:lineRule="atLeast"/>
        <w:jc w:val="both"/>
      </w:pPr>
      <w:bookmarkStart w:id="7375" w:name="Bookmark_para_6_47"/>
      <w:bookmarkStart w:id="7376" w:name="Bookmark_I5N9361N2D6N1F0010000400"/>
      <w:bookmarkEnd w:id="7375"/>
      <w:bookmarkEnd w:id="7376"/>
      <w:r>
        <w:rPr>
          <w:rFonts w:ascii="Arial" w:eastAsia="Arial" w:hAnsi="Arial" w:cs="Arial"/>
          <w:color w:val="000000"/>
          <w:sz w:val="20"/>
        </w:rPr>
        <w:t xml:space="preserve">The district court did not err in granting Clark County's motion for summary judgment on the Berretts' claims under the Americans with Disabilities Act of 1990 (ADA), because the Berretts failed to raise a genuine issue of material fact as to whether they were terminated "because of [Mr. Berrett's] disability." </w:t>
      </w:r>
      <w:bookmarkStart w:id="7377" w:name="Bookmark_I5N9361N2D6N1D0050000400"/>
      <w:bookmarkEnd w:id="7377"/>
      <w:r>
        <w:rPr>
          <w:rFonts w:ascii="Arial" w:eastAsia="Arial" w:hAnsi="Arial" w:cs="Arial"/>
          <w:i/>
          <w:color w:val="000000"/>
          <w:sz w:val="20"/>
        </w:rPr>
        <w:t>Allen v. Pacific Bell</w:t>
      </w:r>
      <w:r>
        <w:rPr>
          <w:rFonts w:ascii="Arial" w:eastAsia="Arial" w:hAnsi="Arial" w:cs="Arial"/>
          <w:color w:val="000000"/>
          <w:sz w:val="20"/>
        </w:rPr>
        <w:t>, 348 F.3d 1113, 1114 (9th Cir. 2003) (per curiam). The Berretts also argue that they [**3]  were terminated for Mr. Berrett's reasonable accommodation requests but failed to produce evidence supporting this theory.</w:t>
      </w:r>
    </w:p>
    <w:p w:rsidR="00E456CD" w:rsidRDefault="00000000">
      <w:pPr>
        <w:pStyle w:val="Normal48"/>
        <w:widowControl w:val="0"/>
        <w:spacing w:before="200" w:line="260" w:lineRule="atLeast"/>
        <w:jc w:val="both"/>
      </w:pPr>
      <w:bookmarkStart w:id="7378" w:name="Bookmark_para_7_46"/>
      <w:bookmarkEnd w:id="7378"/>
      <w:r>
        <w:rPr>
          <w:rFonts w:ascii="Arial" w:eastAsia="Arial" w:hAnsi="Arial" w:cs="Arial"/>
          <w:color w:val="000000"/>
          <w:sz w:val="20"/>
        </w:rPr>
        <w:t>Nor did the district court err in granting Clark County's motion for summary judgment on the Berretts' claims under the Fair Housing Act. Clark County provided evidence that the Berretts were evicted because they were no longer employees, and the Berretts do not offer any direct or circumstantial evidence that they were evicted because of Mr. Berrett's disability. Nor is there a genuine issue of material fact as to whether Clark County raised the Berretts' rent or altered the Berretts' payment policy because of Mr. Berrett's disability. Although Clark County asserted that it changed the Berretts' payment policy to avoid raising Mr. Berrett's income to the point where he would lose his disability benefits, such economic considerations do not constitute discrimination based on disability.</w:t>
      </w:r>
    </w:p>
    <w:p w:rsidR="00E456CD" w:rsidRDefault="00000000">
      <w:pPr>
        <w:pStyle w:val="Normal48"/>
        <w:widowControl w:val="0"/>
        <w:spacing w:before="200" w:line="260" w:lineRule="atLeast"/>
        <w:jc w:val="both"/>
      </w:pPr>
      <w:bookmarkStart w:id="7379" w:name="Bookmark_para_8_46"/>
      <w:bookmarkStart w:id="7380" w:name="Bookmark_I5N9361N2D6N1F0030000400"/>
      <w:bookmarkEnd w:id="7379"/>
      <w:bookmarkEnd w:id="7380"/>
      <w:r>
        <w:rPr>
          <w:rFonts w:ascii="Arial" w:eastAsia="Arial" w:hAnsi="Arial" w:cs="Arial"/>
          <w:color w:val="000000"/>
          <w:sz w:val="20"/>
        </w:rPr>
        <w:t xml:space="preserve">Finally, the district court did not err by declining to rule on evidentiary objections that were not "material to its ruling." </w:t>
      </w:r>
      <w:bookmarkStart w:id="7381" w:name="Bookmark_I5N9361N2D6N1F0020000400"/>
      <w:bookmarkEnd w:id="7381"/>
      <w:r>
        <w:rPr>
          <w:rFonts w:ascii="Arial" w:eastAsia="Arial" w:hAnsi="Arial" w:cs="Arial"/>
          <w:i/>
          <w:color w:val="000000"/>
          <w:sz w:val="20"/>
        </w:rPr>
        <w:t>Norse v. City of Santa Cruz</w:t>
      </w:r>
      <w:r>
        <w:rPr>
          <w:rFonts w:ascii="Arial" w:eastAsia="Arial" w:hAnsi="Arial" w:cs="Arial"/>
          <w:color w:val="000000"/>
          <w:sz w:val="20"/>
        </w:rPr>
        <w:t>, 629 F.3d 966, 973 (9th Cir. 2010) (en banc).</w:t>
      </w:r>
    </w:p>
    <w:p w:rsidR="00E456CD" w:rsidRDefault="00000000">
      <w:pPr>
        <w:pStyle w:val="Normal48"/>
        <w:widowControl w:val="0"/>
        <w:spacing w:before="200" w:line="260" w:lineRule="atLeast"/>
        <w:jc w:val="both"/>
      </w:pPr>
      <w:bookmarkStart w:id="7382" w:name="Bookmark_para_9_45"/>
      <w:bookmarkEnd w:id="7382"/>
      <w:r>
        <w:rPr>
          <w:rFonts w:ascii="Arial" w:eastAsia="Arial" w:hAnsi="Arial" w:cs="Arial"/>
          <w:color w:val="000000"/>
          <w:sz w:val="20"/>
        </w:rPr>
        <w:t>The parties shall bear their own costs on appeal.</w:t>
      </w:r>
    </w:p>
    <w:p w:rsidR="00E456CD" w:rsidRDefault="00000000">
      <w:pPr>
        <w:pStyle w:val="Normal48"/>
        <w:widowControl w:val="0"/>
        <w:spacing w:before="200" w:line="260" w:lineRule="atLeast"/>
        <w:jc w:val="both"/>
      </w:pPr>
      <w:bookmarkStart w:id="7383" w:name="Bookmark_para_10_43"/>
      <w:bookmarkEnd w:id="7383"/>
      <w:r>
        <w:rPr>
          <w:rFonts w:ascii="Arial" w:eastAsia="Arial" w:hAnsi="Arial" w:cs="Arial"/>
          <w:b/>
          <w:color w:val="000000"/>
          <w:sz w:val="20"/>
        </w:rPr>
        <w:t>AFFIRMED IN PART, REVERSED IN PART, AND REMANDED</w:t>
      </w:r>
      <w:r>
        <w:rPr>
          <w:rFonts w:ascii="Arial" w:eastAsia="Arial" w:hAnsi="Arial" w:cs="Arial"/>
          <w:color w:val="000000"/>
          <w:sz w:val="20"/>
        </w:rPr>
        <w:t>.</w:t>
      </w:r>
    </w:p>
    <w:p w:rsidR="00E456CD" w:rsidRDefault="00000000">
      <w:pPr>
        <w:pStyle w:val="Normal48"/>
        <w:widowControl w:val="0"/>
        <w:spacing w:before="240" w:line="260" w:lineRule="atLeast"/>
      </w:pPr>
      <w:bookmarkStart w:id="7384" w:name="Dissent_by_2"/>
      <w:bookmarkEnd w:id="7384"/>
      <w:r>
        <w:rPr>
          <w:rFonts w:ascii="Arial" w:eastAsia="Arial" w:hAnsi="Arial" w:cs="Arial"/>
          <w:b/>
          <w:color w:val="000000"/>
          <w:sz w:val="20"/>
        </w:rPr>
        <w:t>Dissent by:</w:t>
      </w:r>
      <w:r>
        <w:rPr>
          <w:rFonts w:ascii="Arial" w:eastAsia="Arial" w:hAnsi="Arial" w:cs="Arial"/>
          <w:color w:val="000000"/>
          <w:sz w:val="20"/>
        </w:rPr>
        <w:t> IKUTA (In Part)</w:t>
      </w:r>
    </w:p>
    <w:p w:rsidR="00E456CD" w:rsidRDefault="00000000">
      <w:pPr>
        <w:pStyle w:val="Normal48"/>
        <w:keepNext/>
        <w:widowControl w:val="0"/>
        <w:spacing w:before="240" w:line="340" w:lineRule="atLeast"/>
      </w:pPr>
      <w:bookmarkStart w:id="7385" w:name="Dissent_2"/>
      <w:bookmarkEnd w:id="7385"/>
      <w:r>
        <w:rPr>
          <w:rFonts w:ascii="Arial" w:eastAsia="Arial" w:hAnsi="Arial" w:cs="Arial"/>
          <w:b/>
          <w:color w:val="000000"/>
          <w:sz w:val="28"/>
        </w:rPr>
        <w:t>Dissent</w:t>
      </w:r>
    </w:p>
    <w:p w:rsidR="00E456CD" w:rsidRDefault="00E22289">
      <w:pPr>
        <w:pStyle w:val="Normal48"/>
        <w:spacing w:line="60" w:lineRule="exact"/>
      </w:pPr>
      <w:r>
        <w:rPr>
          <w:noProof/>
        </w:rPr>
        <mc:AlternateContent>
          <mc:Choice Requires="wps">
            <w:drawing>
              <wp:anchor distT="0" distB="0" distL="114300" distR="114300" simplePos="0" relativeHeight="25176268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019773964"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1029E" id="Line 105"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8"/>
      </w:pPr>
    </w:p>
    <w:p w:rsidR="00E456CD" w:rsidRDefault="00000000">
      <w:pPr>
        <w:pStyle w:val="Normal48"/>
        <w:widowControl w:val="0"/>
        <w:spacing w:before="200" w:line="260" w:lineRule="atLeast"/>
        <w:jc w:val="both"/>
      </w:pPr>
      <w:bookmarkStart w:id="7386" w:name="Bookmark_para_11_41"/>
      <w:bookmarkEnd w:id="7386"/>
      <w:r>
        <w:rPr>
          <w:rFonts w:ascii="Arial" w:eastAsia="Arial" w:hAnsi="Arial" w:cs="Arial"/>
          <w:color w:val="000000"/>
          <w:sz w:val="20"/>
        </w:rPr>
        <w:t>IKUTA, Circuit Judge, dissenting [**4]  in part:</w:t>
      </w:r>
    </w:p>
    <w:p w:rsidR="00E456CD" w:rsidRDefault="00000000">
      <w:pPr>
        <w:pStyle w:val="Normal48"/>
        <w:widowControl w:val="0"/>
        <w:spacing w:before="200" w:line="260" w:lineRule="atLeast"/>
        <w:jc w:val="both"/>
      </w:pPr>
      <w:bookmarkStart w:id="7387" w:name="Bookmark_para_12_40"/>
      <w:bookmarkEnd w:id="7387"/>
      <w:r>
        <w:rPr>
          <w:rFonts w:ascii="Arial" w:eastAsia="Arial" w:hAnsi="Arial" w:cs="Arial"/>
          <w:color w:val="000000"/>
          <w:sz w:val="20"/>
        </w:rPr>
        <w:t>I disagree only with the majority's ruling that the district court failed to address Ms. Berrett's claim relating to public policy. The district court reasonably addressed (and rejected) this claim to the extent Ms. Berrett raised and argued it.</w:t>
      </w:r>
    </w:p>
    <w:p w:rsidR="00E456CD" w:rsidRDefault="00000000">
      <w:pPr>
        <w:pStyle w:val="Normal48"/>
        <w:widowControl w:val="0"/>
        <w:spacing w:before="200" w:line="260" w:lineRule="atLeast"/>
        <w:jc w:val="both"/>
      </w:pPr>
      <w:bookmarkStart w:id="7388" w:name="Bookmark_para_13_38"/>
      <w:bookmarkEnd w:id="7388"/>
      <w:r>
        <w:rPr>
          <w:rFonts w:ascii="Arial" w:eastAsia="Arial" w:hAnsi="Arial" w:cs="Arial"/>
          <w:color w:val="000000"/>
          <w:sz w:val="20"/>
        </w:rPr>
        <w:t>The Berretts argued that they were terminated in violation of public policy both under the Idaho Whistleblower Act and as a common law claim. But Ms. Berrett did not explain how she established the elements of either the statutory or common law claim. In their complaint, the Berretts merely claimed that "Plaintiffs' terminations from employment were also a common law action that is contrary to the public policy of the State of Idaho." In their opposition to Clark County's motion for summary judgment, the Berretts claimed only that "they were terminated in violation of public policy, the ADA and Idaho Code § 6-2101 et seq." Moreover, their opposition conceded that the public policy exception is triggered "only where an employee is terminated for engaging in some protected activity," and the "claimed public policy generally must be rooted in 'case law or statutory language.'" Ms. Berrett did not claim that the public policy exception is triggered when an employee [**5]  is terminated due to the employee's spouse's engaging in protected activity, and she failed to point to any case law or statutory language so holding.</w:t>
      </w:r>
    </w:p>
    <w:p w:rsidR="00E456CD" w:rsidRDefault="00000000">
      <w:pPr>
        <w:pStyle w:val="Normal48"/>
        <w:widowControl w:val="0"/>
        <w:spacing w:before="200" w:line="260" w:lineRule="atLeast"/>
        <w:jc w:val="both"/>
      </w:pPr>
      <w:bookmarkStart w:id="7389" w:name="Bookmark_para_14_37"/>
      <w:bookmarkEnd w:id="7389"/>
      <w:r>
        <w:rPr>
          <w:rFonts w:ascii="Arial" w:eastAsia="Arial" w:hAnsi="Arial" w:cs="Arial"/>
          <w:color w:val="000000"/>
          <w:sz w:val="20"/>
        </w:rPr>
        <w:t>The district court addressed Ms. Berrett's claim and rejected it. The court held that "Ms. Berrett's situation in the school lunchroom" did not qualify as "'protected activities' that would be covered under the public policy exception to the at-will doctrine or under the Whistleblower Act." Noting that "Ms. Berrett has not provided facts to support her termination violated  [*626]  public policy or was due to any concerns she raised under the Whistleblower Act," the court expressly dismissed her statutory claim and implicitly dismissed her common law claim. Any error in failing to expressly dismiss her common law claim was harmless.</w:t>
      </w:r>
    </w:p>
    <w:p w:rsidR="00E456CD" w:rsidRDefault="00000000">
      <w:pPr>
        <w:pStyle w:val="Normal48"/>
        <w:widowControl w:val="0"/>
        <w:spacing w:before="200" w:line="260" w:lineRule="atLeast"/>
        <w:jc w:val="both"/>
      </w:pPr>
      <w:bookmarkStart w:id="7390" w:name="Bookmark_para_15_37"/>
      <w:bookmarkStart w:id="7391" w:name="Bookmark_I4GW5RH2M5G000RKF9M0000P"/>
      <w:bookmarkStart w:id="7392" w:name="Bookmark_I4GW5RH2T8B000RKF9M0000R"/>
      <w:bookmarkStart w:id="7393" w:name="Bookmark_I5N9361N2D6N1F0050000400"/>
      <w:bookmarkEnd w:id="7390"/>
      <w:bookmarkEnd w:id="7391"/>
      <w:bookmarkEnd w:id="7392"/>
      <w:bookmarkEnd w:id="7393"/>
      <w:r>
        <w:rPr>
          <w:rFonts w:ascii="Arial" w:eastAsia="Arial" w:hAnsi="Arial" w:cs="Arial"/>
          <w:color w:val="000000"/>
          <w:sz w:val="20"/>
        </w:rPr>
        <w:t xml:space="preserve">On appeal, Ms. Berrett argues at length that the proffered reason for her termination (budget exceedances) was pretextual, but does not provide any argument or authority supporting a contention that she was fired in violation of Idaho public policy because her spouse engaging in protected activity. Because "[w]e will not manufacture arguments for an appellant, and a bare assertion does not preserve a claim," </w:t>
      </w:r>
      <w:bookmarkStart w:id="7394" w:name="Bookmark_I5N9361N2D6N1F0040000400"/>
      <w:bookmarkEnd w:id="7394"/>
      <w:r>
        <w:rPr>
          <w:rFonts w:ascii="Arial" w:eastAsia="Arial" w:hAnsi="Arial" w:cs="Arial"/>
          <w:i/>
          <w:color w:val="000000"/>
          <w:sz w:val="20"/>
        </w:rPr>
        <w:t>Greenwood v. FAA</w:t>
      </w:r>
      <w:r>
        <w:rPr>
          <w:rFonts w:ascii="Arial" w:eastAsia="Arial" w:hAnsi="Arial" w:cs="Arial"/>
          <w:color w:val="000000"/>
          <w:sz w:val="20"/>
        </w:rPr>
        <w:t xml:space="preserve">, 28 F.3d 971, 977 (9th Cir. 1994), Ms. Berrett [**6]  has waived the argument the majority reserves for her, </w:t>
      </w:r>
      <w:r>
        <w:rPr>
          <w:rFonts w:ascii="Arial" w:eastAsia="Arial" w:hAnsi="Arial" w:cs="Arial"/>
          <w:i/>
          <w:color w:val="000000"/>
          <w:sz w:val="20"/>
        </w:rPr>
        <w:t xml:space="preserve">see </w:t>
      </w:r>
      <w:bookmarkStart w:id="7395" w:name="Bookmark_I5N9361P2HM63B0010000400"/>
      <w:bookmarkEnd w:id="7395"/>
      <w:r>
        <w:rPr>
          <w:rFonts w:ascii="Arial" w:eastAsia="Arial" w:hAnsi="Arial" w:cs="Arial"/>
          <w:i/>
          <w:color w:val="000000"/>
          <w:sz w:val="20"/>
        </w:rPr>
        <w:t>Martinez-Serrano v. INS</w:t>
      </w:r>
      <w:r>
        <w:rPr>
          <w:rFonts w:ascii="Arial" w:eastAsia="Arial" w:hAnsi="Arial" w:cs="Arial"/>
          <w:color w:val="000000"/>
          <w:sz w:val="20"/>
        </w:rPr>
        <w:t>, 94 F.3d 1256, 1259 (9th Cir. 1996). Accordingly, remand is unwarranted on Ms. Berrett's common law claim. Therefore, I respectfully dissent in part.</w:t>
      </w:r>
    </w:p>
    <w:p w:rsidR="00E456CD" w:rsidRDefault="00E456CD">
      <w:pPr>
        <w:pStyle w:val="Normal48"/>
      </w:pPr>
    </w:p>
    <w:p w:rsidR="00E456CD" w:rsidRDefault="00000000">
      <w:pPr>
        <w:pStyle w:val="Normal48"/>
        <w:ind w:left="200"/>
        <w:sectPr w:rsidR="00E456CD">
          <w:type w:val="continuous"/>
          <w:pgSz w:w="12240" w:h="15840"/>
          <w:pgMar w:top="840" w:right="1000" w:bottom="840" w:left="1000" w:header="400" w:footer="400" w:gutter="0"/>
          <w:cols w:num="2" w:space="240"/>
        </w:sectPr>
      </w:pPr>
      <w:r>
        <w:br/>
      </w:r>
      <w:r w:rsidR="00E22289">
        <w:rPr>
          <w:noProof/>
        </w:rPr>
        <mc:AlternateContent>
          <mc:Choice Requires="wps">
            <w:drawing>
              <wp:anchor distT="0" distB="0" distL="114300" distR="114300" simplePos="0" relativeHeight="25176371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722353457"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4CC05" id="Line 106"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E456CD" w:rsidRDefault="00E456CD">
      <w:pPr>
        <w:pStyle w:val="Normal49"/>
        <w:sectPr w:rsidR="00E456CD">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gutter="0"/>
          <w:cols w:space="720"/>
          <w:titlePg/>
        </w:sectPr>
      </w:pPr>
    </w:p>
    <w:p w:rsidR="00E456CD" w:rsidRDefault="00E456CD">
      <w:pPr>
        <w:pStyle w:val="Normal49"/>
      </w:pPr>
    </w:p>
    <w:p w:rsidR="00E456CD" w:rsidRDefault="00000000">
      <w:pPr>
        <w:pStyle w:val="Heading148"/>
        <w:keepNext w:val="0"/>
        <w:widowControl w:val="0"/>
        <w:spacing w:after="200" w:line="340" w:lineRule="atLeast"/>
        <w:jc w:val="center"/>
      </w:pPr>
      <w:r>
        <w:rPr>
          <w:rFonts w:eastAsia="Arial"/>
          <w:color w:val="000000"/>
          <w:sz w:val="28"/>
        </w:rPr>
        <w:t>Campbell v. Lamar Inst. of Tech.</w:t>
      </w:r>
    </w:p>
    <w:p w:rsidR="00E456CD" w:rsidRDefault="00000000">
      <w:pPr>
        <w:pStyle w:val="Normal49"/>
        <w:widowControl w:val="0"/>
        <w:spacing w:before="120" w:line="260" w:lineRule="atLeast"/>
        <w:jc w:val="center"/>
      </w:pPr>
      <w:r>
        <w:rPr>
          <w:rFonts w:ascii="Arial" w:eastAsia="Arial" w:hAnsi="Arial" w:cs="Arial"/>
          <w:color w:val="000000"/>
          <w:sz w:val="20"/>
        </w:rPr>
        <w:t>United States Court of Appeals for the Fifth Circuit</w:t>
      </w:r>
    </w:p>
    <w:p w:rsidR="00E456CD" w:rsidRDefault="00000000">
      <w:pPr>
        <w:pStyle w:val="Normal49"/>
        <w:widowControl w:val="0"/>
        <w:spacing w:before="120" w:line="260" w:lineRule="atLeast"/>
        <w:jc w:val="center"/>
      </w:pPr>
      <w:r>
        <w:rPr>
          <w:rFonts w:ascii="Arial" w:eastAsia="Arial" w:hAnsi="Arial" w:cs="Arial"/>
          <w:color w:val="000000"/>
          <w:sz w:val="20"/>
        </w:rPr>
        <w:t>November 23, 2016, Filed</w:t>
      </w:r>
    </w:p>
    <w:p w:rsidR="00E456CD" w:rsidRDefault="00000000">
      <w:pPr>
        <w:pStyle w:val="Normal49"/>
        <w:widowControl w:val="0"/>
        <w:spacing w:before="120" w:line="260" w:lineRule="atLeast"/>
        <w:jc w:val="center"/>
        <w:sectPr w:rsidR="00E456CD">
          <w:type w:val="continuous"/>
          <w:pgSz w:w="12240" w:h="15840"/>
          <w:pgMar w:top="840" w:right="1000" w:bottom="840" w:left="1000" w:header="400" w:footer="400" w:gutter="0"/>
          <w:cols w:space="240"/>
        </w:sectPr>
      </w:pPr>
      <w:r>
        <w:rPr>
          <w:rFonts w:ascii="Arial" w:eastAsia="Arial" w:hAnsi="Arial" w:cs="Arial"/>
          <w:color w:val="000000"/>
          <w:sz w:val="20"/>
        </w:rPr>
        <w:t>No. 15-41294</w:t>
      </w:r>
    </w:p>
    <w:p w:rsidR="00E456CD" w:rsidRDefault="00E456CD">
      <w:pPr>
        <w:pStyle w:val="Normal49"/>
        <w:widowControl w:val="0"/>
        <w:spacing w:line="240" w:lineRule="atLeast"/>
        <w:jc w:val="both"/>
      </w:pPr>
      <w:bookmarkStart w:id="7396" w:name="Bookmark_50"/>
      <w:bookmarkEnd w:id="7396"/>
    </w:p>
    <w:p w:rsidR="00E456CD" w:rsidRDefault="00000000">
      <w:pPr>
        <w:pStyle w:val="Normal49"/>
        <w:widowControl w:val="0"/>
        <w:spacing w:before="200" w:line="240" w:lineRule="atLeast"/>
      </w:pPr>
      <w:bookmarkStart w:id="7397" w:name="Reporter_48"/>
      <w:bookmarkEnd w:id="7397"/>
      <w:r>
        <w:rPr>
          <w:rFonts w:ascii="Arial" w:eastAsia="Arial" w:hAnsi="Arial" w:cs="Arial"/>
          <w:b/>
          <w:color w:val="000000"/>
          <w:sz w:val="18"/>
        </w:rPr>
        <w:t>Reporter</w:t>
      </w:r>
    </w:p>
    <w:p w:rsidR="00E456CD" w:rsidRDefault="00000000">
      <w:pPr>
        <w:pStyle w:val="Normal49"/>
        <w:widowControl w:val="0"/>
        <w:spacing w:line="240" w:lineRule="atLeast"/>
        <w:sectPr w:rsidR="00E456CD">
          <w:type w:val="continuous"/>
          <w:pgSz w:w="12240" w:h="15840"/>
          <w:pgMar w:top="840" w:right="1000" w:bottom="840" w:left="1000" w:header="400" w:footer="400" w:gutter="0"/>
          <w:cols w:space="240"/>
        </w:sectPr>
      </w:pPr>
      <w:r>
        <w:rPr>
          <w:rFonts w:ascii="Arial" w:eastAsia="Arial" w:hAnsi="Arial" w:cs="Arial"/>
          <w:color w:val="000000"/>
          <w:sz w:val="18"/>
        </w:rPr>
        <w:t>842 F.3d 375 *; 2016 U.S. App. LEXIS 21146 **</w:t>
      </w:r>
    </w:p>
    <w:p w:rsidR="00E456CD" w:rsidRDefault="00000000">
      <w:pPr>
        <w:pStyle w:val="Normal49"/>
        <w:widowControl w:val="0"/>
        <w:spacing w:before="120" w:line="260" w:lineRule="atLeast"/>
      </w:pPr>
      <w:r>
        <w:rPr>
          <w:rFonts w:ascii="Arial" w:eastAsia="Arial" w:hAnsi="Arial" w:cs="Arial"/>
          <w:color w:val="000000"/>
          <w:sz w:val="20"/>
        </w:rPr>
        <w:t>RUSSELL CAMPBELL, Plaintiff - Appellant v. LAMAR INSTITUTE OF TECHNOLOGY; REBECCA COLE, in her official capacity; VIVIAN JEFFERSON, in her official capacity; DOCTOR BETTY REYNARD, in her official capacity; GWEN WALDEN, in her official capacity, Defendants - Appellees</w:t>
      </w:r>
    </w:p>
    <w:p w:rsidR="00E456CD" w:rsidRDefault="00000000">
      <w:pPr>
        <w:pStyle w:val="Normal49"/>
        <w:widowControl w:val="0"/>
        <w:spacing w:before="240" w:line="260" w:lineRule="atLeast"/>
      </w:pPr>
      <w:bookmarkStart w:id="7398" w:name="Subsequent_History_21"/>
      <w:bookmarkEnd w:id="7398"/>
      <w:r>
        <w:rPr>
          <w:rFonts w:ascii="Arial" w:eastAsia="Arial" w:hAnsi="Arial" w:cs="Arial"/>
          <w:b/>
          <w:color w:val="000000"/>
          <w:sz w:val="20"/>
        </w:rPr>
        <w:t>Subsequent History:</w:t>
      </w:r>
      <w:r>
        <w:rPr>
          <w:rFonts w:ascii="Arial" w:eastAsia="Arial" w:hAnsi="Arial" w:cs="Arial"/>
          <w:color w:val="000000"/>
          <w:sz w:val="20"/>
        </w:rPr>
        <w:t> US Supreme Court certiorari denied by Campbell v. Lamar Inst. of Tech., 137 S. Ct. 2198, 198 L. Ed. 2d 256, 2017 U.S. LEXIS 3508 (U.S., May 30, 2017)</w:t>
      </w:r>
    </w:p>
    <w:p w:rsidR="00E456CD" w:rsidRDefault="00000000">
      <w:pPr>
        <w:pStyle w:val="Normal49"/>
        <w:widowControl w:val="0"/>
        <w:spacing w:before="240" w:line="260" w:lineRule="atLeast"/>
        <w:jc w:val="both"/>
      </w:pPr>
      <w:bookmarkStart w:id="7399" w:name="Prior_History_48"/>
      <w:bookmarkEnd w:id="7399"/>
      <w:r>
        <w:rPr>
          <w:rFonts w:ascii="Arial" w:eastAsia="Arial" w:hAnsi="Arial" w:cs="Arial"/>
          <w:b/>
          <w:color w:val="000000"/>
          <w:sz w:val="20"/>
        </w:rPr>
        <w:t>Prior History:</w:t>
      </w:r>
      <w:r>
        <w:rPr>
          <w:rFonts w:ascii="Arial" w:eastAsia="Arial" w:hAnsi="Arial" w:cs="Arial"/>
          <w:color w:val="000000"/>
          <w:sz w:val="20"/>
        </w:rPr>
        <w:t> </w:t>
      </w:r>
      <w:bookmarkStart w:id="7400" w:name="Bookmark_para_1_48"/>
      <w:bookmarkEnd w:id="7400"/>
      <w:r>
        <w:rPr>
          <w:rFonts w:ascii="Arial" w:eastAsia="Arial" w:hAnsi="Arial" w:cs="Arial"/>
          <w:color w:val="000000"/>
          <w:sz w:val="20"/>
        </w:rPr>
        <w:t> [**1] Appeal from the United States District Court for the Eastern District of Texas.</w:t>
      </w:r>
    </w:p>
    <w:p w:rsidR="00E456CD" w:rsidRDefault="00000000">
      <w:pPr>
        <w:pStyle w:val="Normal49"/>
        <w:widowControl w:val="0"/>
        <w:spacing w:before="120" w:line="260" w:lineRule="atLeast"/>
      </w:pPr>
      <w:r>
        <w:rPr>
          <w:rFonts w:ascii="Arial" w:eastAsia="Arial" w:hAnsi="Arial" w:cs="Arial"/>
          <w:color w:val="000000"/>
          <w:sz w:val="20"/>
        </w:rPr>
        <w:t>Campbell v. Lamar Inst. of Tech., 2015 U.S. Dist. LEXIS 194447 (E.D. Tex., Aug. 13, 2015)</w:t>
      </w:r>
    </w:p>
    <w:p w:rsidR="00E456CD" w:rsidRDefault="00000000">
      <w:pPr>
        <w:pStyle w:val="Normal49"/>
        <w:widowControl w:val="0"/>
        <w:spacing w:before="240" w:line="260" w:lineRule="atLeast"/>
      </w:pPr>
      <w:bookmarkStart w:id="7401" w:name="Counsel_48"/>
      <w:bookmarkEnd w:id="7401"/>
      <w:r>
        <w:rPr>
          <w:rFonts w:ascii="Arial" w:eastAsia="Arial" w:hAnsi="Arial" w:cs="Arial"/>
          <w:b/>
          <w:color w:val="000000"/>
          <w:sz w:val="20"/>
        </w:rPr>
        <w:t>Counsel:</w:t>
      </w:r>
      <w:r>
        <w:rPr>
          <w:rFonts w:ascii="Arial" w:eastAsia="Arial" w:hAnsi="Arial" w:cs="Arial"/>
          <w:color w:val="000000"/>
          <w:sz w:val="20"/>
        </w:rPr>
        <w:t> For RUSSELL CAMPBELL, Plaintiff - Appellant: Laurence Wade Watts, Watts &amp; Company Lawyers, Limited, Missouri City, TX.</w:t>
      </w:r>
    </w:p>
    <w:p w:rsidR="00E456CD" w:rsidRDefault="00000000">
      <w:pPr>
        <w:pStyle w:val="Normal49"/>
        <w:widowControl w:val="0"/>
        <w:spacing w:before="120" w:line="260" w:lineRule="atLeast"/>
      </w:pPr>
      <w:r>
        <w:rPr>
          <w:rFonts w:ascii="Arial" w:eastAsia="Arial" w:hAnsi="Arial" w:cs="Arial"/>
          <w:color w:val="000000"/>
          <w:sz w:val="20"/>
        </w:rPr>
        <w:t>For LAMAR INSTITUTE OF TECHNOLOGY, REBECCA COLE, in her official capacity, VIVIAN JEFFERSON, in her official capacity, DOCTOR BETTY REYNARD, in her official capacity, GWEN WALDEN, in her official capacity, Defendants - Appellees: Susan Marie Watson, Assistant Attorney General, Benjamin Lindberg Dower, Office of the Attorney General for the State of Texas, Austin, TX; Kelli C. Fuqua, Assistant Attorney General, Office of the Attorney General, General Litigation Division, Austin, TX.</w:t>
      </w:r>
    </w:p>
    <w:p w:rsidR="00E456CD" w:rsidRDefault="00000000">
      <w:pPr>
        <w:pStyle w:val="Normal49"/>
        <w:widowControl w:val="0"/>
        <w:spacing w:before="240" w:line="260" w:lineRule="atLeast"/>
      </w:pPr>
      <w:bookmarkStart w:id="7402" w:name="Judges_48"/>
      <w:bookmarkEnd w:id="7402"/>
      <w:r>
        <w:rPr>
          <w:rFonts w:ascii="Arial" w:eastAsia="Arial" w:hAnsi="Arial" w:cs="Arial"/>
          <w:b/>
          <w:color w:val="000000"/>
          <w:sz w:val="20"/>
        </w:rPr>
        <w:t>Judges:</w:t>
      </w:r>
      <w:r>
        <w:rPr>
          <w:rFonts w:ascii="Arial" w:eastAsia="Arial" w:hAnsi="Arial" w:cs="Arial"/>
          <w:color w:val="000000"/>
          <w:sz w:val="20"/>
        </w:rPr>
        <w:t> Before JONES, DENNIS, and PRADO, Circuit Judges.</w:t>
      </w:r>
    </w:p>
    <w:p w:rsidR="00E456CD" w:rsidRDefault="00000000">
      <w:pPr>
        <w:pStyle w:val="Normal49"/>
        <w:widowControl w:val="0"/>
        <w:spacing w:before="240" w:line="260" w:lineRule="atLeast"/>
      </w:pPr>
      <w:bookmarkStart w:id="7403" w:name="Opinion_by_30"/>
      <w:bookmarkEnd w:id="7403"/>
      <w:r>
        <w:rPr>
          <w:rFonts w:ascii="Arial" w:eastAsia="Arial" w:hAnsi="Arial" w:cs="Arial"/>
          <w:b/>
          <w:color w:val="000000"/>
          <w:sz w:val="20"/>
        </w:rPr>
        <w:t>Opinion by:</w:t>
      </w:r>
      <w:r>
        <w:rPr>
          <w:rFonts w:ascii="Arial" w:eastAsia="Arial" w:hAnsi="Arial" w:cs="Arial"/>
          <w:color w:val="000000"/>
          <w:sz w:val="20"/>
        </w:rPr>
        <w:t> EDITH H. JONES</w:t>
      </w:r>
    </w:p>
    <w:p w:rsidR="00E456CD" w:rsidRDefault="00000000">
      <w:pPr>
        <w:pStyle w:val="Normal49"/>
        <w:keepNext/>
        <w:widowControl w:val="0"/>
        <w:spacing w:before="240" w:line="340" w:lineRule="atLeast"/>
      </w:pPr>
      <w:bookmarkStart w:id="7404" w:name="Opinion_48"/>
      <w:bookmarkEnd w:id="7404"/>
      <w:r>
        <w:rPr>
          <w:rFonts w:ascii="Arial" w:eastAsia="Arial" w:hAnsi="Arial" w:cs="Arial"/>
          <w:b/>
          <w:color w:val="000000"/>
          <w:sz w:val="28"/>
        </w:rPr>
        <w:t>Opinion</w:t>
      </w:r>
    </w:p>
    <w:p w:rsidR="00E456CD" w:rsidRDefault="00E22289">
      <w:pPr>
        <w:pStyle w:val="Normal49"/>
        <w:spacing w:line="60" w:lineRule="exact"/>
      </w:pPr>
      <w:r>
        <w:rPr>
          <w:noProof/>
        </w:rPr>
        <mc:AlternateContent>
          <mc:Choice Requires="wps">
            <w:drawing>
              <wp:anchor distT="0" distB="0" distL="114300" distR="114300" simplePos="0" relativeHeight="25176473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748819547"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F8B6B" id="Line 107"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E456CD" w:rsidRDefault="00E456CD">
      <w:pPr>
        <w:pStyle w:val="Normal49"/>
      </w:pPr>
    </w:p>
    <w:p w:rsidR="00E456CD" w:rsidRDefault="00000000">
      <w:pPr>
        <w:pStyle w:val="Normal49"/>
        <w:widowControl w:val="0"/>
        <w:spacing w:before="200" w:line="260" w:lineRule="atLeast"/>
        <w:jc w:val="both"/>
      </w:pPr>
      <w:bookmarkStart w:id="7405" w:name="Bookmark_para_2_48"/>
      <w:bookmarkEnd w:id="7405"/>
      <w:r>
        <w:rPr>
          <w:rFonts w:ascii="Arial" w:eastAsia="Arial" w:hAnsi="Arial" w:cs="Arial"/>
          <w:color w:val="000000"/>
          <w:sz w:val="20"/>
        </w:rPr>
        <w:t> [*377]  EDITH H. JONES, Circuit Judge:</w:t>
      </w:r>
    </w:p>
    <w:p w:rsidR="00E456CD" w:rsidRDefault="00000000">
      <w:pPr>
        <w:pStyle w:val="Normal49"/>
        <w:widowControl w:val="0"/>
        <w:spacing w:before="200" w:line="260" w:lineRule="atLeast"/>
        <w:jc w:val="both"/>
      </w:pPr>
      <w:bookmarkStart w:id="7406" w:name="Bookmark_para_3_48"/>
      <w:bookmarkEnd w:id="7406"/>
      <w:r>
        <w:rPr>
          <w:rFonts w:ascii="Arial" w:eastAsia="Arial" w:hAnsi="Arial" w:cs="Arial"/>
          <w:color w:val="000000"/>
          <w:sz w:val="20"/>
        </w:rPr>
        <w:t>In this appeal, plaintiff-appellant Russell Campbell challenges the district court's dismissal of his Americans with Disabilities Act and Rehabilitation Act claims. Campbell's claims are based on defendant-appellee Lamar Institute of Technology's (LIT) failure to grant his requested disability accommodation. Eleventh Amendment immunity does not bar the Rehabilitation Act claim. Because LIT's denial of Campbell's accommodation request was reasonable, [**2]  we AFFIRM the district court's grant of summary judgment in favor of LIT.</w:t>
      </w:r>
    </w:p>
    <w:p w:rsidR="00E456CD" w:rsidRDefault="00000000">
      <w:pPr>
        <w:pStyle w:val="Normal49"/>
        <w:widowControl w:val="0"/>
        <w:spacing w:before="240" w:line="260" w:lineRule="atLeast"/>
      </w:pPr>
      <w:r>
        <w:br/>
      </w:r>
      <w:r>
        <w:rPr>
          <w:rFonts w:ascii="Arial" w:eastAsia="Arial" w:hAnsi="Arial" w:cs="Arial"/>
          <w:b/>
          <w:color w:val="000000"/>
          <w:sz w:val="20"/>
        </w:rPr>
        <w:t>BACKGROUND</w:t>
      </w:r>
    </w:p>
    <w:p w:rsidR="00E456CD" w:rsidRDefault="00000000">
      <w:pPr>
        <w:pStyle w:val="Normal49"/>
        <w:widowControl w:val="0"/>
        <w:spacing w:before="200" w:line="260" w:lineRule="atLeast"/>
        <w:jc w:val="both"/>
      </w:pPr>
      <w:bookmarkStart w:id="7407" w:name="Bookmark_para_4_48"/>
      <w:bookmarkEnd w:id="7407"/>
      <w:r>
        <w:rPr>
          <w:rFonts w:ascii="Arial" w:eastAsia="Arial" w:hAnsi="Arial" w:cs="Arial"/>
          <w:color w:val="000000"/>
          <w:sz w:val="20"/>
        </w:rPr>
        <w:t>Russell Campbell is a former student at Lamar Institute of Technology (LIT) where he earned an Associate's Degree in Emergency Medical Services (EMS) and subsequently enrolled in LIT's Respiratory Care Program. Due to an anoxic brain injury, Campbell struggles to retain and process information. While he was enrolled in the EMS program, LIT accommodated his learning disability by extending time for all of his exams and providing a laptop and a recorder to help with note-taking during class. In addition, on her own initiative, one of Campbell's professors, Stephanie Lanoue, created a unique accommodation by permitting Campbell to take two exams: one at the same time as the rest of the class and a second exam—which was different, but covered the same material—two weeks later.</w:t>
      </w:r>
    </w:p>
    <w:p w:rsidR="00E456CD" w:rsidRDefault="00000000">
      <w:pPr>
        <w:pStyle w:val="Normal49"/>
        <w:widowControl w:val="0"/>
        <w:spacing w:before="200" w:line="260" w:lineRule="atLeast"/>
        <w:jc w:val="both"/>
      </w:pPr>
      <w:bookmarkStart w:id="7408" w:name="Bookmark_para_5_48"/>
      <w:bookmarkEnd w:id="7408"/>
      <w:r>
        <w:rPr>
          <w:rFonts w:ascii="Arial" w:eastAsia="Arial" w:hAnsi="Arial" w:cs="Arial"/>
          <w:color w:val="000000"/>
          <w:sz w:val="20"/>
        </w:rPr>
        <w:t>In response to his declining performance, Campbell met with Rebecca Cole, the Coordinator of Special Populations Programs, to request another accommodation. In addition to the accommodations he was already receiving, Campbell requested that, similar to his arrangement with Professor Lanoue, he be permitted to take two exams in each [**3]  class: one at the same time as the other students and another two weeks later. Alternatively, he requested two extra weeks of study time after the other students had taken the exam (which would also require creation of a second exam to prevent cheating). In support of his request, he offered a doctor's note, which stated that "he needs a week to two weeks to retain new information prior to testing over that material."</w:t>
      </w:r>
    </w:p>
    <w:p w:rsidR="00E456CD" w:rsidRDefault="00000000">
      <w:pPr>
        <w:pStyle w:val="Normal49"/>
        <w:widowControl w:val="0"/>
        <w:spacing w:before="200" w:line="260" w:lineRule="atLeast"/>
        <w:jc w:val="both"/>
      </w:pPr>
      <w:bookmarkStart w:id="7409" w:name="Bookmark_para_6_48"/>
      <w:bookmarkEnd w:id="7409"/>
      <w:r>
        <w:rPr>
          <w:rFonts w:ascii="Arial" w:eastAsia="Arial" w:hAnsi="Arial" w:cs="Arial"/>
          <w:color w:val="000000"/>
          <w:sz w:val="20"/>
        </w:rPr>
        <w:t>Cole consulted with Dr. Jefferson, the Vice President of Student Services, and with other vice presidents of other Texas State University schools. Cole and Jefferson determined that Campbell's requested additional accommodation would be unreasonable because it would give Campbell an unfair advantage over his classmates and would burden professors by requiring them to modify their teaching or testing schedules. They then met with Campbell and his wife to explain why they denied his request, but stated that he could ask individual instructors to accommodate him, as instructors have discretion to make accommodations beyond those required by the Special Populations office. During this meeting, Campbell's wife inquired about withdrawal from LIT, stating that she and Campbell [**4]  discussed this route as an option to preserve his GPA. Dr. Jefferson additionally told Campbell that if he was unhappy with this decision, he could contact Dr. Reynard, the Vice President of Academic Affairs.</w:t>
      </w:r>
    </w:p>
    <w:p w:rsidR="00E456CD" w:rsidRDefault="00000000">
      <w:pPr>
        <w:pStyle w:val="Normal49"/>
        <w:widowControl w:val="0"/>
        <w:spacing w:before="200" w:line="260" w:lineRule="atLeast"/>
        <w:jc w:val="both"/>
      </w:pPr>
      <w:bookmarkStart w:id="7410" w:name="Bookmark_para_7_47"/>
      <w:bookmarkEnd w:id="7410"/>
      <w:r>
        <w:rPr>
          <w:rFonts w:ascii="Arial" w:eastAsia="Arial" w:hAnsi="Arial" w:cs="Arial"/>
          <w:color w:val="000000"/>
          <w:sz w:val="20"/>
        </w:rPr>
        <w:t>Campbell met with one of his instructors, Gwen Walden, to ask whether she would nevertheless provide his requested accommodation and to discuss his health.  [*378]  She told him that she was scared for his well-being and that his bluish skin tone indicated dangerously low levels of oxygen, which can lead to fainting or death. Walden also told him that she would meet with other instructors to discuss his accommodation.</w:t>
      </w:r>
    </w:p>
    <w:p w:rsidR="00E456CD" w:rsidRDefault="00000000">
      <w:pPr>
        <w:pStyle w:val="Normal49"/>
        <w:widowControl w:val="0"/>
        <w:spacing w:before="200" w:line="260" w:lineRule="atLeast"/>
        <w:jc w:val="both"/>
      </w:pPr>
      <w:bookmarkStart w:id="7411" w:name="Bookmark_para_8_47"/>
      <w:bookmarkEnd w:id="7411"/>
      <w:r>
        <w:rPr>
          <w:rFonts w:ascii="Arial" w:eastAsia="Arial" w:hAnsi="Arial" w:cs="Arial"/>
          <w:color w:val="000000"/>
          <w:sz w:val="20"/>
        </w:rPr>
        <w:t>A few days later, Campbell met with these instructors to consider an individualized plan for success. While instructors were standing, they informed him that they would only provide him with the originally approved accommodations and would not alter the testing schedule. Given that he had several days of absences and had missed many exams, Walden expressed concern about whether Campbell would be able to catch up in class. Campbell then expressed interest in dropping his courses to preserve his GPA as well as entering into cognitive therapy to improve his memory and address [**5]  other health issues; Walden agreed that this would be a good plan. Campbell withdrew from LIT later that day.</w:t>
      </w:r>
    </w:p>
    <w:p w:rsidR="00E456CD" w:rsidRDefault="00000000">
      <w:pPr>
        <w:pStyle w:val="Normal49"/>
        <w:widowControl w:val="0"/>
        <w:spacing w:before="200" w:line="260" w:lineRule="atLeast"/>
        <w:jc w:val="both"/>
      </w:pPr>
      <w:bookmarkStart w:id="7412" w:name="Bookmark_para_9_46"/>
      <w:bookmarkEnd w:id="7412"/>
      <w:r>
        <w:rPr>
          <w:rFonts w:ascii="Arial" w:eastAsia="Arial" w:hAnsi="Arial" w:cs="Arial"/>
          <w:color w:val="000000"/>
          <w:sz w:val="20"/>
        </w:rPr>
        <w:t>Shortly thereafter, Campbell filed a grievance to the Dean of Instruction based upon the denial of his requested accommodations. The Dean forwarded that email to Reynard. Less than a month later, Reynard responded to the grievance and stated that LIT would provide reasonable accommodations supported by medical documentation and would waive tuition and fees for the next semester. Campbell rejected this offer. In his deposition, Campbell stated that he would not return to LIT because he does not feel wanted.</w:t>
      </w:r>
    </w:p>
    <w:p w:rsidR="00E456CD" w:rsidRDefault="00000000">
      <w:pPr>
        <w:pStyle w:val="Normal49"/>
        <w:widowControl w:val="0"/>
        <w:spacing w:before="200" w:line="260" w:lineRule="atLeast"/>
        <w:jc w:val="both"/>
      </w:pPr>
      <w:bookmarkStart w:id="7413" w:name="Bookmark_para_10_44"/>
      <w:bookmarkEnd w:id="7413"/>
      <w:r>
        <w:rPr>
          <w:rFonts w:ascii="Arial" w:eastAsia="Arial" w:hAnsi="Arial" w:cs="Arial"/>
          <w:color w:val="000000"/>
          <w:sz w:val="20"/>
        </w:rPr>
        <w:t>Nine months later, Campbell filed this lawsuit, contending that LIT's denial of his requested accommodation violated Title II of the Americans with Disabilities Act (ADA) and § 504 of the Rehabilitation Act. Campbell sued LIT, as well as Cole, Jefferson, Walden, and Reynard (collectively, "defendants") in their official capacities, seeking compensatory damages and declaratory and injunctive relief.</w:t>
      </w:r>
    </w:p>
    <w:p w:rsidR="00E456CD" w:rsidRDefault="00000000">
      <w:pPr>
        <w:pStyle w:val="Normal49"/>
        <w:widowControl w:val="0"/>
        <w:spacing w:before="200" w:line="260" w:lineRule="atLeast"/>
        <w:jc w:val="both"/>
      </w:pPr>
      <w:bookmarkStart w:id="7414" w:name="Bookmark_para_11_42"/>
      <w:bookmarkEnd w:id="7414"/>
      <w:r>
        <w:rPr>
          <w:rFonts w:ascii="Arial" w:eastAsia="Arial" w:hAnsi="Arial" w:cs="Arial"/>
          <w:color w:val="000000"/>
          <w:sz w:val="20"/>
        </w:rPr>
        <w:t xml:space="preserve">The district court granted the defendants' motion for summary judgment. First, the district court held that Campbell's claim for damages was moot because LIT granted his accommodation [**6]  nine months before the lawsuit was initiated through Reynard's response letter to Campbell's grievance. Second, the district court held that Campbell lacked standing to seek injunctive or declaratory relief because he could not demonstrate an impending injury in fact. Finally, the district court alternatively held that Campbell's damages claim was barred by Eleventh Amendment sovereign immunity because his ADA claim was moot and because he had not stated a claim for relief under the Fourteenth Amendment. The court also noted that Campbell would not be entitled to prospective injunctive relief under </w:t>
      </w:r>
      <w:r>
        <w:rPr>
          <w:rFonts w:ascii="Arial" w:eastAsia="Arial" w:hAnsi="Arial" w:cs="Arial"/>
          <w:i/>
          <w:color w:val="000000"/>
          <w:sz w:val="20"/>
        </w:rPr>
        <w:t>Ex Parte Young</w:t>
      </w:r>
      <w:r>
        <w:rPr>
          <w:rFonts w:ascii="Arial" w:eastAsia="Arial" w:hAnsi="Arial" w:cs="Arial"/>
          <w:color w:val="000000"/>
          <w:sz w:val="20"/>
        </w:rPr>
        <w:t xml:space="preserve"> because he lacked standing to obtain such relief. Campbell timely appealed.</w:t>
      </w:r>
    </w:p>
    <w:p w:rsidR="00E456CD" w:rsidRDefault="00000000">
      <w:pPr>
        <w:pStyle w:val="Normal49"/>
        <w:widowControl w:val="0"/>
        <w:spacing w:before="240" w:line="260" w:lineRule="atLeast"/>
      </w:pPr>
      <w:r>
        <w:br/>
      </w:r>
      <w:r>
        <w:rPr>
          <w:rFonts w:ascii="Arial" w:eastAsia="Arial" w:hAnsi="Arial" w:cs="Arial"/>
          <w:b/>
          <w:color w:val="000000"/>
          <w:sz w:val="20"/>
        </w:rPr>
        <w:t>STANDARD OF REVIEW</w:t>
      </w:r>
    </w:p>
    <w:p w:rsidR="00E456CD" w:rsidRDefault="00000000">
      <w:pPr>
        <w:pStyle w:val="Normal49"/>
        <w:widowControl w:val="0"/>
        <w:spacing w:before="200" w:line="260" w:lineRule="atLeast"/>
        <w:jc w:val="both"/>
      </w:pPr>
      <w:bookmarkStart w:id="7415" w:name="Bookmark_para_12_41"/>
      <w:bookmarkStart w:id="7416" w:name="Bookmark_I5MF0R9T2SF7XN0020000400"/>
      <w:bookmarkStart w:id="7417" w:name="Bookmark_LNHNREFclscc1_39"/>
      <w:bookmarkEnd w:id="7415"/>
      <w:bookmarkEnd w:id="7416"/>
      <w:bookmarkEnd w:id="7417"/>
      <w:r>
        <w:rPr>
          <w:rFonts w:ascii="Arial" w:eastAsia="Arial" w:hAnsi="Arial" w:cs="Arial"/>
          <w:color w:val="000000"/>
          <w:sz w:val="20"/>
        </w:rPr>
        <w:t xml:space="preserve">The court reviews a district court's grant of summary judgment </w:t>
      </w:r>
      <w:r>
        <w:rPr>
          <w:rFonts w:ascii="Arial" w:eastAsia="Arial" w:hAnsi="Arial" w:cs="Arial"/>
          <w:i/>
          <w:color w:val="000000"/>
          <w:sz w:val="20"/>
        </w:rPr>
        <w:t xml:space="preserve">de novo. </w:t>
      </w:r>
      <w:bookmarkStart w:id="7418" w:name="Bookmark_I5MF0R9T2SF7XN0010000400"/>
      <w:bookmarkEnd w:id="7418"/>
      <w:r>
        <w:rPr>
          <w:rFonts w:ascii="Arial" w:eastAsia="Arial" w:hAnsi="Arial" w:cs="Arial"/>
          <w:i/>
          <w:color w:val="000000"/>
          <w:sz w:val="20"/>
        </w:rPr>
        <w:t>Kemp v. Holder</w:t>
      </w:r>
      <w:r>
        <w:rPr>
          <w:rFonts w:ascii="Arial" w:eastAsia="Arial" w:hAnsi="Arial" w:cs="Arial"/>
          <w:color w:val="000000"/>
          <w:sz w:val="20"/>
        </w:rPr>
        <w:t xml:space="preserve">, 610 F.3d 231, 234 (5th Cir. 2010). A party is entitled to summary judgment if "there is no genuine dispute as to any material fact and the movant is entitled to judgment as a matter of law." </w:t>
      </w:r>
      <w:r>
        <w:rPr>
          <w:rFonts w:ascii="Arial" w:eastAsia="Arial" w:hAnsi="Arial" w:cs="Arial"/>
          <w:i/>
          <w:color w:val="000000"/>
          <w:sz w:val="20"/>
        </w:rPr>
        <w:t>Id.</w:t>
      </w:r>
      <w:r>
        <w:rPr>
          <w:rFonts w:ascii="Arial" w:eastAsia="Arial" w:hAnsi="Arial" w:cs="Arial"/>
          <w:color w:val="000000"/>
          <w:sz w:val="20"/>
        </w:rPr>
        <w:t xml:space="preserve"> (citing Fed. R. Civ. P. 56(a)). "A genuine issue of material fact exists if a reasonable jury could enter a verdict for the non-moving party." </w:t>
      </w:r>
      <w:r>
        <w:rPr>
          <w:rFonts w:ascii="Arial" w:eastAsia="Arial" w:hAnsi="Arial" w:cs="Arial"/>
          <w:i/>
          <w:color w:val="000000"/>
          <w:sz w:val="20"/>
        </w:rPr>
        <w:t>Id.</w:t>
      </w:r>
      <w:r>
        <w:rPr>
          <w:rFonts w:ascii="Arial" w:eastAsia="Arial" w:hAnsi="Arial" w:cs="Arial"/>
          <w:color w:val="000000"/>
          <w:sz w:val="20"/>
        </w:rPr>
        <w:t xml:space="preserve"> (citation omitted). </w:t>
      </w:r>
      <w:bookmarkStart w:id="7419" w:name="Bookmark_I5MF0R9T2SF7XN0040000400"/>
      <w:bookmarkEnd w:id="7419"/>
      <w:r>
        <w:rPr>
          <w:rFonts w:ascii="Arial" w:eastAsia="Arial" w:hAnsi="Arial" w:cs="Arial"/>
          <w:color w:val="000000"/>
          <w:sz w:val="20"/>
        </w:rPr>
        <w:t xml:space="preserve">The court views the facts and evidence in the light most favorable to the non-moving party. </w:t>
      </w:r>
      <w:r>
        <w:rPr>
          <w:rFonts w:ascii="Arial" w:eastAsia="Arial" w:hAnsi="Arial" w:cs="Arial"/>
          <w:i/>
          <w:color w:val="000000"/>
          <w:sz w:val="20"/>
        </w:rPr>
        <w:t>Id.</w:t>
      </w:r>
      <w:r>
        <w:rPr>
          <w:rFonts w:ascii="Arial" w:eastAsia="Arial" w:hAnsi="Arial" w:cs="Arial"/>
          <w:color w:val="000000"/>
          <w:sz w:val="20"/>
        </w:rPr>
        <w:t xml:space="preserve"> The court may affirm a grant of summary judgment [**7]  on any grounds supported by the record and presented to the district court. </w:t>
      </w:r>
      <w:bookmarkStart w:id="7420" w:name="Bookmark_I5MF0R9T2SF7XN0030000400"/>
      <w:bookmarkEnd w:id="7420"/>
      <w:r>
        <w:rPr>
          <w:rFonts w:ascii="Arial" w:eastAsia="Arial" w:hAnsi="Arial" w:cs="Arial"/>
          <w:i/>
          <w:color w:val="000000"/>
          <w:sz w:val="20"/>
        </w:rPr>
        <w:t>Cuadra v. Hous. Indep. Sch.  [*379]  Dist</w:t>
      </w:r>
      <w:r>
        <w:rPr>
          <w:rFonts w:ascii="Arial" w:eastAsia="Arial" w:hAnsi="Arial" w:cs="Arial"/>
          <w:color w:val="000000"/>
          <w:sz w:val="20"/>
        </w:rPr>
        <w:t>., 626 F.3d 808, 812 (5th Cir. 2010) (citation and quotation marks omitted).</w:t>
      </w:r>
    </w:p>
    <w:p w:rsidR="00E456CD" w:rsidRDefault="00000000">
      <w:pPr>
        <w:pStyle w:val="Normal49"/>
        <w:widowControl w:val="0"/>
        <w:spacing w:before="240" w:line="260" w:lineRule="atLeast"/>
      </w:pPr>
      <w:r>
        <w:br/>
      </w:r>
      <w:r>
        <w:rPr>
          <w:rFonts w:ascii="Arial" w:eastAsia="Arial" w:hAnsi="Arial" w:cs="Arial"/>
          <w:b/>
          <w:color w:val="000000"/>
          <w:sz w:val="20"/>
        </w:rPr>
        <w:t>DISCUSSION</w:t>
      </w:r>
    </w:p>
    <w:p w:rsidR="00E456CD" w:rsidRDefault="00000000">
      <w:pPr>
        <w:pStyle w:val="Normal49"/>
        <w:widowControl w:val="0"/>
        <w:spacing w:before="240" w:line="260" w:lineRule="atLeast"/>
      </w:pPr>
      <w:r>
        <w:br/>
      </w:r>
      <w:r>
        <w:rPr>
          <w:rFonts w:ascii="Arial" w:eastAsia="Arial" w:hAnsi="Arial" w:cs="Arial"/>
          <w:b/>
          <w:color w:val="000000"/>
          <w:sz w:val="20"/>
        </w:rPr>
        <w:t>A. Sovereign Immunity</w:t>
      </w:r>
    </w:p>
    <w:p w:rsidR="00E456CD" w:rsidRDefault="00000000">
      <w:pPr>
        <w:pStyle w:val="Normal49"/>
        <w:widowControl w:val="0"/>
        <w:spacing w:before="200" w:line="260" w:lineRule="atLeast"/>
        <w:jc w:val="both"/>
      </w:pPr>
      <w:bookmarkStart w:id="7421" w:name="Bookmark_para_13_39"/>
      <w:bookmarkEnd w:id="7421"/>
      <w:r>
        <w:rPr>
          <w:rFonts w:ascii="Arial" w:eastAsia="Arial" w:hAnsi="Arial" w:cs="Arial"/>
          <w:color w:val="000000"/>
          <w:sz w:val="20"/>
        </w:rPr>
        <w:t>The district court erred in concluding that LIT is entitled to sovereign immunity. Eleventh Amendment sovereign immunity does not bar Campbell's Rehabilitation Act claim for money damages.</w:t>
      </w:r>
    </w:p>
    <w:p w:rsidR="00E456CD" w:rsidRDefault="00000000">
      <w:pPr>
        <w:pStyle w:val="Normal49"/>
        <w:widowControl w:val="0"/>
        <w:spacing w:before="200" w:line="260" w:lineRule="atLeast"/>
        <w:jc w:val="both"/>
      </w:pPr>
      <w:bookmarkStart w:id="7422" w:name="Bookmark_para_14_38"/>
      <w:bookmarkStart w:id="7423" w:name="Bookmark_I5MF0R9T2N1RM90010000400"/>
      <w:bookmarkStart w:id="7424" w:name="Bookmark_LNHNREFclscc2_39"/>
      <w:bookmarkEnd w:id="7422"/>
      <w:bookmarkEnd w:id="7423"/>
      <w:bookmarkEnd w:id="7424"/>
      <w:r>
        <w:rPr>
          <w:rFonts w:ascii="Arial" w:eastAsia="Arial" w:hAnsi="Arial" w:cs="Arial"/>
          <w:color w:val="000000"/>
          <w:sz w:val="20"/>
        </w:rPr>
        <w:t xml:space="preserve">State entities that accept federal funding knowingly and voluntarily waive their sovereign immunity to suit under § 504 of the Rehabilitation Act. </w:t>
      </w:r>
      <w:bookmarkStart w:id="7425" w:name="Bookmark_I5MF0R9T2SF7XN0050000400"/>
      <w:bookmarkEnd w:id="7425"/>
      <w:r>
        <w:rPr>
          <w:rFonts w:ascii="Arial" w:eastAsia="Arial" w:hAnsi="Arial" w:cs="Arial"/>
          <w:i/>
          <w:color w:val="000000"/>
          <w:sz w:val="20"/>
        </w:rPr>
        <w:t>Pace v. Bogalusa City Sch. Bd</w:t>
      </w:r>
      <w:r>
        <w:rPr>
          <w:rFonts w:ascii="Arial" w:eastAsia="Arial" w:hAnsi="Arial" w:cs="Arial"/>
          <w:color w:val="000000"/>
          <w:sz w:val="20"/>
        </w:rPr>
        <w:t xml:space="preserve">., 403 F.3d 272, 274 (5th Cir. 2005) (en banc). </w:t>
      </w:r>
      <w:bookmarkStart w:id="7426" w:name="Bookmark_I5MF0R9T2N1RM90030000400"/>
      <w:bookmarkEnd w:id="7426"/>
      <w:r>
        <w:rPr>
          <w:rFonts w:ascii="Arial" w:eastAsia="Arial" w:hAnsi="Arial" w:cs="Arial"/>
          <w:color w:val="000000"/>
          <w:sz w:val="20"/>
        </w:rPr>
        <w:t xml:space="preserve">The parties do not dispute that LIT receives federal funding. Sovereign immunity therefore does not bar Campbell's suit for damages under § 504 of the Rehabilitation Act. 42 U.S.C. § 2000d-7. </w:t>
      </w:r>
      <w:bookmarkStart w:id="7427" w:name="Bookmark_I5MF0R9T2N1RM90030000400_2"/>
      <w:bookmarkEnd w:id="7427"/>
      <w:r>
        <w:rPr>
          <w:rFonts w:ascii="Arial" w:eastAsia="Arial" w:hAnsi="Arial" w:cs="Arial"/>
          <w:color w:val="000000"/>
          <w:sz w:val="20"/>
        </w:rPr>
        <w:t xml:space="preserve">Accordingly, we pretermit any discussion of whether Congress abrogated LIT's sovereign immunity through Title II of the ADA "because the rights and remedies under either are the same for purposes of this case." </w:t>
      </w:r>
      <w:r>
        <w:rPr>
          <w:rFonts w:ascii="Arial" w:eastAsia="Arial" w:hAnsi="Arial" w:cs="Arial"/>
          <w:i/>
          <w:color w:val="000000"/>
          <w:sz w:val="20"/>
        </w:rPr>
        <w:t xml:space="preserve">See </w:t>
      </w:r>
      <w:bookmarkStart w:id="7428" w:name="Bookmark_I5MF0R9T2N1RM90020000400"/>
      <w:bookmarkEnd w:id="7428"/>
      <w:r>
        <w:rPr>
          <w:rFonts w:ascii="Arial" w:eastAsia="Arial" w:hAnsi="Arial" w:cs="Arial"/>
          <w:i/>
          <w:color w:val="000000"/>
          <w:sz w:val="20"/>
        </w:rPr>
        <w:t>Bennett-Nelson v. La. Bd. of Regents</w:t>
      </w:r>
      <w:r>
        <w:rPr>
          <w:rFonts w:ascii="Arial" w:eastAsia="Arial" w:hAnsi="Arial" w:cs="Arial"/>
          <w:color w:val="000000"/>
          <w:sz w:val="20"/>
        </w:rPr>
        <w:t xml:space="preserve">, 431 F.3d 448, 455 (5th Cir. 2005) (declining to reach the issue of abrogation under Title II of the ADA after concluding that sovereign immunity did not bar the plaintiffs' claim under § 504). Why the Texas Attorney General, representing the appellees here, chose to pursue the question of Eleventh Amendment abrogation under Title II of the ADA is a mystery; the state even failed to cite our en banc [**8]  decision in </w:t>
      </w:r>
      <w:r>
        <w:rPr>
          <w:rFonts w:ascii="Arial" w:eastAsia="Arial" w:hAnsi="Arial" w:cs="Arial"/>
          <w:i/>
          <w:color w:val="000000"/>
          <w:sz w:val="20"/>
        </w:rPr>
        <w:t>Pace</w:t>
      </w:r>
      <w:r>
        <w:rPr>
          <w:rFonts w:ascii="Arial" w:eastAsia="Arial" w:hAnsi="Arial" w:cs="Arial"/>
          <w:color w:val="000000"/>
          <w:sz w:val="20"/>
        </w:rPr>
        <w:t>.</w:t>
      </w:r>
    </w:p>
    <w:p w:rsidR="00E456CD" w:rsidRDefault="00000000">
      <w:pPr>
        <w:pStyle w:val="Normal49"/>
        <w:widowControl w:val="0"/>
        <w:spacing w:before="200" w:line="260" w:lineRule="atLeast"/>
        <w:jc w:val="both"/>
      </w:pPr>
      <w:bookmarkStart w:id="7429" w:name="Bookmark_para_15_38"/>
      <w:bookmarkEnd w:id="7429"/>
      <w:r>
        <w:rPr>
          <w:rFonts w:ascii="Arial" w:eastAsia="Arial" w:hAnsi="Arial" w:cs="Arial"/>
          <w:color w:val="000000"/>
          <w:sz w:val="20"/>
        </w:rPr>
        <w:t>Because the parties addressed the reasonable accommodation claims on the merits to the district court and the parties have briefed these claims on appeal, we proceed to address the claims.</w:t>
      </w:r>
    </w:p>
    <w:p w:rsidR="00E456CD" w:rsidRDefault="00000000">
      <w:pPr>
        <w:pStyle w:val="Normal49"/>
        <w:widowControl w:val="0"/>
        <w:spacing w:before="240" w:line="260" w:lineRule="atLeast"/>
      </w:pPr>
      <w:r>
        <w:br/>
      </w:r>
      <w:r>
        <w:rPr>
          <w:rFonts w:ascii="Arial" w:eastAsia="Arial" w:hAnsi="Arial" w:cs="Arial"/>
          <w:b/>
          <w:color w:val="000000"/>
          <w:sz w:val="20"/>
        </w:rPr>
        <w:t>B. Duty to Accommodate</w:t>
      </w:r>
    </w:p>
    <w:p w:rsidR="00E456CD" w:rsidRDefault="00000000">
      <w:pPr>
        <w:pStyle w:val="Normal49"/>
        <w:widowControl w:val="0"/>
        <w:spacing w:before="240" w:line="260" w:lineRule="atLeast"/>
      </w:pPr>
      <w:r>
        <w:br/>
      </w:r>
      <w:r>
        <w:rPr>
          <w:rFonts w:ascii="Arial" w:eastAsia="Arial" w:hAnsi="Arial" w:cs="Arial"/>
          <w:color w:val="000000"/>
          <w:sz w:val="20"/>
          <w:u w:val="single"/>
        </w:rPr>
        <w:t>a. Mootness</w:t>
      </w:r>
    </w:p>
    <w:p w:rsidR="00E456CD" w:rsidRDefault="00000000">
      <w:pPr>
        <w:pStyle w:val="Normal49"/>
        <w:widowControl w:val="0"/>
        <w:spacing w:before="200" w:line="260" w:lineRule="atLeast"/>
        <w:jc w:val="both"/>
      </w:pPr>
      <w:bookmarkStart w:id="7430" w:name="Bookmark_para_16_36"/>
      <w:bookmarkStart w:id="7431" w:name="Bookmark_I6P2Y2GJK070006W1Y100001"/>
      <w:bookmarkStart w:id="7432" w:name="Bookmark_I5MF0R9T2N1RM90050000400"/>
      <w:bookmarkStart w:id="7433" w:name="Bookmark_I6P2Y2GJY5Y0006W1Y100002"/>
      <w:bookmarkStart w:id="7434" w:name="Bookmark_I5MF0R9T2D6N0Y0020000400"/>
      <w:bookmarkEnd w:id="7430"/>
      <w:bookmarkEnd w:id="7431"/>
      <w:bookmarkEnd w:id="7432"/>
      <w:bookmarkEnd w:id="7433"/>
      <w:bookmarkEnd w:id="7434"/>
      <w:r>
        <w:rPr>
          <w:rFonts w:ascii="Arial" w:eastAsia="Arial" w:hAnsi="Arial" w:cs="Arial"/>
          <w:color w:val="000000"/>
          <w:sz w:val="20"/>
        </w:rPr>
        <w:t xml:space="preserve">Campbell's claim for compensatory damages is not moot. </w:t>
      </w:r>
      <w:bookmarkStart w:id="7435" w:name="Bookmark_LNHNREFclscc3_37"/>
      <w:bookmarkEnd w:id="7435"/>
      <w:r>
        <w:rPr>
          <w:rFonts w:ascii="Arial" w:eastAsia="Arial" w:hAnsi="Arial" w:cs="Arial"/>
          <w:color w:val="000000"/>
          <w:sz w:val="20"/>
        </w:rPr>
        <w:t xml:space="preserve">A case is dismissed as moot if "an intervening circumstance deprives the plaintiff of a 'personal stake in the outcome of the lawsuit,' at any point in the litigation." </w:t>
      </w:r>
      <w:bookmarkStart w:id="7436" w:name="Bookmark_I5MF0R9T2N1RM90040000400"/>
      <w:bookmarkEnd w:id="7436"/>
      <w:r>
        <w:rPr>
          <w:rFonts w:ascii="Arial" w:eastAsia="Arial" w:hAnsi="Arial" w:cs="Arial"/>
          <w:i/>
          <w:color w:val="000000"/>
          <w:sz w:val="20"/>
        </w:rPr>
        <w:t>Campbell-Ewald Co. v. Gomez</w:t>
      </w:r>
      <w:r>
        <w:rPr>
          <w:rFonts w:ascii="Arial" w:eastAsia="Arial" w:hAnsi="Arial" w:cs="Arial"/>
          <w:color w:val="000000"/>
          <w:sz w:val="20"/>
        </w:rPr>
        <w:t xml:space="preserve">, 136 S. Ct. 663, 669, 193 L. Ed. 2d 571 (2016). To demonstrate this ongoing personal stake in the litigation, the plaintiff must show that "he has sustained or is immediately in danger of sustaining some direct injury." </w:t>
      </w:r>
      <w:bookmarkStart w:id="7437" w:name="Bookmark_I5MF0R9T2D6N0Y0010000400"/>
      <w:bookmarkEnd w:id="7437"/>
      <w:r>
        <w:rPr>
          <w:rFonts w:ascii="Arial" w:eastAsia="Arial" w:hAnsi="Arial" w:cs="Arial"/>
          <w:i/>
          <w:color w:val="000000"/>
          <w:sz w:val="20"/>
        </w:rPr>
        <w:t>Los Angeles v. Lyons</w:t>
      </w:r>
      <w:r>
        <w:rPr>
          <w:rFonts w:ascii="Arial" w:eastAsia="Arial" w:hAnsi="Arial" w:cs="Arial"/>
          <w:color w:val="000000"/>
          <w:sz w:val="20"/>
        </w:rPr>
        <w:t>, 461 U.S. 95, 102, 103 S. Ct. 1660, 1665, 75 L. Ed. 2d 675 (1983) (internal quotations omitted). Campbell alleges that he sustained a direct injury from LIT's past intentional discrimination. Thus, whether or not the President's letter remedies Campbell's injury prospectively does not moot Campbell's claim for retrospective relief for the period in which LIT denied his accommodation request. To the extent that Campbell seeks to recover compensatory damages for this past action, his claim is not moot.</w:t>
      </w:r>
    </w:p>
    <w:p w:rsidR="00E456CD" w:rsidRDefault="00000000">
      <w:pPr>
        <w:pStyle w:val="Normal49"/>
        <w:widowControl w:val="0"/>
        <w:spacing w:before="240" w:line="260" w:lineRule="atLeast"/>
      </w:pPr>
      <w:r>
        <w:br/>
      </w:r>
      <w:r>
        <w:rPr>
          <w:rFonts w:ascii="Arial" w:eastAsia="Arial" w:hAnsi="Arial" w:cs="Arial"/>
          <w:color w:val="000000"/>
          <w:sz w:val="20"/>
          <w:u w:val="single"/>
        </w:rPr>
        <w:t>b. Discrimination under the Rehabilitation Act</w:t>
      </w:r>
    </w:p>
    <w:p w:rsidR="00E456CD" w:rsidRDefault="00000000">
      <w:pPr>
        <w:pStyle w:val="Normal49"/>
        <w:widowControl w:val="0"/>
        <w:spacing w:before="200" w:line="260" w:lineRule="atLeast"/>
        <w:jc w:val="both"/>
      </w:pPr>
      <w:bookmarkStart w:id="7438" w:name="Bookmark_para_17_34"/>
      <w:bookmarkStart w:id="7439" w:name="Bookmark_I5MF0R9T2D6N0Y0040000400"/>
      <w:bookmarkStart w:id="7440" w:name="Bookmark_I5MF0R9T2HM5Y40010000400"/>
      <w:bookmarkEnd w:id="7438"/>
      <w:bookmarkEnd w:id="7439"/>
      <w:bookmarkEnd w:id="7440"/>
      <w:r>
        <w:rPr>
          <w:rFonts w:ascii="Arial" w:eastAsia="Arial" w:hAnsi="Arial" w:cs="Arial"/>
          <w:color w:val="000000"/>
          <w:sz w:val="20"/>
        </w:rPr>
        <w:t xml:space="preserve">Campbell asserts discrimination under the Rehabilitation Act. </w:t>
      </w:r>
      <w:bookmarkStart w:id="7441" w:name="Bookmark_LNHNREFclscc4_36"/>
      <w:bookmarkEnd w:id="7441"/>
      <w:r>
        <w:rPr>
          <w:rFonts w:ascii="Arial" w:eastAsia="Arial" w:hAnsi="Arial" w:cs="Arial"/>
          <w:color w:val="000000"/>
          <w:sz w:val="20"/>
        </w:rPr>
        <w:t xml:space="preserve">The ADA's language [**9]  generally tracks the language of the Rehabilitation Act and expressly states that the "remedies, procedures and rights" of the Rehabilitation Act are obtainable under the ADA. 42 U.S.C. § 12133 (1995); </w:t>
      </w:r>
      <w:bookmarkStart w:id="7442" w:name="Bookmark_I5MF0R9T2D6N0Y0030000400"/>
      <w:bookmarkEnd w:id="7442"/>
      <w:r>
        <w:rPr>
          <w:rFonts w:ascii="Arial" w:eastAsia="Arial" w:hAnsi="Arial" w:cs="Arial"/>
          <w:i/>
          <w:color w:val="000000"/>
          <w:sz w:val="20"/>
        </w:rPr>
        <w:t>Delano-Pyle v. Victoria Cty., Tex.</w:t>
      </w:r>
      <w:r>
        <w:rPr>
          <w:rFonts w:ascii="Arial" w:eastAsia="Arial" w:hAnsi="Arial" w:cs="Arial"/>
          <w:color w:val="000000"/>
          <w:sz w:val="20"/>
        </w:rPr>
        <w:t xml:space="preserve">, 302 F.3d 567, 574 (5th Cir. 2002). As such, the "[j]urisprudence interpreting either section is applicable to both . . . ." </w:t>
      </w:r>
      <w:bookmarkStart w:id="7443" w:name="Bookmark_I5MF0R9T2D6N0Y0050000400"/>
      <w:bookmarkEnd w:id="7443"/>
      <w:r>
        <w:rPr>
          <w:rFonts w:ascii="Arial" w:eastAsia="Arial" w:hAnsi="Arial" w:cs="Arial"/>
          <w:i/>
          <w:color w:val="000000"/>
          <w:sz w:val="20"/>
        </w:rPr>
        <w:t>Delano-Pyle</w:t>
      </w:r>
      <w:r>
        <w:rPr>
          <w:rFonts w:ascii="Arial" w:eastAsia="Arial" w:hAnsi="Arial" w:cs="Arial"/>
          <w:color w:val="000000"/>
          <w:sz w:val="20"/>
        </w:rPr>
        <w:t>, 302 F.3d at 574 (internal quotations and citations omitted).</w:t>
      </w:r>
    </w:p>
    <w:p w:rsidR="00E456CD" w:rsidRDefault="00000000">
      <w:pPr>
        <w:pStyle w:val="Normal49"/>
        <w:widowControl w:val="0"/>
        <w:spacing w:before="200" w:line="260" w:lineRule="atLeast"/>
        <w:jc w:val="both"/>
      </w:pPr>
      <w:bookmarkStart w:id="7444" w:name="Bookmark_para_18_33"/>
      <w:bookmarkStart w:id="7445" w:name="Bookmark_I5MF0R9T2HM5Y40030000400"/>
      <w:bookmarkStart w:id="7446" w:name="Bookmark_I5MF0R9T2HM5Y40050000400"/>
      <w:bookmarkEnd w:id="7444"/>
      <w:bookmarkEnd w:id="7445"/>
      <w:bookmarkEnd w:id="7446"/>
      <w:r>
        <w:rPr>
          <w:rFonts w:ascii="Arial" w:eastAsia="Arial" w:hAnsi="Arial" w:cs="Arial"/>
          <w:color w:val="000000"/>
          <w:sz w:val="20"/>
        </w:rPr>
        <w:t>As relevant in this case, the Rehabilitation Act discrimination claim turns on whether the institution discriminated against the student based on his disability.</w:t>
      </w:r>
      <w:r>
        <w:rPr>
          <w:rFonts w:ascii="Arial" w:eastAsia="Arial" w:hAnsi="Arial" w:cs="Arial"/>
          <w:vertAlign w:val="superscript"/>
        </w:rPr>
        <w:footnoteReference w:customMarkFollows="1" w:id="309"/>
        <w:t>1</w:t>
      </w:r>
      <w:r>
        <w:rPr>
          <w:rFonts w:ascii="Arial" w:eastAsia="Arial" w:hAnsi="Arial" w:cs="Arial"/>
          <w:color w:val="000000"/>
          <w:sz w:val="20"/>
        </w:rPr>
        <w:t xml:space="preserve">  [*380]  </w:t>
      </w:r>
      <w:bookmarkStart w:id="7449" w:name="Bookmark_I5MF0R9T2HM5Y40020000400"/>
      <w:bookmarkEnd w:id="7449"/>
      <w:r>
        <w:rPr>
          <w:rFonts w:ascii="Arial" w:eastAsia="Arial" w:hAnsi="Arial" w:cs="Arial"/>
          <w:i/>
          <w:color w:val="000000"/>
          <w:sz w:val="20"/>
        </w:rPr>
        <w:t>Argenyi v. Creighton Univ.</w:t>
      </w:r>
      <w:r>
        <w:rPr>
          <w:rFonts w:ascii="Arial" w:eastAsia="Arial" w:hAnsi="Arial" w:cs="Arial"/>
          <w:color w:val="000000"/>
          <w:sz w:val="20"/>
        </w:rPr>
        <w:t xml:space="preserve">, 703 F.3d 441, 447 (8th Cir. 2013). </w:t>
      </w:r>
      <w:bookmarkStart w:id="7450" w:name="Bookmark_LNHNREFclscc5_35"/>
      <w:bookmarkEnd w:id="7450"/>
      <w:r>
        <w:rPr>
          <w:rFonts w:ascii="Arial" w:eastAsia="Arial" w:hAnsi="Arial" w:cs="Arial"/>
          <w:color w:val="000000"/>
          <w:sz w:val="20"/>
        </w:rPr>
        <w:t xml:space="preserve">Discrimination includes a failure to make reasonable accommodations. </w:t>
      </w:r>
      <w:bookmarkStart w:id="7451" w:name="Bookmark_I5MF0R9T28T43T0020000400"/>
      <w:bookmarkStart w:id="7452" w:name="Bookmark_I5MF0R9T2HM5Y40040000400"/>
      <w:bookmarkEnd w:id="7451"/>
      <w:bookmarkEnd w:id="7452"/>
      <w:r>
        <w:rPr>
          <w:rFonts w:ascii="Arial" w:eastAsia="Arial" w:hAnsi="Arial" w:cs="Arial"/>
          <w:i/>
          <w:color w:val="000000"/>
          <w:sz w:val="20"/>
        </w:rPr>
        <w:t>Feist v. La. Dep't of Justice, Office of the Attorney Gen</w:t>
      </w:r>
      <w:r>
        <w:rPr>
          <w:rFonts w:ascii="Arial" w:eastAsia="Arial" w:hAnsi="Arial" w:cs="Arial"/>
          <w:color w:val="000000"/>
          <w:sz w:val="20"/>
        </w:rPr>
        <w:t xml:space="preserve">., 730 F.3d 450, 452 (5th Cir. 2013); 42 U.S.C. § 12132; 29 U.S.C. § 794 (a). </w:t>
      </w:r>
      <w:bookmarkStart w:id="7453" w:name="Bookmark_I5MF0R9T28T43T0020000400_2"/>
      <w:bookmarkEnd w:id="7453"/>
      <w:r>
        <w:rPr>
          <w:rFonts w:ascii="Arial" w:eastAsia="Arial" w:hAnsi="Arial" w:cs="Arial"/>
          <w:color w:val="000000"/>
          <w:sz w:val="20"/>
        </w:rPr>
        <w:t xml:space="preserve">However, an institution is not required to ''lower or [] effect substantial modifications of standards to accommodate a handicapped person," if its standards are reasonable. </w:t>
      </w:r>
      <w:bookmarkStart w:id="7454" w:name="Bookmark_I5MF0R9T28T43T0040000400"/>
      <w:bookmarkStart w:id="7455" w:name="Bookmark_I5MF0R9T28T43T0010000400"/>
      <w:bookmarkEnd w:id="7454"/>
      <w:bookmarkEnd w:id="7455"/>
      <w:r>
        <w:rPr>
          <w:rFonts w:ascii="Arial" w:eastAsia="Arial" w:hAnsi="Arial" w:cs="Arial"/>
          <w:i/>
          <w:color w:val="000000"/>
          <w:sz w:val="20"/>
        </w:rPr>
        <w:t>Southestern</w:t>
      </w:r>
      <w:r>
        <w:rPr>
          <w:rFonts w:ascii="Arial" w:eastAsia="Arial" w:hAnsi="Arial" w:cs="Arial"/>
          <w:color w:val="000000"/>
          <w:sz w:val="20"/>
        </w:rPr>
        <w:t xml:space="preserve"> </w:t>
      </w:r>
      <w:r>
        <w:rPr>
          <w:rFonts w:ascii="Arial" w:eastAsia="Arial" w:hAnsi="Arial" w:cs="Arial"/>
          <w:i/>
          <w:color w:val="000000"/>
          <w:sz w:val="20"/>
        </w:rPr>
        <w:t>Cmty. Coll. v. Davis</w:t>
      </w:r>
      <w:r>
        <w:rPr>
          <w:rFonts w:ascii="Arial" w:eastAsia="Arial" w:hAnsi="Arial" w:cs="Arial"/>
          <w:color w:val="000000"/>
          <w:sz w:val="20"/>
        </w:rPr>
        <w:t xml:space="preserve">, 442 U.S. 397, 413, 99 S. Ct. 2361, 2371, 60 L. Ed. 2d 980 (1979); </w:t>
      </w:r>
      <w:r>
        <w:rPr>
          <w:rFonts w:ascii="Arial" w:eastAsia="Arial" w:hAnsi="Arial" w:cs="Arial"/>
          <w:i/>
          <w:color w:val="000000"/>
          <w:sz w:val="20"/>
        </w:rPr>
        <w:t>see also</w:t>
      </w:r>
      <w:r>
        <w:rPr>
          <w:rFonts w:ascii="Arial" w:eastAsia="Arial" w:hAnsi="Arial" w:cs="Arial"/>
          <w:color w:val="000000"/>
          <w:sz w:val="20"/>
        </w:rPr>
        <w:t xml:space="preserve"> 34 C.F.R. § 104.44(a) ("Academic requirements that the recipient can demonstrate are essential to the instruction being pursued by such student or to any directly related licensing requirement will not be regarded as discriminatory . . . . </w:t>
      </w:r>
      <w:bookmarkStart w:id="7456" w:name="Bookmark_I5MF0R9T28T43T0040000400_2"/>
      <w:bookmarkEnd w:id="7456"/>
      <w:r>
        <w:rPr>
          <w:rFonts w:ascii="Arial" w:eastAsia="Arial" w:hAnsi="Arial" w:cs="Arial"/>
          <w:color w:val="000000"/>
          <w:sz w:val="20"/>
        </w:rPr>
        <w:t xml:space="preserve">Modifications may include changes in the length of time permitted for the completion of degree requirements, substitution of specific courses required for the completion of degree requirements, and adaptation of the manner in which specific courses [**10]  are conducted."). </w:t>
      </w:r>
      <w:bookmarkStart w:id="7457" w:name="Bookmark_LNHNREFclscc6_31"/>
      <w:bookmarkEnd w:id="7457"/>
      <w:r>
        <w:rPr>
          <w:rFonts w:ascii="Arial" w:eastAsia="Arial" w:hAnsi="Arial" w:cs="Arial"/>
          <w:color w:val="000000"/>
          <w:sz w:val="20"/>
        </w:rPr>
        <w:t>A disabled student does not have a right to his accommodation of preference.</w:t>
      </w:r>
      <w:r>
        <w:rPr>
          <w:rFonts w:ascii="Arial" w:eastAsia="Arial" w:hAnsi="Arial" w:cs="Arial"/>
          <w:vertAlign w:val="superscript"/>
        </w:rPr>
        <w:footnoteReference w:customMarkFollows="1" w:id="310"/>
        <w:t>2</w:t>
      </w:r>
      <w:r>
        <w:rPr>
          <w:rFonts w:ascii="Arial" w:eastAsia="Arial" w:hAnsi="Arial" w:cs="Arial"/>
          <w:color w:val="000000"/>
          <w:sz w:val="20"/>
        </w:rPr>
        <w:t xml:space="preserve"> </w:t>
      </w:r>
      <w:bookmarkStart w:id="7459" w:name="Bookmark_I5MF0R9T28T43T0030000400"/>
      <w:bookmarkEnd w:id="7459"/>
      <w:r>
        <w:rPr>
          <w:rFonts w:ascii="Arial" w:eastAsia="Arial" w:hAnsi="Arial" w:cs="Arial"/>
          <w:i/>
          <w:color w:val="000000"/>
          <w:sz w:val="20"/>
        </w:rPr>
        <w:t>E.E.O.C. v. Agro Distribution, LLC</w:t>
      </w:r>
      <w:r>
        <w:rPr>
          <w:rFonts w:ascii="Arial" w:eastAsia="Arial" w:hAnsi="Arial" w:cs="Arial"/>
          <w:color w:val="000000"/>
          <w:sz w:val="20"/>
        </w:rPr>
        <w:t>, 555 F.3d 462, 471 (5th Cir. 2009).</w:t>
      </w:r>
    </w:p>
    <w:p w:rsidR="00E456CD" w:rsidRDefault="00000000">
      <w:pPr>
        <w:pStyle w:val="Normal49"/>
        <w:widowControl w:val="0"/>
        <w:spacing w:before="200" w:line="260" w:lineRule="atLeast"/>
        <w:jc w:val="both"/>
      </w:pPr>
      <w:bookmarkStart w:id="7460" w:name="Bookmark_para_19_32"/>
      <w:bookmarkStart w:id="7461" w:name="Bookmark_I6P2Y2GK48T0006W1Y100003"/>
      <w:bookmarkStart w:id="7462" w:name="Bookmark_I5MF0R9T2N1RMC0010000400"/>
      <w:bookmarkStart w:id="7463" w:name="Bookmark_LNHNREFclscc8_28"/>
      <w:bookmarkEnd w:id="7460"/>
      <w:bookmarkEnd w:id="7461"/>
      <w:bookmarkEnd w:id="7462"/>
      <w:bookmarkEnd w:id="7463"/>
      <w:r>
        <w:rPr>
          <w:rFonts w:ascii="Arial" w:eastAsia="Arial" w:hAnsi="Arial" w:cs="Arial"/>
          <w:color w:val="000000"/>
          <w:sz w:val="20"/>
        </w:rPr>
        <w:t xml:space="preserve">A student may only recover compensatory damages upon a showing of intentional discrimination. </w:t>
      </w:r>
      <w:bookmarkStart w:id="7464" w:name="Bookmark_I5MF0R9T28T43T0050000400"/>
      <w:bookmarkEnd w:id="7464"/>
      <w:r>
        <w:rPr>
          <w:rFonts w:ascii="Arial" w:eastAsia="Arial" w:hAnsi="Arial" w:cs="Arial"/>
          <w:i/>
          <w:color w:val="000000"/>
          <w:sz w:val="20"/>
        </w:rPr>
        <w:t>Delano-Pyle</w:t>
      </w:r>
      <w:r>
        <w:rPr>
          <w:rFonts w:ascii="Arial" w:eastAsia="Arial" w:hAnsi="Arial" w:cs="Arial"/>
          <w:color w:val="000000"/>
          <w:sz w:val="20"/>
        </w:rPr>
        <w:t xml:space="preserve">, 302 F.3d at 574. </w:t>
      </w:r>
      <w:bookmarkStart w:id="7465" w:name="Bookmark_I5MF0R9T2N1RMC0030000400"/>
      <w:bookmarkEnd w:id="7465"/>
      <w:r>
        <w:rPr>
          <w:rFonts w:ascii="Arial" w:eastAsia="Arial" w:hAnsi="Arial" w:cs="Arial"/>
          <w:color w:val="000000"/>
          <w:sz w:val="20"/>
        </w:rPr>
        <w:t xml:space="preserve">When the record is "devoid of evidence of malice, ill-will, or efforts . . . to impede" a disabled student's progress, summary judgment must be granted in favor of the university. </w:t>
      </w:r>
      <w:bookmarkStart w:id="7466" w:name="Bookmark_I5MF0R9T2N1RMC0030000400_2"/>
      <w:bookmarkEnd w:id="7466"/>
      <w:r>
        <w:rPr>
          <w:rFonts w:ascii="Arial" w:eastAsia="Arial" w:hAnsi="Arial" w:cs="Arial"/>
          <w:i/>
          <w:color w:val="000000"/>
          <w:sz w:val="20"/>
        </w:rPr>
        <w:t>Id.</w:t>
      </w:r>
      <w:r>
        <w:rPr>
          <w:rFonts w:ascii="Arial" w:eastAsia="Arial" w:hAnsi="Arial" w:cs="Arial"/>
          <w:color w:val="000000"/>
          <w:sz w:val="20"/>
        </w:rPr>
        <w:t xml:space="preserve"> In such a case, this court must defer to the university's academic decision not to alter its program.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7467" w:name="Bookmark_I5MF0R9T2N1RMC0020000400"/>
      <w:bookmarkEnd w:id="7467"/>
      <w:r>
        <w:rPr>
          <w:rFonts w:ascii="Arial" w:eastAsia="Arial" w:hAnsi="Arial" w:cs="Arial"/>
          <w:i/>
          <w:color w:val="000000"/>
          <w:sz w:val="20"/>
        </w:rPr>
        <w:t>Halpern v. Wake Forest Univ. Health Scis</w:t>
      </w:r>
      <w:r>
        <w:rPr>
          <w:rFonts w:ascii="Arial" w:eastAsia="Arial" w:hAnsi="Arial" w:cs="Arial"/>
          <w:color w:val="000000"/>
          <w:sz w:val="20"/>
        </w:rPr>
        <w:t>., 669 F.3d 454, 463 (4th Cir. 2012) (joining eight other circuits that have "extended some level of deference to schools' professional judgments regarding [**11]  students' qualifications when addressing disability discrimination claims.").</w:t>
      </w:r>
    </w:p>
    <w:p w:rsidR="00E456CD" w:rsidRDefault="00000000">
      <w:pPr>
        <w:pStyle w:val="Normal49"/>
        <w:widowControl w:val="0"/>
        <w:spacing w:before="200" w:line="260" w:lineRule="atLeast"/>
        <w:jc w:val="both"/>
      </w:pPr>
      <w:bookmarkStart w:id="7468" w:name="Bookmark_para_20_31"/>
      <w:bookmarkEnd w:id="7468"/>
      <w:r>
        <w:rPr>
          <w:rFonts w:ascii="Arial" w:eastAsia="Arial" w:hAnsi="Arial" w:cs="Arial"/>
          <w:color w:val="000000"/>
          <w:sz w:val="20"/>
        </w:rPr>
        <w:t>The parties here dispute whether LIT failed to act reasonably when it denied Campbell's request for another accommodation. Campbell argues that his accommodation request was reasonable because it would not require fundamentally changing the Respiratory Care Program and it was supported by medical documentation. Campbell further argues that LIT was motivated by intentional discrimination in denying his request.</w:t>
      </w:r>
    </w:p>
    <w:p w:rsidR="00E456CD" w:rsidRDefault="00000000">
      <w:pPr>
        <w:pStyle w:val="Normal49"/>
        <w:widowControl w:val="0"/>
        <w:spacing w:before="200" w:line="260" w:lineRule="atLeast"/>
        <w:jc w:val="both"/>
      </w:pPr>
      <w:bookmarkStart w:id="7469" w:name="Bookmark_para_21_29"/>
      <w:bookmarkStart w:id="7470" w:name="Bookmark_I5MF0R9T2N1RMC0050000400"/>
      <w:bookmarkEnd w:id="7469"/>
      <w:bookmarkEnd w:id="7470"/>
      <w:r>
        <w:rPr>
          <w:rFonts w:ascii="Arial" w:eastAsia="Arial" w:hAnsi="Arial" w:cs="Arial"/>
          <w:color w:val="000000"/>
          <w:sz w:val="20"/>
        </w:rPr>
        <w:t xml:space="preserve">Upon a full review of the summary judgment evidence, we afford deference to LIT's decision because Campbell has not demonstrated that LIT intentionally discriminated against him. </w:t>
      </w:r>
      <w:bookmarkStart w:id="7471" w:name="Bookmark_I5MF0R9T2N1RMC0040000400"/>
      <w:bookmarkEnd w:id="7471"/>
      <w:r>
        <w:rPr>
          <w:rFonts w:ascii="Arial" w:eastAsia="Arial" w:hAnsi="Arial" w:cs="Arial"/>
          <w:i/>
          <w:color w:val="000000"/>
          <w:sz w:val="20"/>
        </w:rPr>
        <w:t>McGregor v. Louisiana State Univ. Bd. of Sup'rs</w:t>
      </w:r>
      <w:r>
        <w:rPr>
          <w:rFonts w:ascii="Arial" w:eastAsia="Arial" w:hAnsi="Arial" w:cs="Arial"/>
          <w:color w:val="000000"/>
          <w:sz w:val="20"/>
        </w:rPr>
        <w:t>, 3 F.3d 850, 859 (5th Cir. 1993). Each of the six alleged statements and actions recited by Campbell is either not supported by the record or could not plausibly be construed by a reasonable fact finder as an example of intentional discrimination.</w:t>
      </w:r>
    </w:p>
    <w:p w:rsidR="00E456CD" w:rsidRDefault="00000000">
      <w:pPr>
        <w:pStyle w:val="Normal49"/>
        <w:widowControl w:val="0"/>
        <w:spacing w:before="200" w:line="260" w:lineRule="atLeast"/>
        <w:jc w:val="both"/>
      </w:pPr>
      <w:bookmarkStart w:id="7472" w:name="Bookmark_para_22_28"/>
      <w:bookmarkEnd w:id="7472"/>
      <w:r>
        <w:rPr>
          <w:rFonts w:ascii="Arial" w:eastAsia="Arial" w:hAnsi="Arial" w:cs="Arial"/>
          <w:color w:val="000000"/>
          <w:sz w:val="20"/>
        </w:rPr>
        <w:t>First, Campbell alleges that the instructors expressed "ignorant opinions that the disabled are simply unequal to other students." Campbell provides no supporting record citations, and a review of the summary judgment evidence does not disclose  [*381]  any such statements. Indeed, the only record evidence reveals just the [**12]  opposite: each of the instructors categorically denied making such statements. Second, Cole's belief that the requested accommodation might give Campbell an "unfair advantage" over other students does not qualify as intentional discrimination, as this concern would apply to any student— disabled or not—requesting such an accommodation. Third, Campbell alleges that if the accommodation were granted, instructors would retaliate against him. But Campbell does not point to any record evidence to support this allegation. The only summary judgment evidence that even hints at such a statement is contained in Campbell's own verified statement that "Dr. Jefferson said that she could make the instructors give me the accommodation but that they didn't want to and that it wouldn't work out." This does not imply retaliation or discriminatory animus. Rather, it reflects the difficulties LIT perceived in providing Campbell's requested accommodation, which might increase the workload of teachers and require the instructors to alter their schedules outside of the academic calendar. Fourth, Walden's comment about Campbell's skin color is an expression of her concern for his health, because his respiratory [**13]  illness affects his oxygen intake and makes his face appear bluish.</w:t>
      </w:r>
      <w:r>
        <w:rPr>
          <w:rFonts w:ascii="Arial" w:eastAsia="Arial" w:hAnsi="Arial" w:cs="Arial"/>
          <w:vertAlign w:val="superscript"/>
        </w:rPr>
        <w:footnoteReference w:customMarkFollows="1" w:id="311"/>
        <w:t>3</w:t>
      </w:r>
      <w:r>
        <w:rPr>
          <w:rFonts w:ascii="Arial" w:eastAsia="Arial" w:hAnsi="Arial" w:cs="Arial"/>
          <w:color w:val="000000"/>
          <w:sz w:val="20"/>
        </w:rPr>
        <w:t xml:space="preserve"> No reasonable fact finder could derive discriminatory intent from this statement. Fifth, an instructor's comments regarding Campbell's drop in class standing and his tardy submission of doctor's notes are appropriate for a meeting concerning his academic progress. Sixth, the fact an instructor stood during a meeting with Campbell does not constitute discriminatory bias.</w:t>
      </w:r>
      <w:r>
        <w:rPr>
          <w:rFonts w:ascii="Arial" w:eastAsia="Arial" w:hAnsi="Arial" w:cs="Arial"/>
          <w:vertAlign w:val="superscript"/>
        </w:rPr>
        <w:footnoteReference w:customMarkFollows="1" w:id="312"/>
        <w:t>4</w:t>
      </w:r>
    </w:p>
    <w:p w:rsidR="00E456CD" w:rsidRDefault="00000000">
      <w:pPr>
        <w:pStyle w:val="Normal49"/>
        <w:widowControl w:val="0"/>
        <w:spacing w:before="200" w:line="260" w:lineRule="atLeast"/>
        <w:jc w:val="both"/>
      </w:pPr>
      <w:bookmarkStart w:id="7475" w:name="Bookmark_para_23_28"/>
      <w:bookmarkStart w:id="7476" w:name="Bookmark_LNHNREFclscc9_23"/>
      <w:bookmarkEnd w:id="7475"/>
      <w:bookmarkEnd w:id="7476"/>
      <w:r>
        <w:rPr>
          <w:rFonts w:ascii="Arial" w:eastAsia="Arial" w:hAnsi="Arial" w:cs="Arial"/>
          <w:color w:val="000000"/>
          <w:sz w:val="20"/>
        </w:rPr>
        <w:t xml:space="preserve">An institution is not duty bound to acquiesce in and implement every accommodation a disabled student demands. Here, the record indicates that Campbell's request was considered at multiple levels of the institution, from the individual faculty members up to the school's President. </w:t>
      </w:r>
      <w:bookmarkStart w:id="7477" w:name="Bookmark_I5MF0R9T2D6N100020000400"/>
      <w:bookmarkEnd w:id="7477"/>
      <w:r>
        <w:rPr>
          <w:rFonts w:ascii="Arial" w:eastAsia="Arial" w:hAnsi="Arial" w:cs="Arial"/>
          <w:color w:val="000000"/>
          <w:sz w:val="20"/>
        </w:rPr>
        <w:t xml:space="preserve">Cole additionally consulted Vice Presidents of Student Services at other TSU institutions for their opinions on the reasonableness of Campbell's requested accommodations, and the spokesmen unanimously [**14]  responded that they would not grant the requested accommodation. </w:t>
      </w:r>
      <w:bookmarkStart w:id="7478" w:name="Bookmark_I5MF0R9T2SF7XP0010000400"/>
      <w:bookmarkEnd w:id="7478"/>
      <w:r>
        <w:rPr>
          <w:rFonts w:ascii="Arial" w:eastAsia="Arial" w:hAnsi="Arial" w:cs="Arial"/>
          <w:color w:val="000000"/>
          <w:sz w:val="20"/>
        </w:rPr>
        <w:t xml:space="preserve">Moreover, the reasons LIT provided for initially denying Campbell's accommodation request are serious: (1) Campbell might obtain an unfair advantage over other students by having an extra two weeks to study; (2) instructors would be burdened by having to create two versions of an exam; (3) instructors may have to schedule Campbell's exams outside of the academic calendar; and (4) Campbell's request could require instructors to lower the academic standards of the class. Such concerns relate to whether Campbell's request is a "reasonable deviation from the [institution's] usual requirements . . . without sacrificing the integrity of the . . . program." </w:t>
      </w:r>
      <w:bookmarkStart w:id="7479" w:name="Bookmark_I5MF0R9T2D6N100010000400"/>
      <w:bookmarkEnd w:id="7479"/>
      <w:r>
        <w:rPr>
          <w:rFonts w:ascii="Arial" w:eastAsia="Arial" w:hAnsi="Arial" w:cs="Arial"/>
          <w:i/>
          <w:color w:val="000000"/>
          <w:sz w:val="20"/>
        </w:rPr>
        <w:t>McGregor</w:t>
      </w:r>
      <w:r>
        <w:rPr>
          <w:rFonts w:ascii="Arial" w:eastAsia="Arial" w:hAnsi="Arial" w:cs="Arial"/>
          <w:color w:val="000000"/>
          <w:sz w:val="20"/>
        </w:rPr>
        <w:t xml:space="preserve">, 8 F.3d at 858; </w:t>
      </w:r>
      <w:r>
        <w:rPr>
          <w:rFonts w:ascii="Arial" w:eastAsia="Arial" w:hAnsi="Arial" w:cs="Arial"/>
          <w:i/>
          <w:color w:val="000000"/>
          <w:sz w:val="20"/>
        </w:rPr>
        <w:t xml:space="preserve">cf. </w:t>
      </w:r>
      <w:bookmarkStart w:id="7480" w:name="Bookmark_I5MF0R9T2D6N100030000400"/>
      <w:bookmarkEnd w:id="7480"/>
      <w:r>
        <w:rPr>
          <w:rFonts w:ascii="Arial" w:eastAsia="Arial" w:hAnsi="Arial" w:cs="Arial"/>
          <w:i/>
          <w:color w:val="000000"/>
          <w:sz w:val="20"/>
        </w:rPr>
        <w:t>Dean v. Univ. at Buffalo Sch. Of Med. &amp; Biomedical Scis</w:t>
      </w:r>
      <w:r>
        <w:rPr>
          <w:rFonts w:ascii="Arial" w:eastAsia="Arial" w:hAnsi="Arial" w:cs="Arial"/>
          <w:color w:val="000000"/>
          <w:sz w:val="20"/>
        </w:rPr>
        <w:t xml:space="preserve">., 804 F.3d 178, 191 (2d. Cir. 2015) (declining to afford deference where the record lacked evidence indicating that the school "diligently assessed whether the alteration would allow Dean the opportunity to continue in the M.D. program without imposing undue financial and administrative burdens on UBMED or requiring a fundamental alteration to the academic caliber of its offerings"). </w:t>
      </w:r>
      <w:bookmarkStart w:id="7481" w:name="Bookmark_I5MF0R9T2SF7XP0010000400_2"/>
      <w:bookmarkEnd w:id="7481"/>
      <w:r>
        <w:rPr>
          <w:rFonts w:ascii="Arial" w:eastAsia="Arial" w:hAnsi="Arial" w:cs="Arial"/>
          <w:color w:val="000000"/>
          <w:sz w:val="20"/>
        </w:rPr>
        <w:t xml:space="preserve">LIT's objections legitimately relate to the impact  [*382]  the requested accommodation would have on the program, and are not [**15]  "academic decisions [] disguis[ing] truly discriminatory requirements," </w:t>
      </w:r>
      <w:bookmarkStart w:id="7482" w:name="Bookmark_I5MF0R9T2D6N100050000400"/>
      <w:bookmarkEnd w:id="7482"/>
      <w:r>
        <w:rPr>
          <w:rFonts w:ascii="Arial" w:eastAsia="Arial" w:hAnsi="Arial" w:cs="Arial"/>
          <w:i/>
          <w:color w:val="000000"/>
          <w:sz w:val="20"/>
        </w:rPr>
        <w:t>Zukle v. Regents of Univ. of Cal</w:t>
      </w:r>
      <w:r>
        <w:rPr>
          <w:rFonts w:ascii="Arial" w:eastAsia="Arial" w:hAnsi="Arial" w:cs="Arial"/>
          <w:color w:val="000000"/>
          <w:sz w:val="20"/>
        </w:rPr>
        <w:t>., 166 F.3d 1041, 1048 (9th Cir. 1999).</w:t>
      </w:r>
    </w:p>
    <w:p w:rsidR="00E456CD" w:rsidRDefault="00000000">
      <w:pPr>
        <w:pStyle w:val="Normal49"/>
        <w:widowControl w:val="0"/>
        <w:spacing w:before="200" w:line="260" w:lineRule="atLeast"/>
        <w:jc w:val="both"/>
      </w:pPr>
      <w:bookmarkStart w:id="7483" w:name="Bookmark_para_24_26"/>
      <w:bookmarkEnd w:id="7483"/>
      <w:r>
        <w:rPr>
          <w:rFonts w:ascii="Arial" w:eastAsia="Arial" w:hAnsi="Arial" w:cs="Arial"/>
          <w:color w:val="000000"/>
          <w:sz w:val="20"/>
        </w:rPr>
        <w:t xml:space="preserve">It is also notable that Cole and Jefferson told Campbell they would not require his instructors to provide him with this extra accommodation, but Campbell could ask each instructor individually to do so. Finally, Campbell's request was for an </w:t>
      </w:r>
      <w:r>
        <w:rPr>
          <w:rFonts w:ascii="Arial" w:eastAsia="Arial" w:hAnsi="Arial" w:cs="Arial"/>
          <w:i/>
          <w:color w:val="000000"/>
          <w:sz w:val="20"/>
        </w:rPr>
        <w:t>additional</w:t>
      </w:r>
      <w:r>
        <w:rPr>
          <w:rFonts w:ascii="Arial" w:eastAsia="Arial" w:hAnsi="Arial" w:cs="Arial"/>
          <w:color w:val="000000"/>
          <w:sz w:val="20"/>
        </w:rPr>
        <w:t xml:space="preserve"> accommodation—LIT had accommodated Campbell's disability with extra exam time and provided Campbell with a laptop and a recording device for lectures. </w:t>
      </w:r>
      <w:bookmarkStart w:id="7484" w:name="Bookmark_I5MF0R9T2SF7XP0030000400"/>
      <w:bookmarkEnd w:id="7484"/>
      <w:r>
        <w:rPr>
          <w:rFonts w:ascii="Arial" w:eastAsia="Arial" w:hAnsi="Arial" w:cs="Arial"/>
          <w:color w:val="000000"/>
          <w:sz w:val="20"/>
        </w:rPr>
        <w:t xml:space="preserve">Taken together, these accommodations are reasonable; Campbell is not entitled to his preferred accommodation. The summary judgment evidence thus does not reflect efforts of LIT to impede Campbell's progress. </w:t>
      </w:r>
      <w:bookmarkStart w:id="7485" w:name="Bookmark_I5MF0R9T2SF7XP0020000400"/>
      <w:bookmarkEnd w:id="7485"/>
      <w:r>
        <w:rPr>
          <w:rFonts w:ascii="Arial" w:eastAsia="Arial" w:hAnsi="Arial" w:cs="Arial"/>
          <w:i/>
          <w:color w:val="000000"/>
          <w:sz w:val="20"/>
        </w:rPr>
        <w:t>McGregor</w:t>
      </w:r>
      <w:r>
        <w:rPr>
          <w:rFonts w:ascii="Arial" w:eastAsia="Arial" w:hAnsi="Arial" w:cs="Arial"/>
          <w:color w:val="000000"/>
          <w:sz w:val="20"/>
        </w:rPr>
        <w:t>, 8 F.3d at 859. Campbell therefore has not created a genuine issue of material fact supporting his intentional disability discrimination claim.</w:t>
      </w:r>
      <w:r>
        <w:rPr>
          <w:rFonts w:ascii="Arial" w:eastAsia="Arial" w:hAnsi="Arial" w:cs="Arial"/>
          <w:vertAlign w:val="superscript"/>
        </w:rPr>
        <w:footnoteReference w:customMarkFollows="1" w:id="313"/>
        <w:t>5</w:t>
      </w:r>
    </w:p>
    <w:p w:rsidR="00E456CD" w:rsidRDefault="00000000">
      <w:pPr>
        <w:pStyle w:val="Normal49"/>
        <w:widowControl w:val="0"/>
        <w:spacing w:before="240" w:line="260" w:lineRule="atLeast"/>
      </w:pPr>
      <w:r>
        <w:br/>
      </w:r>
      <w:r>
        <w:rPr>
          <w:rFonts w:ascii="Arial" w:eastAsia="Arial" w:hAnsi="Arial" w:cs="Arial"/>
          <w:b/>
          <w:color w:val="000000"/>
          <w:sz w:val="20"/>
        </w:rPr>
        <w:t>C. Standing to Seek Declaratory and Injunctive Relief</w:t>
      </w:r>
    </w:p>
    <w:p w:rsidR="00E456CD" w:rsidRDefault="00000000">
      <w:pPr>
        <w:pStyle w:val="Normal49"/>
        <w:widowControl w:val="0"/>
        <w:spacing w:before="200" w:line="260" w:lineRule="atLeast"/>
        <w:jc w:val="both"/>
      </w:pPr>
      <w:bookmarkStart w:id="7487" w:name="Bookmark_para_25_26"/>
      <w:bookmarkStart w:id="7488" w:name="Bookmark_I5MF0R9T2SF7XP0050000400"/>
      <w:bookmarkEnd w:id="7487"/>
      <w:bookmarkEnd w:id="7488"/>
      <w:r>
        <w:rPr>
          <w:rFonts w:ascii="Arial" w:eastAsia="Arial" w:hAnsi="Arial" w:cs="Arial"/>
          <w:color w:val="000000"/>
          <w:sz w:val="20"/>
        </w:rPr>
        <w:t>Even if he had adduced a triable fact issue on discrimination, Campbell cannot recover injunctive or declaratory [**16]  relief from LIT because he lacks standing. Campbell seeks to recover injunctive and declaratory relief to prevent LIT from denying reasonable accommodations in the future.</w:t>
      </w:r>
      <w:r>
        <w:rPr>
          <w:rFonts w:ascii="Arial" w:eastAsia="Arial" w:hAnsi="Arial" w:cs="Arial"/>
          <w:vertAlign w:val="superscript"/>
        </w:rPr>
        <w:footnoteReference w:customMarkFollows="1" w:id="314"/>
        <w:t>6</w:t>
      </w:r>
    </w:p>
    <w:p w:rsidR="00E456CD" w:rsidRDefault="00000000">
      <w:pPr>
        <w:pStyle w:val="Normal49"/>
        <w:widowControl w:val="0"/>
        <w:spacing w:before="200" w:line="260" w:lineRule="atLeast"/>
        <w:jc w:val="both"/>
      </w:pPr>
      <w:bookmarkStart w:id="7492" w:name="Bookmark_para_26_24"/>
      <w:bookmarkStart w:id="7493" w:name="Bookmark_I6P2Y2GK83Y0006W1Y100004"/>
      <w:bookmarkStart w:id="7494" w:name="Bookmark_I5MF0R9T2HM5Y50020000400"/>
      <w:bookmarkStart w:id="7495" w:name="Bookmark_LNHNREFclscc11_19"/>
      <w:bookmarkEnd w:id="7492"/>
      <w:bookmarkEnd w:id="7493"/>
      <w:bookmarkEnd w:id="7494"/>
      <w:bookmarkEnd w:id="7495"/>
      <w:r>
        <w:rPr>
          <w:rFonts w:ascii="Arial" w:eastAsia="Arial" w:hAnsi="Arial" w:cs="Arial"/>
          <w:color w:val="000000"/>
          <w:sz w:val="20"/>
        </w:rPr>
        <w:t xml:space="preserve">To establish Article III standing, a plaintiff must show: (1) an injury in fact that is concrete, particularized, and imminent, and is not conjectural or hypothetical; (2) a causal connection demonstrating that the injury is fairly traceable to the defendant's challenged actions; and (3) that it is likely—not simply speculative—that a favorable decision will redress the injury. </w:t>
      </w:r>
      <w:bookmarkStart w:id="7496" w:name="Bookmark_I5MF0R9T2HM5Y50010000400"/>
      <w:bookmarkEnd w:id="7496"/>
      <w:r>
        <w:rPr>
          <w:rFonts w:ascii="Arial" w:eastAsia="Arial" w:hAnsi="Arial" w:cs="Arial"/>
          <w:i/>
          <w:color w:val="000000"/>
          <w:sz w:val="20"/>
        </w:rPr>
        <w:t>Lujan v. Defenders of Wildlife</w:t>
      </w:r>
      <w:r>
        <w:rPr>
          <w:rFonts w:ascii="Arial" w:eastAsia="Arial" w:hAnsi="Arial" w:cs="Arial"/>
          <w:color w:val="000000"/>
          <w:sz w:val="20"/>
        </w:rPr>
        <w:t>, 504 U.S. 555, 560-61, 112 S. Ct. 2130, 2137, 119 L. Ed. 2d 351 (1992) (citations and quotation marks omitted).</w:t>
      </w:r>
    </w:p>
    <w:p w:rsidR="00E456CD" w:rsidRDefault="00000000">
      <w:pPr>
        <w:pStyle w:val="Normal49"/>
        <w:widowControl w:val="0"/>
        <w:spacing w:before="200" w:line="260" w:lineRule="atLeast"/>
        <w:jc w:val="both"/>
      </w:pPr>
      <w:bookmarkStart w:id="7497" w:name="Bookmark_para_27_24"/>
      <w:bookmarkStart w:id="7498" w:name="Bookmark_I5MF0R9T2HM5Y50040000400"/>
      <w:bookmarkEnd w:id="7497"/>
      <w:bookmarkEnd w:id="7498"/>
      <w:r>
        <w:rPr>
          <w:rFonts w:ascii="Arial" w:eastAsia="Arial" w:hAnsi="Arial" w:cs="Arial"/>
          <w:color w:val="000000"/>
          <w:sz w:val="20"/>
        </w:rPr>
        <w:t xml:space="preserve">Campbell's alleged prospective injury is entirely speculative, hypothetical, and lacks imminence, as Campbell withdrew from LIT and has repeatedly said that he will [**17]  not return. </w:t>
      </w:r>
      <w:bookmarkStart w:id="7499" w:name="Bookmark_I5MF0R9T2N1RMD0030000400"/>
      <w:bookmarkEnd w:id="7499"/>
      <w:r>
        <w:rPr>
          <w:rFonts w:ascii="Arial" w:eastAsia="Arial" w:hAnsi="Arial" w:cs="Arial"/>
          <w:color w:val="000000"/>
          <w:sz w:val="20"/>
        </w:rPr>
        <w:t xml:space="preserve">The likelihood of LIT's denying Campbell reasonable disability accommodations in the future is therefore too remote to state a cognizable injury in fact. </w:t>
      </w:r>
      <w:r>
        <w:rPr>
          <w:rFonts w:ascii="Arial" w:eastAsia="Arial" w:hAnsi="Arial" w:cs="Arial"/>
          <w:i/>
          <w:color w:val="000000"/>
          <w:sz w:val="20"/>
        </w:rPr>
        <w:t xml:space="preserve">See </w:t>
      </w:r>
      <w:bookmarkStart w:id="7500" w:name="Bookmark_I5MF0R9T2HM5Y50030000400"/>
      <w:bookmarkEnd w:id="7500"/>
      <w:r>
        <w:rPr>
          <w:rFonts w:ascii="Arial" w:eastAsia="Arial" w:hAnsi="Arial" w:cs="Arial"/>
          <w:i/>
          <w:color w:val="000000"/>
          <w:sz w:val="20"/>
        </w:rPr>
        <w:t>Lyons</w:t>
      </w:r>
      <w:r>
        <w:rPr>
          <w:rFonts w:ascii="Arial" w:eastAsia="Arial" w:hAnsi="Arial" w:cs="Arial"/>
          <w:color w:val="000000"/>
          <w:sz w:val="20"/>
        </w:rPr>
        <w:t xml:space="preserve">, 461 U.S. at 105-10, 103 S. Ct. at 1667-69 (holding that Lyons lacked standing to seek injunctive relief because there was no evidence that he faced a "real and immediate threat of again being illegally choked" by the police); </w:t>
      </w:r>
      <w:bookmarkStart w:id="7501" w:name="Bookmark_I5MF0R9T2HM5Y50050000400"/>
      <w:bookmarkEnd w:id="7501"/>
      <w:r>
        <w:rPr>
          <w:rFonts w:ascii="Arial" w:eastAsia="Arial" w:hAnsi="Arial" w:cs="Arial"/>
          <w:i/>
          <w:color w:val="000000"/>
          <w:sz w:val="20"/>
        </w:rPr>
        <w:t>Armstrong v. Turner Indus., Inc</w:t>
      </w:r>
      <w:r>
        <w:rPr>
          <w:rFonts w:ascii="Arial" w:eastAsia="Arial" w:hAnsi="Arial" w:cs="Arial"/>
          <w:color w:val="000000"/>
          <w:sz w:val="20"/>
        </w:rPr>
        <w:t xml:space="preserve">., 114 F.3d 554, 563 (5th Cir. 1998) (noting that the plaintiff "has alleged only a single, past statutory violation and does not assert any likelihood that he will be subjected to a similar violation in the future."). Because injunctive or declaratory relief against LIT would not benefit Campbell, a non-student, any possibility of future injury is not redressable by the court and he lacks standing to assert a claim for equitable relief. </w:t>
      </w:r>
      <w:bookmarkStart w:id="7502" w:name="Bookmark_I5MF0R9T2N1RMD0030000400_2"/>
      <w:bookmarkEnd w:id="7502"/>
      <w:r>
        <w:rPr>
          <w:rFonts w:ascii="Arial" w:eastAsia="Arial" w:hAnsi="Arial" w:cs="Arial"/>
          <w:color w:val="000000"/>
          <w:sz w:val="20"/>
        </w:rPr>
        <w:t xml:space="preserve"> [*383]  </w:t>
      </w:r>
      <w:r>
        <w:rPr>
          <w:rFonts w:ascii="Arial" w:eastAsia="Arial" w:hAnsi="Arial" w:cs="Arial"/>
          <w:i/>
          <w:color w:val="000000"/>
          <w:sz w:val="20"/>
        </w:rPr>
        <w:t xml:space="preserve">See </w:t>
      </w:r>
      <w:bookmarkStart w:id="7503" w:name="Bookmark_I5MF0R9T2N1RMD0020000400"/>
      <w:bookmarkEnd w:id="7503"/>
      <w:r>
        <w:rPr>
          <w:rFonts w:ascii="Arial" w:eastAsia="Arial" w:hAnsi="Arial" w:cs="Arial"/>
          <w:i/>
          <w:color w:val="000000"/>
          <w:sz w:val="20"/>
        </w:rPr>
        <w:t>Armstrong</w:t>
      </w:r>
      <w:r>
        <w:rPr>
          <w:rFonts w:ascii="Arial" w:eastAsia="Arial" w:hAnsi="Arial" w:cs="Arial"/>
          <w:color w:val="000000"/>
          <w:sz w:val="20"/>
        </w:rPr>
        <w:t>, 114 F.3d at 563 (noting that "for the same reason he lacks standing to procure injunctive relief he likewise has no standing to seek declaratory relief.").</w:t>
      </w:r>
    </w:p>
    <w:p w:rsidR="00E456CD" w:rsidRDefault="00000000">
      <w:pPr>
        <w:pStyle w:val="Normal49"/>
        <w:widowControl w:val="0"/>
        <w:spacing w:before="240" w:line="260" w:lineRule="atLeast"/>
      </w:pPr>
      <w:r>
        <w:br/>
      </w:r>
      <w:r>
        <w:rPr>
          <w:rFonts w:ascii="Arial" w:eastAsia="Arial" w:hAnsi="Arial" w:cs="Arial"/>
          <w:b/>
          <w:color w:val="000000"/>
          <w:sz w:val="20"/>
        </w:rPr>
        <w:t>CONCLUSION</w:t>
      </w:r>
    </w:p>
    <w:p w:rsidR="00E456CD" w:rsidRDefault="00000000">
      <w:pPr>
        <w:pStyle w:val="Normal49"/>
        <w:widowControl w:val="0"/>
        <w:spacing w:before="200" w:line="260" w:lineRule="atLeast"/>
        <w:jc w:val="both"/>
      </w:pPr>
      <w:bookmarkStart w:id="7504" w:name="Bookmark_para_28_24"/>
      <w:bookmarkEnd w:id="7504"/>
      <w:r>
        <w:rPr>
          <w:rFonts w:ascii="Arial" w:eastAsia="Arial" w:hAnsi="Arial" w:cs="Arial"/>
          <w:color w:val="000000"/>
          <w:sz w:val="20"/>
        </w:rPr>
        <w:t xml:space="preserve">For the foregoing reasons, the judgment of the district court granting the defendants' motion for summary judgment is </w:t>
      </w:r>
      <w:r>
        <w:rPr>
          <w:rFonts w:ascii="Arial" w:eastAsia="Arial" w:hAnsi="Arial" w:cs="Arial"/>
          <w:b/>
          <w:color w:val="000000"/>
          <w:sz w:val="20"/>
        </w:rPr>
        <w:t>AFFIRMED</w:t>
      </w:r>
      <w:r>
        <w:rPr>
          <w:rFonts w:ascii="Arial" w:eastAsia="Arial" w:hAnsi="Arial" w:cs="Arial"/>
          <w:color w:val="000000"/>
          <w:sz w:val="20"/>
        </w:rPr>
        <w:t>.</w:t>
      </w:r>
    </w:p>
    <w:p w:rsidR="00E456CD" w:rsidRDefault="00E456CD">
      <w:pPr>
        <w:pStyle w:val="Normal49"/>
      </w:pPr>
    </w:p>
    <w:p w:rsidR="00E456CD" w:rsidRDefault="00000000">
      <w:pPr>
        <w:pStyle w:val="Normal49"/>
        <w:ind w:left="200"/>
      </w:pPr>
      <w:r>
        <w:br/>
      </w:r>
      <w:r w:rsidR="00E22289">
        <w:rPr>
          <w:noProof/>
        </w:rPr>
        <mc:AlternateContent>
          <mc:Choice Requires="wps">
            <w:drawing>
              <wp:anchor distT="0" distB="0" distL="114300" distR="114300" simplePos="0" relativeHeight="25176576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963223117"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62037" id="Line 108"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sectPr w:rsidR="00E456CD">
      <w:type w:val="continuous"/>
      <w:pgSz w:w="12240" w:h="15840"/>
      <w:pgMar w:top="840" w:right="1000" w:bottom="840" w:left="1000" w:header="400" w:footer="40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73AC" w:rsidRDefault="008573AC">
      <w:r>
        <w:separator/>
      </w:r>
    </w:p>
  </w:endnote>
  <w:endnote w:type="continuationSeparator" w:id="0">
    <w:p w:rsidR="008573AC" w:rsidRDefault="00857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0"/>
          </w:pPr>
        </w:p>
      </w:tc>
      <w:tc>
        <w:tcPr>
          <w:tcW w:w="4880" w:type="dxa"/>
          <w:tcMar>
            <w:top w:w="200" w:type="dxa"/>
          </w:tcMar>
          <w:vAlign w:val="center"/>
        </w:tcPr>
        <w:p w:rsidR="00E456CD" w:rsidRDefault="00E456CD">
          <w:pPr>
            <w:pStyle w:val="Normal0"/>
            <w:jc w:val="center"/>
          </w:pPr>
        </w:p>
      </w:tc>
      <w:tc>
        <w:tcPr>
          <w:tcW w:w="2600" w:type="dxa"/>
          <w:tcMar>
            <w:top w:w="200" w:type="dxa"/>
          </w:tcMar>
          <w:vAlign w:val="center"/>
        </w:tcPr>
        <w:p w:rsidR="00E456CD" w:rsidRDefault="00E456CD">
          <w:pPr>
            <w:pStyle w:val="Normal0"/>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0"/>
      <w:spacing w:before="20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
          </w:pPr>
        </w:p>
      </w:tc>
      <w:tc>
        <w:tcPr>
          <w:tcW w:w="4880" w:type="dxa"/>
          <w:tcMar>
            <w:top w:w="200" w:type="dxa"/>
          </w:tcMar>
          <w:vAlign w:val="center"/>
        </w:tcPr>
        <w:p w:rsidR="00E456CD" w:rsidRDefault="00E456CD">
          <w:pPr>
            <w:pStyle w:val="Normal1"/>
            <w:jc w:val="center"/>
          </w:pPr>
        </w:p>
      </w:tc>
      <w:tc>
        <w:tcPr>
          <w:tcW w:w="2600" w:type="dxa"/>
          <w:tcMar>
            <w:top w:w="200" w:type="dxa"/>
          </w:tcMar>
          <w:vAlign w:val="center"/>
        </w:tcPr>
        <w:p w:rsidR="00E456CD" w:rsidRDefault="00E456CD">
          <w:pPr>
            <w:pStyle w:val="Normal1"/>
          </w:pP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
      <w:spacing w:before="20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
          </w:pPr>
        </w:p>
      </w:tc>
      <w:tc>
        <w:tcPr>
          <w:tcW w:w="4880" w:type="dxa"/>
          <w:tcMar>
            <w:top w:w="200" w:type="dxa"/>
          </w:tcMar>
          <w:vAlign w:val="center"/>
        </w:tcPr>
        <w:p w:rsidR="00E456CD" w:rsidRDefault="00E456CD">
          <w:pPr>
            <w:pStyle w:val="Normal2"/>
            <w:jc w:val="center"/>
          </w:pPr>
        </w:p>
      </w:tc>
      <w:tc>
        <w:tcPr>
          <w:tcW w:w="2600" w:type="dxa"/>
          <w:tcMar>
            <w:top w:w="200" w:type="dxa"/>
          </w:tcMar>
          <w:vAlign w:val="center"/>
        </w:tcPr>
        <w:p w:rsidR="00E456CD" w:rsidRDefault="00E456CD">
          <w:pPr>
            <w:pStyle w:val="Normal2"/>
          </w:pP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
      <w:spacing w:before="20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
          </w:pPr>
        </w:p>
      </w:tc>
      <w:tc>
        <w:tcPr>
          <w:tcW w:w="4880" w:type="dxa"/>
          <w:tcMar>
            <w:top w:w="200" w:type="dxa"/>
          </w:tcMar>
          <w:vAlign w:val="center"/>
        </w:tcPr>
        <w:p w:rsidR="00E456CD" w:rsidRDefault="00E456CD">
          <w:pPr>
            <w:pStyle w:val="Normal3"/>
            <w:jc w:val="center"/>
          </w:pPr>
        </w:p>
      </w:tc>
      <w:tc>
        <w:tcPr>
          <w:tcW w:w="2600" w:type="dxa"/>
          <w:tcMar>
            <w:top w:w="200" w:type="dxa"/>
          </w:tcMar>
          <w:vAlign w:val="center"/>
        </w:tcPr>
        <w:p w:rsidR="00E456CD" w:rsidRDefault="00E456CD">
          <w:pPr>
            <w:pStyle w:val="Normal3"/>
          </w:pP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
      <w:spacing w:before="20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
          </w:pPr>
        </w:p>
      </w:tc>
      <w:tc>
        <w:tcPr>
          <w:tcW w:w="4880" w:type="dxa"/>
          <w:tcMar>
            <w:top w:w="200" w:type="dxa"/>
          </w:tcMar>
          <w:vAlign w:val="center"/>
        </w:tcPr>
        <w:p w:rsidR="00E456CD" w:rsidRDefault="00E456CD">
          <w:pPr>
            <w:pStyle w:val="Normal4"/>
            <w:jc w:val="center"/>
          </w:pPr>
        </w:p>
      </w:tc>
      <w:tc>
        <w:tcPr>
          <w:tcW w:w="2600" w:type="dxa"/>
          <w:tcMar>
            <w:top w:w="200" w:type="dxa"/>
          </w:tcMar>
          <w:vAlign w:val="center"/>
        </w:tcPr>
        <w:p w:rsidR="00E456CD" w:rsidRDefault="00E456CD">
          <w:pPr>
            <w:pStyle w:val="Normal4"/>
          </w:pP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
      <w:spacing w:before="20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5"/>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5"/>
          </w:pPr>
        </w:p>
      </w:tc>
      <w:tc>
        <w:tcPr>
          <w:tcW w:w="4880" w:type="dxa"/>
          <w:tcMar>
            <w:top w:w="200" w:type="dxa"/>
          </w:tcMar>
          <w:vAlign w:val="center"/>
        </w:tcPr>
        <w:p w:rsidR="00E456CD" w:rsidRDefault="00E456CD">
          <w:pPr>
            <w:pStyle w:val="Normal5"/>
            <w:jc w:val="center"/>
          </w:pPr>
        </w:p>
      </w:tc>
      <w:tc>
        <w:tcPr>
          <w:tcW w:w="2600" w:type="dxa"/>
          <w:tcMar>
            <w:top w:w="200" w:type="dxa"/>
          </w:tcMar>
          <w:vAlign w:val="center"/>
        </w:tcPr>
        <w:p w:rsidR="00E456CD" w:rsidRDefault="00E456CD">
          <w:pPr>
            <w:pStyle w:val="Normal5"/>
          </w:pP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5"/>
      <w:spacing w:before="20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6"/>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6"/>
          </w:pPr>
        </w:p>
      </w:tc>
      <w:tc>
        <w:tcPr>
          <w:tcW w:w="4880" w:type="dxa"/>
          <w:tcMar>
            <w:top w:w="200" w:type="dxa"/>
          </w:tcMar>
          <w:vAlign w:val="center"/>
        </w:tcPr>
        <w:p w:rsidR="00E456CD" w:rsidRDefault="00E456CD">
          <w:pPr>
            <w:pStyle w:val="Normal6"/>
            <w:jc w:val="center"/>
          </w:pPr>
        </w:p>
      </w:tc>
      <w:tc>
        <w:tcPr>
          <w:tcW w:w="2600" w:type="dxa"/>
          <w:tcMar>
            <w:top w:w="200" w:type="dxa"/>
          </w:tcMar>
          <w:vAlign w:val="center"/>
        </w:tcPr>
        <w:p w:rsidR="00E456CD" w:rsidRDefault="00E456CD">
          <w:pPr>
            <w:pStyle w:val="Normal6"/>
          </w:pP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6"/>
      <w:spacing w:before="200"/>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7"/>
          </w:pPr>
        </w:p>
      </w:tc>
      <w:tc>
        <w:tcPr>
          <w:tcW w:w="4880" w:type="dxa"/>
          <w:tcMar>
            <w:top w:w="200" w:type="dxa"/>
          </w:tcMar>
          <w:vAlign w:val="center"/>
        </w:tcPr>
        <w:p w:rsidR="00E456CD" w:rsidRDefault="00E456CD">
          <w:pPr>
            <w:pStyle w:val="Normal7"/>
            <w:jc w:val="center"/>
          </w:pPr>
        </w:p>
      </w:tc>
      <w:tc>
        <w:tcPr>
          <w:tcW w:w="2600" w:type="dxa"/>
          <w:tcMar>
            <w:top w:w="200" w:type="dxa"/>
          </w:tcMar>
          <w:vAlign w:val="center"/>
        </w:tcPr>
        <w:p w:rsidR="00E456CD" w:rsidRDefault="00E456CD">
          <w:pPr>
            <w:pStyle w:val="Normal7"/>
          </w:pP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7"/>
      <w:spacing w:before="200"/>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8"/>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8"/>
          </w:pPr>
        </w:p>
      </w:tc>
      <w:tc>
        <w:tcPr>
          <w:tcW w:w="4880" w:type="dxa"/>
          <w:tcMar>
            <w:top w:w="200" w:type="dxa"/>
          </w:tcMar>
          <w:vAlign w:val="center"/>
        </w:tcPr>
        <w:p w:rsidR="00E456CD" w:rsidRDefault="00E456CD">
          <w:pPr>
            <w:pStyle w:val="Normal8"/>
            <w:jc w:val="center"/>
          </w:pPr>
        </w:p>
      </w:tc>
      <w:tc>
        <w:tcPr>
          <w:tcW w:w="2600" w:type="dxa"/>
          <w:tcMar>
            <w:top w:w="200" w:type="dxa"/>
          </w:tcMar>
          <w:vAlign w:val="center"/>
        </w:tcPr>
        <w:p w:rsidR="00E456CD" w:rsidRDefault="00E456CD">
          <w:pPr>
            <w:pStyle w:val="Normal8"/>
          </w:pP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8"/>
      <w:spacing w:before="200"/>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9"/>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9"/>
          </w:pPr>
        </w:p>
      </w:tc>
      <w:tc>
        <w:tcPr>
          <w:tcW w:w="4880" w:type="dxa"/>
          <w:tcMar>
            <w:top w:w="200" w:type="dxa"/>
          </w:tcMar>
          <w:vAlign w:val="center"/>
        </w:tcPr>
        <w:p w:rsidR="00E456CD" w:rsidRDefault="00E456CD">
          <w:pPr>
            <w:pStyle w:val="Normal9"/>
            <w:jc w:val="center"/>
          </w:pPr>
        </w:p>
      </w:tc>
      <w:tc>
        <w:tcPr>
          <w:tcW w:w="2600" w:type="dxa"/>
          <w:tcMar>
            <w:top w:w="200" w:type="dxa"/>
          </w:tcMar>
          <w:vAlign w:val="center"/>
        </w:tcPr>
        <w:p w:rsidR="00E456CD" w:rsidRDefault="00E456CD">
          <w:pPr>
            <w:pStyle w:val="Normal9"/>
          </w:pP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9"/>
      <w:spacing w:before="200"/>
      <w:jc w:val="cen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0"/>
          </w:pPr>
        </w:p>
      </w:tc>
      <w:tc>
        <w:tcPr>
          <w:tcW w:w="4880" w:type="dxa"/>
          <w:tcMar>
            <w:top w:w="200" w:type="dxa"/>
          </w:tcMar>
          <w:vAlign w:val="center"/>
        </w:tcPr>
        <w:p w:rsidR="00E456CD" w:rsidRDefault="00E456CD">
          <w:pPr>
            <w:pStyle w:val="Normal10"/>
            <w:jc w:val="center"/>
          </w:pPr>
        </w:p>
      </w:tc>
      <w:tc>
        <w:tcPr>
          <w:tcW w:w="2600" w:type="dxa"/>
          <w:tcMar>
            <w:top w:w="200" w:type="dxa"/>
          </w:tcMar>
          <w:vAlign w:val="center"/>
        </w:tcPr>
        <w:p w:rsidR="00E456CD" w:rsidRDefault="00E456CD">
          <w:pPr>
            <w:pStyle w:val="Normal10"/>
          </w:pP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0"/>
      <w:spacing w:before="200"/>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1"/>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1"/>
          </w:pPr>
        </w:p>
      </w:tc>
      <w:tc>
        <w:tcPr>
          <w:tcW w:w="4880" w:type="dxa"/>
          <w:tcMar>
            <w:top w:w="200" w:type="dxa"/>
          </w:tcMar>
          <w:vAlign w:val="center"/>
        </w:tcPr>
        <w:p w:rsidR="00E456CD" w:rsidRDefault="00E456CD">
          <w:pPr>
            <w:pStyle w:val="Normal11"/>
            <w:jc w:val="center"/>
          </w:pPr>
        </w:p>
      </w:tc>
      <w:tc>
        <w:tcPr>
          <w:tcW w:w="2600" w:type="dxa"/>
          <w:tcMar>
            <w:top w:w="200" w:type="dxa"/>
          </w:tcMar>
          <w:vAlign w:val="center"/>
        </w:tcPr>
        <w:p w:rsidR="00E456CD" w:rsidRDefault="00E456CD">
          <w:pPr>
            <w:pStyle w:val="Normal11"/>
          </w:pP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1"/>
      <w:spacing w:before="200"/>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2"/>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2"/>
          </w:pPr>
        </w:p>
      </w:tc>
      <w:tc>
        <w:tcPr>
          <w:tcW w:w="4880" w:type="dxa"/>
          <w:tcMar>
            <w:top w:w="200" w:type="dxa"/>
          </w:tcMar>
          <w:vAlign w:val="center"/>
        </w:tcPr>
        <w:p w:rsidR="00E456CD" w:rsidRDefault="00E456CD">
          <w:pPr>
            <w:pStyle w:val="Normal12"/>
            <w:jc w:val="center"/>
          </w:pPr>
        </w:p>
      </w:tc>
      <w:tc>
        <w:tcPr>
          <w:tcW w:w="2600" w:type="dxa"/>
          <w:tcMar>
            <w:top w:w="200" w:type="dxa"/>
          </w:tcMar>
          <w:vAlign w:val="center"/>
        </w:tcPr>
        <w:p w:rsidR="00E456CD" w:rsidRDefault="00E456CD">
          <w:pPr>
            <w:pStyle w:val="Normal12"/>
          </w:pP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2"/>
      <w:spacing w:before="200"/>
      <w:jc w:val="cen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3"/>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3"/>
          </w:pPr>
        </w:p>
      </w:tc>
      <w:tc>
        <w:tcPr>
          <w:tcW w:w="4880" w:type="dxa"/>
          <w:tcMar>
            <w:top w:w="200" w:type="dxa"/>
          </w:tcMar>
          <w:vAlign w:val="center"/>
        </w:tcPr>
        <w:p w:rsidR="00E456CD" w:rsidRDefault="00E456CD">
          <w:pPr>
            <w:pStyle w:val="Normal13"/>
            <w:jc w:val="center"/>
          </w:pPr>
        </w:p>
      </w:tc>
      <w:tc>
        <w:tcPr>
          <w:tcW w:w="2600" w:type="dxa"/>
          <w:tcMar>
            <w:top w:w="200" w:type="dxa"/>
          </w:tcMar>
          <w:vAlign w:val="center"/>
        </w:tcPr>
        <w:p w:rsidR="00E456CD" w:rsidRDefault="00E456CD">
          <w:pPr>
            <w:pStyle w:val="Normal13"/>
          </w:pP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3"/>
      <w:spacing w:before="200"/>
      <w:jc w:val="cen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4"/>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4"/>
          </w:pPr>
        </w:p>
      </w:tc>
      <w:tc>
        <w:tcPr>
          <w:tcW w:w="4880" w:type="dxa"/>
          <w:tcMar>
            <w:top w:w="200" w:type="dxa"/>
          </w:tcMar>
          <w:vAlign w:val="center"/>
        </w:tcPr>
        <w:p w:rsidR="00E456CD" w:rsidRDefault="00E456CD">
          <w:pPr>
            <w:pStyle w:val="Normal14"/>
            <w:jc w:val="center"/>
          </w:pPr>
        </w:p>
      </w:tc>
      <w:tc>
        <w:tcPr>
          <w:tcW w:w="2600" w:type="dxa"/>
          <w:tcMar>
            <w:top w:w="200" w:type="dxa"/>
          </w:tcMar>
          <w:vAlign w:val="center"/>
        </w:tcPr>
        <w:p w:rsidR="00E456CD" w:rsidRDefault="00E456CD">
          <w:pPr>
            <w:pStyle w:val="Normal14"/>
          </w:pP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4"/>
      <w:spacing w:before="200"/>
      <w:jc w:val="cen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5"/>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5"/>
          </w:pPr>
        </w:p>
      </w:tc>
      <w:tc>
        <w:tcPr>
          <w:tcW w:w="4880" w:type="dxa"/>
          <w:tcMar>
            <w:top w:w="200" w:type="dxa"/>
          </w:tcMar>
          <w:vAlign w:val="center"/>
        </w:tcPr>
        <w:p w:rsidR="00E456CD" w:rsidRDefault="00E456CD">
          <w:pPr>
            <w:pStyle w:val="Normal15"/>
            <w:jc w:val="center"/>
          </w:pPr>
        </w:p>
      </w:tc>
      <w:tc>
        <w:tcPr>
          <w:tcW w:w="2600" w:type="dxa"/>
          <w:tcMar>
            <w:top w:w="200" w:type="dxa"/>
          </w:tcMar>
          <w:vAlign w:val="center"/>
        </w:tcPr>
        <w:p w:rsidR="00E456CD" w:rsidRDefault="00E456CD">
          <w:pPr>
            <w:pStyle w:val="Normal15"/>
          </w:pP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5"/>
      <w:spacing w:before="200"/>
      <w:jc w:val="cen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6"/>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6"/>
          </w:pPr>
        </w:p>
      </w:tc>
      <w:tc>
        <w:tcPr>
          <w:tcW w:w="4880" w:type="dxa"/>
          <w:tcMar>
            <w:top w:w="200" w:type="dxa"/>
          </w:tcMar>
          <w:vAlign w:val="center"/>
        </w:tcPr>
        <w:p w:rsidR="00E456CD" w:rsidRDefault="00E456CD">
          <w:pPr>
            <w:pStyle w:val="Normal16"/>
            <w:jc w:val="center"/>
          </w:pPr>
        </w:p>
      </w:tc>
      <w:tc>
        <w:tcPr>
          <w:tcW w:w="2600" w:type="dxa"/>
          <w:tcMar>
            <w:top w:w="200" w:type="dxa"/>
          </w:tcMar>
          <w:vAlign w:val="center"/>
        </w:tcPr>
        <w:p w:rsidR="00E456CD" w:rsidRDefault="00E456CD">
          <w:pPr>
            <w:pStyle w:val="Normal16"/>
          </w:pP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6"/>
      <w:spacing w:before="200"/>
      <w:jc w:val="cen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7"/>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7"/>
          </w:pPr>
        </w:p>
      </w:tc>
      <w:tc>
        <w:tcPr>
          <w:tcW w:w="4880" w:type="dxa"/>
          <w:tcMar>
            <w:top w:w="200" w:type="dxa"/>
          </w:tcMar>
          <w:vAlign w:val="center"/>
        </w:tcPr>
        <w:p w:rsidR="00E456CD" w:rsidRDefault="00E456CD">
          <w:pPr>
            <w:pStyle w:val="Normal17"/>
            <w:jc w:val="center"/>
          </w:pPr>
        </w:p>
      </w:tc>
      <w:tc>
        <w:tcPr>
          <w:tcW w:w="2600" w:type="dxa"/>
          <w:tcMar>
            <w:top w:w="200" w:type="dxa"/>
          </w:tcMar>
          <w:vAlign w:val="center"/>
        </w:tcPr>
        <w:p w:rsidR="00E456CD" w:rsidRDefault="00E456CD">
          <w:pPr>
            <w:pStyle w:val="Normal17"/>
          </w:pP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7"/>
      <w:spacing w:before="200"/>
      <w:jc w:val="cen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8"/>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8"/>
          </w:pPr>
        </w:p>
      </w:tc>
      <w:tc>
        <w:tcPr>
          <w:tcW w:w="4880" w:type="dxa"/>
          <w:tcMar>
            <w:top w:w="200" w:type="dxa"/>
          </w:tcMar>
          <w:vAlign w:val="center"/>
        </w:tcPr>
        <w:p w:rsidR="00E456CD" w:rsidRDefault="00E456CD">
          <w:pPr>
            <w:pStyle w:val="Normal18"/>
            <w:jc w:val="center"/>
          </w:pPr>
        </w:p>
      </w:tc>
      <w:tc>
        <w:tcPr>
          <w:tcW w:w="2600" w:type="dxa"/>
          <w:tcMar>
            <w:top w:w="200" w:type="dxa"/>
          </w:tcMar>
          <w:vAlign w:val="center"/>
        </w:tcPr>
        <w:p w:rsidR="00E456CD" w:rsidRDefault="00E456CD">
          <w:pPr>
            <w:pStyle w:val="Normal18"/>
          </w:pP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8"/>
      <w:spacing w:before="200"/>
      <w:jc w:val="cen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9"/>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19"/>
          </w:pPr>
        </w:p>
      </w:tc>
      <w:tc>
        <w:tcPr>
          <w:tcW w:w="4880" w:type="dxa"/>
          <w:tcMar>
            <w:top w:w="200" w:type="dxa"/>
          </w:tcMar>
          <w:vAlign w:val="center"/>
        </w:tcPr>
        <w:p w:rsidR="00E456CD" w:rsidRDefault="00E456CD">
          <w:pPr>
            <w:pStyle w:val="Normal19"/>
            <w:jc w:val="center"/>
          </w:pPr>
        </w:p>
      </w:tc>
      <w:tc>
        <w:tcPr>
          <w:tcW w:w="2600" w:type="dxa"/>
          <w:tcMar>
            <w:top w:w="200" w:type="dxa"/>
          </w:tcMar>
          <w:vAlign w:val="center"/>
        </w:tcPr>
        <w:p w:rsidR="00E456CD" w:rsidRDefault="00E456CD">
          <w:pPr>
            <w:pStyle w:val="Normal19"/>
          </w:pPr>
        </w:p>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9"/>
      <w:spacing w:before="200"/>
      <w:jc w:val="cen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0"/>
          </w:pPr>
        </w:p>
      </w:tc>
      <w:tc>
        <w:tcPr>
          <w:tcW w:w="4880" w:type="dxa"/>
          <w:tcMar>
            <w:top w:w="200" w:type="dxa"/>
          </w:tcMar>
          <w:vAlign w:val="center"/>
        </w:tcPr>
        <w:p w:rsidR="00E456CD" w:rsidRDefault="00E456CD">
          <w:pPr>
            <w:pStyle w:val="Normal20"/>
            <w:jc w:val="center"/>
          </w:pPr>
        </w:p>
      </w:tc>
      <w:tc>
        <w:tcPr>
          <w:tcW w:w="2600" w:type="dxa"/>
          <w:tcMar>
            <w:top w:w="200" w:type="dxa"/>
          </w:tcMar>
          <w:vAlign w:val="center"/>
        </w:tcPr>
        <w:p w:rsidR="00E456CD" w:rsidRDefault="00E456CD">
          <w:pPr>
            <w:pStyle w:val="Normal20"/>
          </w:pPr>
        </w:p>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0"/>
      <w:spacing w:before="200"/>
      <w:jc w:val="cen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1"/>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1"/>
          </w:pPr>
        </w:p>
      </w:tc>
      <w:tc>
        <w:tcPr>
          <w:tcW w:w="4880" w:type="dxa"/>
          <w:tcMar>
            <w:top w:w="200" w:type="dxa"/>
          </w:tcMar>
          <w:vAlign w:val="center"/>
        </w:tcPr>
        <w:p w:rsidR="00E456CD" w:rsidRDefault="00E456CD">
          <w:pPr>
            <w:pStyle w:val="Normal21"/>
            <w:jc w:val="center"/>
          </w:pPr>
        </w:p>
      </w:tc>
      <w:tc>
        <w:tcPr>
          <w:tcW w:w="2600" w:type="dxa"/>
          <w:tcMar>
            <w:top w:w="200" w:type="dxa"/>
          </w:tcMar>
          <w:vAlign w:val="center"/>
        </w:tcPr>
        <w:p w:rsidR="00E456CD" w:rsidRDefault="00E456CD">
          <w:pPr>
            <w:pStyle w:val="Normal21"/>
          </w:pPr>
        </w:p>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1"/>
      <w:spacing w:before="200"/>
      <w:jc w:val="cen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2"/>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2"/>
          </w:pPr>
        </w:p>
      </w:tc>
      <w:tc>
        <w:tcPr>
          <w:tcW w:w="4880" w:type="dxa"/>
          <w:tcMar>
            <w:top w:w="200" w:type="dxa"/>
          </w:tcMar>
          <w:vAlign w:val="center"/>
        </w:tcPr>
        <w:p w:rsidR="00E456CD" w:rsidRDefault="00E456CD">
          <w:pPr>
            <w:pStyle w:val="Normal22"/>
            <w:jc w:val="center"/>
          </w:pPr>
        </w:p>
      </w:tc>
      <w:tc>
        <w:tcPr>
          <w:tcW w:w="2600" w:type="dxa"/>
          <w:tcMar>
            <w:top w:w="200" w:type="dxa"/>
          </w:tcMar>
          <w:vAlign w:val="center"/>
        </w:tcPr>
        <w:p w:rsidR="00E456CD" w:rsidRDefault="00E456CD">
          <w:pPr>
            <w:pStyle w:val="Normal22"/>
          </w:pPr>
        </w:p>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2"/>
      <w:spacing w:before="200"/>
      <w:jc w:val="cen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3"/>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3"/>
          </w:pPr>
        </w:p>
      </w:tc>
      <w:tc>
        <w:tcPr>
          <w:tcW w:w="4880" w:type="dxa"/>
          <w:tcMar>
            <w:top w:w="200" w:type="dxa"/>
          </w:tcMar>
          <w:vAlign w:val="center"/>
        </w:tcPr>
        <w:p w:rsidR="00E456CD" w:rsidRDefault="00E456CD">
          <w:pPr>
            <w:pStyle w:val="Normal23"/>
            <w:jc w:val="center"/>
          </w:pPr>
        </w:p>
      </w:tc>
      <w:tc>
        <w:tcPr>
          <w:tcW w:w="2600" w:type="dxa"/>
          <w:tcMar>
            <w:top w:w="200" w:type="dxa"/>
          </w:tcMar>
          <w:vAlign w:val="center"/>
        </w:tcPr>
        <w:p w:rsidR="00E456CD" w:rsidRDefault="00E456CD">
          <w:pPr>
            <w:pStyle w:val="Normal23"/>
          </w:pPr>
        </w:p>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3"/>
      <w:spacing w:before="200"/>
      <w:jc w:val="cen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4"/>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4"/>
          </w:pPr>
        </w:p>
      </w:tc>
      <w:tc>
        <w:tcPr>
          <w:tcW w:w="4880" w:type="dxa"/>
          <w:tcMar>
            <w:top w:w="200" w:type="dxa"/>
          </w:tcMar>
          <w:vAlign w:val="center"/>
        </w:tcPr>
        <w:p w:rsidR="00E456CD" w:rsidRDefault="00E456CD">
          <w:pPr>
            <w:pStyle w:val="Normal24"/>
            <w:jc w:val="center"/>
          </w:pPr>
        </w:p>
      </w:tc>
      <w:tc>
        <w:tcPr>
          <w:tcW w:w="2600" w:type="dxa"/>
          <w:tcMar>
            <w:top w:w="200" w:type="dxa"/>
          </w:tcMar>
          <w:vAlign w:val="center"/>
        </w:tcPr>
        <w:p w:rsidR="00E456CD" w:rsidRDefault="00E456CD">
          <w:pPr>
            <w:pStyle w:val="Normal24"/>
          </w:pPr>
        </w:p>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4"/>
      <w:spacing w:before="200"/>
      <w:jc w:val="cen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5"/>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5"/>
          </w:pPr>
        </w:p>
      </w:tc>
      <w:tc>
        <w:tcPr>
          <w:tcW w:w="4880" w:type="dxa"/>
          <w:tcMar>
            <w:top w:w="200" w:type="dxa"/>
          </w:tcMar>
          <w:vAlign w:val="center"/>
        </w:tcPr>
        <w:p w:rsidR="00E456CD" w:rsidRDefault="00E456CD">
          <w:pPr>
            <w:pStyle w:val="Normal25"/>
            <w:jc w:val="center"/>
          </w:pPr>
        </w:p>
      </w:tc>
      <w:tc>
        <w:tcPr>
          <w:tcW w:w="2600" w:type="dxa"/>
          <w:tcMar>
            <w:top w:w="200" w:type="dxa"/>
          </w:tcMar>
          <w:vAlign w:val="center"/>
        </w:tcPr>
        <w:p w:rsidR="00E456CD" w:rsidRDefault="00E456CD">
          <w:pPr>
            <w:pStyle w:val="Normal25"/>
          </w:pPr>
        </w:p>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5"/>
      <w:spacing w:before="200"/>
      <w:jc w:val="cente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6"/>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6"/>
          </w:pPr>
        </w:p>
      </w:tc>
      <w:tc>
        <w:tcPr>
          <w:tcW w:w="4880" w:type="dxa"/>
          <w:tcMar>
            <w:top w:w="200" w:type="dxa"/>
          </w:tcMar>
          <w:vAlign w:val="center"/>
        </w:tcPr>
        <w:p w:rsidR="00E456CD" w:rsidRDefault="00E456CD">
          <w:pPr>
            <w:pStyle w:val="Normal26"/>
            <w:jc w:val="center"/>
          </w:pPr>
        </w:p>
      </w:tc>
      <w:tc>
        <w:tcPr>
          <w:tcW w:w="2600" w:type="dxa"/>
          <w:tcMar>
            <w:top w:w="200" w:type="dxa"/>
          </w:tcMar>
          <w:vAlign w:val="center"/>
        </w:tcPr>
        <w:p w:rsidR="00E456CD" w:rsidRDefault="00E456CD">
          <w:pPr>
            <w:pStyle w:val="Normal26"/>
          </w:pPr>
        </w:p>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6"/>
      <w:spacing w:before="200"/>
      <w:jc w:val="cente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7"/>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7"/>
          </w:pPr>
        </w:p>
      </w:tc>
      <w:tc>
        <w:tcPr>
          <w:tcW w:w="4880" w:type="dxa"/>
          <w:tcMar>
            <w:top w:w="200" w:type="dxa"/>
          </w:tcMar>
          <w:vAlign w:val="center"/>
        </w:tcPr>
        <w:p w:rsidR="00E456CD" w:rsidRDefault="00E456CD">
          <w:pPr>
            <w:pStyle w:val="Normal27"/>
            <w:jc w:val="center"/>
          </w:pPr>
        </w:p>
      </w:tc>
      <w:tc>
        <w:tcPr>
          <w:tcW w:w="2600" w:type="dxa"/>
          <w:tcMar>
            <w:top w:w="200" w:type="dxa"/>
          </w:tcMar>
          <w:vAlign w:val="center"/>
        </w:tcPr>
        <w:p w:rsidR="00E456CD" w:rsidRDefault="00E456CD">
          <w:pPr>
            <w:pStyle w:val="Normal27"/>
          </w:pPr>
        </w:p>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7"/>
      <w:spacing w:before="200"/>
      <w:jc w:val="cente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8"/>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8"/>
          </w:pPr>
        </w:p>
      </w:tc>
      <w:tc>
        <w:tcPr>
          <w:tcW w:w="4880" w:type="dxa"/>
          <w:tcMar>
            <w:top w:w="200" w:type="dxa"/>
          </w:tcMar>
          <w:vAlign w:val="center"/>
        </w:tcPr>
        <w:p w:rsidR="00E456CD" w:rsidRDefault="00E456CD">
          <w:pPr>
            <w:pStyle w:val="Normal28"/>
            <w:jc w:val="center"/>
          </w:pPr>
        </w:p>
      </w:tc>
      <w:tc>
        <w:tcPr>
          <w:tcW w:w="2600" w:type="dxa"/>
          <w:tcMar>
            <w:top w:w="200" w:type="dxa"/>
          </w:tcMar>
          <w:vAlign w:val="center"/>
        </w:tcPr>
        <w:p w:rsidR="00E456CD" w:rsidRDefault="00E456CD">
          <w:pPr>
            <w:pStyle w:val="Normal28"/>
          </w:pPr>
        </w:p>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8"/>
      <w:spacing w:before="200"/>
      <w:jc w:val="cen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9"/>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29"/>
          </w:pPr>
        </w:p>
      </w:tc>
      <w:tc>
        <w:tcPr>
          <w:tcW w:w="4880" w:type="dxa"/>
          <w:tcMar>
            <w:top w:w="200" w:type="dxa"/>
          </w:tcMar>
          <w:vAlign w:val="center"/>
        </w:tcPr>
        <w:p w:rsidR="00E456CD" w:rsidRDefault="00E456CD">
          <w:pPr>
            <w:pStyle w:val="Normal29"/>
            <w:jc w:val="center"/>
          </w:pPr>
        </w:p>
      </w:tc>
      <w:tc>
        <w:tcPr>
          <w:tcW w:w="2600" w:type="dxa"/>
          <w:tcMar>
            <w:top w:w="200" w:type="dxa"/>
          </w:tcMar>
          <w:vAlign w:val="center"/>
        </w:tcPr>
        <w:p w:rsidR="00E456CD" w:rsidRDefault="00E456CD">
          <w:pPr>
            <w:pStyle w:val="Normal29"/>
          </w:pPr>
        </w:p>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9"/>
      <w:spacing w:before="200"/>
      <w:jc w:val="cente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0"/>
          </w:pPr>
        </w:p>
      </w:tc>
      <w:tc>
        <w:tcPr>
          <w:tcW w:w="4880" w:type="dxa"/>
          <w:tcMar>
            <w:top w:w="200" w:type="dxa"/>
          </w:tcMar>
          <w:vAlign w:val="center"/>
        </w:tcPr>
        <w:p w:rsidR="00E456CD" w:rsidRDefault="00E456CD">
          <w:pPr>
            <w:pStyle w:val="Normal30"/>
            <w:jc w:val="center"/>
          </w:pPr>
        </w:p>
      </w:tc>
      <w:tc>
        <w:tcPr>
          <w:tcW w:w="2600" w:type="dxa"/>
          <w:tcMar>
            <w:top w:w="200" w:type="dxa"/>
          </w:tcMar>
          <w:vAlign w:val="center"/>
        </w:tcPr>
        <w:p w:rsidR="00E456CD" w:rsidRDefault="00E456CD">
          <w:pPr>
            <w:pStyle w:val="Normal30"/>
          </w:pPr>
        </w:p>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0"/>
      <w:spacing w:before="200"/>
      <w:jc w:val="cente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1"/>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1"/>
          </w:pPr>
        </w:p>
      </w:tc>
      <w:tc>
        <w:tcPr>
          <w:tcW w:w="4880" w:type="dxa"/>
          <w:tcMar>
            <w:top w:w="200" w:type="dxa"/>
          </w:tcMar>
          <w:vAlign w:val="center"/>
        </w:tcPr>
        <w:p w:rsidR="00E456CD" w:rsidRDefault="00E456CD">
          <w:pPr>
            <w:pStyle w:val="Normal31"/>
            <w:jc w:val="center"/>
          </w:pPr>
        </w:p>
      </w:tc>
      <w:tc>
        <w:tcPr>
          <w:tcW w:w="2600" w:type="dxa"/>
          <w:tcMar>
            <w:top w:w="200" w:type="dxa"/>
          </w:tcMar>
          <w:vAlign w:val="center"/>
        </w:tcPr>
        <w:p w:rsidR="00E456CD" w:rsidRDefault="00E456CD">
          <w:pPr>
            <w:pStyle w:val="Normal31"/>
          </w:pPr>
        </w:p>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1"/>
      <w:spacing w:before="200"/>
      <w:jc w:val="cente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2"/>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2"/>
          </w:pPr>
        </w:p>
      </w:tc>
      <w:tc>
        <w:tcPr>
          <w:tcW w:w="4880" w:type="dxa"/>
          <w:tcMar>
            <w:top w:w="200" w:type="dxa"/>
          </w:tcMar>
          <w:vAlign w:val="center"/>
        </w:tcPr>
        <w:p w:rsidR="00E456CD" w:rsidRDefault="00E456CD">
          <w:pPr>
            <w:pStyle w:val="Normal32"/>
            <w:jc w:val="center"/>
          </w:pPr>
        </w:p>
      </w:tc>
      <w:tc>
        <w:tcPr>
          <w:tcW w:w="2600" w:type="dxa"/>
          <w:tcMar>
            <w:top w:w="200" w:type="dxa"/>
          </w:tcMar>
          <w:vAlign w:val="center"/>
        </w:tcPr>
        <w:p w:rsidR="00E456CD" w:rsidRDefault="00E456CD">
          <w:pPr>
            <w:pStyle w:val="Normal32"/>
          </w:pPr>
        </w:p>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2"/>
      <w:spacing w:before="200"/>
      <w:jc w:val="cente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3"/>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3"/>
          </w:pPr>
        </w:p>
      </w:tc>
      <w:tc>
        <w:tcPr>
          <w:tcW w:w="4880" w:type="dxa"/>
          <w:tcMar>
            <w:top w:w="200" w:type="dxa"/>
          </w:tcMar>
          <w:vAlign w:val="center"/>
        </w:tcPr>
        <w:p w:rsidR="00E456CD" w:rsidRDefault="00E456CD">
          <w:pPr>
            <w:pStyle w:val="Normal33"/>
            <w:jc w:val="center"/>
          </w:pPr>
        </w:p>
      </w:tc>
      <w:tc>
        <w:tcPr>
          <w:tcW w:w="2600" w:type="dxa"/>
          <w:tcMar>
            <w:top w:w="200" w:type="dxa"/>
          </w:tcMar>
          <w:vAlign w:val="center"/>
        </w:tcPr>
        <w:p w:rsidR="00E456CD" w:rsidRDefault="00E456CD">
          <w:pPr>
            <w:pStyle w:val="Normal33"/>
          </w:pPr>
        </w:p>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3"/>
      <w:spacing w:before="200"/>
      <w:jc w:val="cente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4"/>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4"/>
          </w:pPr>
        </w:p>
      </w:tc>
      <w:tc>
        <w:tcPr>
          <w:tcW w:w="4880" w:type="dxa"/>
          <w:tcMar>
            <w:top w:w="200" w:type="dxa"/>
          </w:tcMar>
          <w:vAlign w:val="center"/>
        </w:tcPr>
        <w:p w:rsidR="00E456CD" w:rsidRDefault="00E456CD">
          <w:pPr>
            <w:pStyle w:val="Normal34"/>
            <w:jc w:val="center"/>
          </w:pPr>
        </w:p>
      </w:tc>
      <w:tc>
        <w:tcPr>
          <w:tcW w:w="2600" w:type="dxa"/>
          <w:tcMar>
            <w:top w:w="200" w:type="dxa"/>
          </w:tcMar>
          <w:vAlign w:val="center"/>
        </w:tcPr>
        <w:p w:rsidR="00E456CD" w:rsidRDefault="00E456CD">
          <w:pPr>
            <w:pStyle w:val="Normal34"/>
          </w:pPr>
        </w:p>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4"/>
      <w:spacing w:before="200"/>
      <w:jc w:val="cente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5"/>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5"/>
          </w:pPr>
        </w:p>
      </w:tc>
      <w:tc>
        <w:tcPr>
          <w:tcW w:w="4880" w:type="dxa"/>
          <w:tcMar>
            <w:top w:w="200" w:type="dxa"/>
          </w:tcMar>
          <w:vAlign w:val="center"/>
        </w:tcPr>
        <w:p w:rsidR="00E456CD" w:rsidRDefault="00E456CD">
          <w:pPr>
            <w:pStyle w:val="Normal35"/>
            <w:jc w:val="center"/>
          </w:pPr>
        </w:p>
      </w:tc>
      <w:tc>
        <w:tcPr>
          <w:tcW w:w="2600" w:type="dxa"/>
          <w:tcMar>
            <w:top w:w="200" w:type="dxa"/>
          </w:tcMar>
          <w:vAlign w:val="center"/>
        </w:tcPr>
        <w:p w:rsidR="00E456CD" w:rsidRDefault="00E456CD">
          <w:pPr>
            <w:pStyle w:val="Normal35"/>
          </w:pPr>
        </w:p>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5"/>
      <w:spacing w:before="200"/>
      <w:jc w:val="center"/>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6"/>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6"/>
          </w:pPr>
        </w:p>
      </w:tc>
      <w:tc>
        <w:tcPr>
          <w:tcW w:w="4880" w:type="dxa"/>
          <w:tcMar>
            <w:top w:w="200" w:type="dxa"/>
          </w:tcMar>
          <w:vAlign w:val="center"/>
        </w:tcPr>
        <w:p w:rsidR="00E456CD" w:rsidRDefault="00E456CD">
          <w:pPr>
            <w:pStyle w:val="Normal36"/>
            <w:jc w:val="center"/>
          </w:pPr>
        </w:p>
      </w:tc>
      <w:tc>
        <w:tcPr>
          <w:tcW w:w="2600" w:type="dxa"/>
          <w:tcMar>
            <w:top w:w="200" w:type="dxa"/>
          </w:tcMar>
          <w:vAlign w:val="center"/>
        </w:tcPr>
        <w:p w:rsidR="00E456CD" w:rsidRDefault="00E456CD">
          <w:pPr>
            <w:pStyle w:val="Normal36"/>
          </w:pPr>
        </w:p>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6"/>
      <w:spacing w:before="200"/>
      <w:jc w:val="cente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7"/>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7"/>
          </w:pPr>
        </w:p>
      </w:tc>
      <w:tc>
        <w:tcPr>
          <w:tcW w:w="4880" w:type="dxa"/>
          <w:tcMar>
            <w:top w:w="200" w:type="dxa"/>
          </w:tcMar>
          <w:vAlign w:val="center"/>
        </w:tcPr>
        <w:p w:rsidR="00E456CD" w:rsidRDefault="00E456CD">
          <w:pPr>
            <w:pStyle w:val="Normal37"/>
            <w:jc w:val="center"/>
          </w:pPr>
        </w:p>
      </w:tc>
      <w:tc>
        <w:tcPr>
          <w:tcW w:w="2600" w:type="dxa"/>
          <w:tcMar>
            <w:top w:w="200" w:type="dxa"/>
          </w:tcMar>
          <w:vAlign w:val="center"/>
        </w:tcPr>
        <w:p w:rsidR="00E456CD" w:rsidRDefault="00E456CD">
          <w:pPr>
            <w:pStyle w:val="Normal37"/>
          </w:pPr>
        </w:p>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7"/>
      <w:spacing w:before="200"/>
      <w:jc w:val="cente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8"/>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8"/>
          </w:pPr>
        </w:p>
      </w:tc>
      <w:tc>
        <w:tcPr>
          <w:tcW w:w="4880" w:type="dxa"/>
          <w:tcMar>
            <w:top w:w="200" w:type="dxa"/>
          </w:tcMar>
          <w:vAlign w:val="center"/>
        </w:tcPr>
        <w:p w:rsidR="00E456CD" w:rsidRDefault="00E456CD">
          <w:pPr>
            <w:pStyle w:val="Normal38"/>
            <w:jc w:val="center"/>
          </w:pPr>
        </w:p>
      </w:tc>
      <w:tc>
        <w:tcPr>
          <w:tcW w:w="2600" w:type="dxa"/>
          <w:tcMar>
            <w:top w:w="200" w:type="dxa"/>
          </w:tcMar>
          <w:vAlign w:val="center"/>
        </w:tcPr>
        <w:p w:rsidR="00E456CD" w:rsidRDefault="00E456CD">
          <w:pPr>
            <w:pStyle w:val="Normal38"/>
          </w:pPr>
        </w:p>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8"/>
      <w:spacing w:before="200"/>
      <w:jc w:val="center"/>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9"/>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39"/>
          </w:pPr>
        </w:p>
      </w:tc>
      <w:tc>
        <w:tcPr>
          <w:tcW w:w="4880" w:type="dxa"/>
          <w:tcMar>
            <w:top w:w="200" w:type="dxa"/>
          </w:tcMar>
          <w:vAlign w:val="center"/>
        </w:tcPr>
        <w:p w:rsidR="00E456CD" w:rsidRDefault="00E456CD">
          <w:pPr>
            <w:pStyle w:val="Normal39"/>
            <w:jc w:val="center"/>
          </w:pPr>
        </w:p>
      </w:tc>
      <w:tc>
        <w:tcPr>
          <w:tcW w:w="2600" w:type="dxa"/>
          <w:tcMar>
            <w:top w:w="200" w:type="dxa"/>
          </w:tcMar>
          <w:vAlign w:val="center"/>
        </w:tcPr>
        <w:p w:rsidR="00E456CD" w:rsidRDefault="00E456CD">
          <w:pPr>
            <w:pStyle w:val="Normal39"/>
          </w:pPr>
        </w:p>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9"/>
      <w:spacing w:before="200"/>
      <w:jc w:val="center"/>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0"/>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0"/>
          </w:pPr>
        </w:p>
      </w:tc>
      <w:tc>
        <w:tcPr>
          <w:tcW w:w="4880" w:type="dxa"/>
          <w:tcMar>
            <w:top w:w="200" w:type="dxa"/>
          </w:tcMar>
          <w:vAlign w:val="center"/>
        </w:tcPr>
        <w:p w:rsidR="00E456CD" w:rsidRDefault="00E456CD">
          <w:pPr>
            <w:pStyle w:val="Normal40"/>
            <w:jc w:val="center"/>
          </w:pPr>
        </w:p>
      </w:tc>
      <w:tc>
        <w:tcPr>
          <w:tcW w:w="2600" w:type="dxa"/>
          <w:tcMar>
            <w:top w:w="200" w:type="dxa"/>
          </w:tcMar>
          <w:vAlign w:val="center"/>
        </w:tcPr>
        <w:p w:rsidR="00E456CD" w:rsidRDefault="00E456CD">
          <w:pPr>
            <w:pStyle w:val="Normal40"/>
          </w:pPr>
        </w:p>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0"/>
      <w:spacing w:before="200"/>
      <w:jc w:val="cente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1"/>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1"/>
          </w:pPr>
        </w:p>
      </w:tc>
      <w:tc>
        <w:tcPr>
          <w:tcW w:w="4880" w:type="dxa"/>
          <w:tcMar>
            <w:top w:w="200" w:type="dxa"/>
          </w:tcMar>
          <w:vAlign w:val="center"/>
        </w:tcPr>
        <w:p w:rsidR="00E456CD" w:rsidRDefault="00E456CD">
          <w:pPr>
            <w:pStyle w:val="Normal41"/>
            <w:jc w:val="center"/>
          </w:pPr>
        </w:p>
      </w:tc>
      <w:tc>
        <w:tcPr>
          <w:tcW w:w="2600" w:type="dxa"/>
          <w:tcMar>
            <w:top w:w="200" w:type="dxa"/>
          </w:tcMar>
          <w:vAlign w:val="center"/>
        </w:tcPr>
        <w:p w:rsidR="00E456CD" w:rsidRDefault="00E456CD">
          <w:pPr>
            <w:pStyle w:val="Normal41"/>
          </w:pPr>
        </w:p>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1"/>
      <w:spacing w:before="200"/>
      <w:jc w:val="center"/>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2"/>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2"/>
          </w:pPr>
        </w:p>
      </w:tc>
      <w:tc>
        <w:tcPr>
          <w:tcW w:w="4880" w:type="dxa"/>
          <w:tcMar>
            <w:top w:w="200" w:type="dxa"/>
          </w:tcMar>
          <w:vAlign w:val="center"/>
        </w:tcPr>
        <w:p w:rsidR="00E456CD" w:rsidRDefault="00E456CD">
          <w:pPr>
            <w:pStyle w:val="Normal42"/>
            <w:jc w:val="center"/>
          </w:pPr>
        </w:p>
      </w:tc>
      <w:tc>
        <w:tcPr>
          <w:tcW w:w="2600" w:type="dxa"/>
          <w:tcMar>
            <w:top w:w="200" w:type="dxa"/>
          </w:tcMar>
          <w:vAlign w:val="center"/>
        </w:tcPr>
        <w:p w:rsidR="00E456CD" w:rsidRDefault="00E456CD">
          <w:pPr>
            <w:pStyle w:val="Normal42"/>
          </w:pPr>
        </w:p>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2"/>
      <w:spacing w:before="200"/>
      <w:jc w:val="center"/>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3"/>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3"/>
          </w:pPr>
        </w:p>
      </w:tc>
      <w:tc>
        <w:tcPr>
          <w:tcW w:w="4880" w:type="dxa"/>
          <w:tcMar>
            <w:top w:w="200" w:type="dxa"/>
          </w:tcMar>
          <w:vAlign w:val="center"/>
        </w:tcPr>
        <w:p w:rsidR="00E456CD" w:rsidRDefault="00E456CD">
          <w:pPr>
            <w:pStyle w:val="Normal43"/>
            <w:jc w:val="center"/>
          </w:pPr>
        </w:p>
      </w:tc>
      <w:tc>
        <w:tcPr>
          <w:tcW w:w="2600" w:type="dxa"/>
          <w:tcMar>
            <w:top w:w="200" w:type="dxa"/>
          </w:tcMar>
          <w:vAlign w:val="center"/>
        </w:tcPr>
        <w:p w:rsidR="00E456CD" w:rsidRDefault="00E456CD">
          <w:pPr>
            <w:pStyle w:val="Normal43"/>
          </w:pPr>
        </w:p>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3"/>
      <w:spacing w:before="200"/>
      <w:jc w:val="center"/>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4"/>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4"/>
          </w:pPr>
        </w:p>
      </w:tc>
      <w:tc>
        <w:tcPr>
          <w:tcW w:w="4880" w:type="dxa"/>
          <w:tcMar>
            <w:top w:w="200" w:type="dxa"/>
          </w:tcMar>
          <w:vAlign w:val="center"/>
        </w:tcPr>
        <w:p w:rsidR="00E456CD" w:rsidRDefault="00E456CD">
          <w:pPr>
            <w:pStyle w:val="Normal44"/>
            <w:jc w:val="center"/>
          </w:pPr>
        </w:p>
      </w:tc>
      <w:tc>
        <w:tcPr>
          <w:tcW w:w="2600" w:type="dxa"/>
          <w:tcMar>
            <w:top w:w="200" w:type="dxa"/>
          </w:tcMar>
          <w:vAlign w:val="center"/>
        </w:tcPr>
        <w:p w:rsidR="00E456CD" w:rsidRDefault="00E456CD">
          <w:pPr>
            <w:pStyle w:val="Normal44"/>
          </w:pPr>
        </w:p>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4"/>
      <w:spacing w:before="200"/>
      <w:jc w:val="center"/>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5"/>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5"/>
          </w:pPr>
        </w:p>
      </w:tc>
      <w:tc>
        <w:tcPr>
          <w:tcW w:w="4880" w:type="dxa"/>
          <w:tcMar>
            <w:top w:w="200" w:type="dxa"/>
          </w:tcMar>
          <w:vAlign w:val="center"/>
        </w:tcPr>
        <w:p w:rsidR="00E456CD" w:rsidRDefault="00E456CD">
          <w:pPr>
            <w:pStyle w:val="Normal45"/>
            <w:jc w:val="center"/>
          </w:pPr>
        </w:p>
      </w:tc>
      <w:tc>
        <w:tcPr>
          <w:tcW w:w="2600" w:type="dxa"/>
          <w:tcMar>
            <w:top w:w="200" w:type="dxa"/>
          </w:tcMar>
          <w:vAlign w:val="center"/>
        </w:tcPr>
        <w:p w:rsidR="00E456CD" w:rsidRDefault="00E456CD">
          <w:pPr>
            <w:pStyle w:val="Normal45"/>
          </w:pPr>
        </w:p>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5"/>
      <w:spacing w:before="200"/>
      <w:jc w:val="center"/>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6"/>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6"/>
          </w:pPr>
        </w:p>
      </w:tc>
      <w:tc>
        <w:tcPr>
          <w:tcW w:w="4880" w:type="dxa"/>
          <w:tcMar>
            <w:top w:w="200" w:type="dxa"/>
          </w:tcMar>
          <w:vAlign w:val="center"/>
        </w:tcPr>
        <w:p w:rsidR="00E456CD" w:rsidRDefault="00E456CD">
          <w:pPr>
            <w:pStyle w:val="Normal46"/>
            <w:jc w:val="center"/>
          </w:pPr>
        </w:p>
      </w:tc>
      <w:tc>
        <w:tcPr>
          <w:tcW w:w="2600" w:type="dxa"/>
          <w:tcMar>
            <w:top w:w="200" w:type="dxa"/>
          </w:tcMar>
          <w:vAlign w:val="center"/>
        </w:tcPr>
        <w:p w:rsidR="00E456CD" w:rsidRDefault="00E456CD">
          <w:pPr>
            <w:pStyle w:val="Normal46"/>
          </w:pPr>
        </w:p>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6"/>
      <w:spacing w:before="200"/>
      <w:jc w:val="center"/>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7"/>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7"/>
          </w:pPr>
        </w:p>
      </w:tc>
      <w:tc>
        <w:tcPr>
          <w:tcW w:w="4880" w:type="dxa"/>
          <w:tcMar>
            <w:top w:w="200" w:type="dxa"/>
          </w:tcMar>
          <w:vAlign w:val="center"/>
        </w:tcPr>
        <w:p w:rsidR="00E456CD" w:rsidRDefault="00E456CD">
          <w:pPr>
            <w:pStyle w:val="Normal47"/>
            <w:jc w:val="center"/>
          </w:pPr>
        </w:p>
      </w:tc>
      <w:tc>
        <w:tcPr>
          <w:tcW w:w="2600" w:type="dxa"/>
          <w:tcMar>
            <w:top w:w="200" w:type="dxa"/>
          </w:tcMar>
          <w:vAlign w:val="center"/>
        </w:tcPr>
        <w:p w:rsidR="00E456CD" w:rsidRDefault="00E456CD">
          <w:pPr>
            <w:pStyle w:val="Normal47"/>
          </w:pPr>
        </w:p>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7"/>
      <w:spacing w:before="200"/>
      <w:jc w:val="center"/>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8"/>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8"/>
          </w:pPr>
        </w:p>
      </w:tc>
      <w:tc>
        <w:tcPr>
          <w:tcW w:w="4880" w:type="dxa"/>
          <w:tcMar>
            <w:top w:w="200" w:type="dxa"/>
          </w:tcMar>
          <w:vAlign w:val="center"/>
        </w:tcPr>
        <w:p w:rsidR="00E456CD" w:rsidRDefault="00E456CD">
          <w:pPr>
            <w:pStyle w:val="Normal48"/>
            <w:jc w:val="center"/>
          </w:pPr>
        </w:p>
      </w:tc>
      <w:tc>
        <w:tcPr>
          <w:tcW w:w="2600" w:type="dxa"/>
          <w:tcMar>
            <w:top w:w="200" w:type="dxa"/>
          </w:tcMar>
          <w:vAlign w:val="center"/>
        </w:tcPr>
        <w:p w:rsidR="00E456CD" w:rsidRDefault="00E456CD">
          <w:pPr>
            <w:pStyle w:val="Normal48"/>
          </w:pPr>
        </w:p>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8"/>
      <w:spacing w:before="200"/>
      <w:jc w:val="center"/>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9"/>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456CD">
      <w:trPr>
        <w:jc w:val="center"/>
      </w:trPr>
      <w:tc>
        <w:tcPr>
          <w:tcW w:w="2600" w:type="dxa"/>
          <w:tcMar>
            <w:top w:w="200" w:type="dxa"/>
          </w:tcMar>
          <w:vAlign w:val="center"/>
        </w:tcPr>
        <w:p w:rsidR="00E456CD" w:rsidRDefault="00E456CD">
          <w:pPr>
            <w:pStyle w:val="Normal49"/>
          </w:pPr>
        </w:p>
      </w:tc>
      <w:tc>
        <w:tcPr>
          <w:tcW w:w="4880" w:type="dxa"/>
          <w:tcMar>
            <w:top w:w="200" w:type="dxa"/>
          </w:tcMar>
          <w:vAlign w:val="center"/>
        </w:tcPr>
        <w:p w:rsidR="00E456CD" w:rsidRDefault="00E456CD">
          <w:pPr>
            <w:pStyle w:val="Normal49"/>
            <w:jc w:val="center"/>
          </w:pPr>
        </w:p>
      </w:tc>
      <w:tc>
        <w:tcPr>
          <w:tcW w:w="2600" w:type="dxa"/>
          <w:tcMar>
            <w:top w:w="200" w:type="dxa"/>
          </w:tcMar>
          <w:vAlign w:val="center"/>
        </w:tcPr>
        <w:p w:rsidR="00E456CD" w:rsidRDefault="00E456CD">
          <w:pPr>
            <w:pStyle w:val="Normal49"/>
          </w:pPr>
        </w:p>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9"/>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73AC" w:rsidRDefault="008573AC">
      <w:r>
        <w:separator/>
      </w:r>
    </w:p>
  </w:footnote>
  <w:footnote w:type="continuationSeparator" w:id="0">
    <w:p w:rsidR="008573AC" w:rsidRDefault="008573AC">
      <w:r>
        <w:continuationSeparator/>
      </w:r>
    </w:p>
  </w:footnote>
  <w:footnote w:id="1">
    <w:p w:rsidR="00E456CD" w:rsidRDefault="00000000">
      <w:pPr>
        <w:pStyle w:val="Normal1"/>
        <w:widowControl w:val="0"/>
        <w:spacing w:before="200" w:line="240" w:lineRule="atLeast"/>
        <w:jc w:val="both"/>
      </w:pPr>
      <w:r>
        <w:rPr>
          <w:rFonts w:ascii="Arial" w:eastAsia="Arial" w:hAnsi="Arial" w:cs="Arial"/>
          <w:color w:val="000000"/>
          <w:sz w:val="18"/>
          <w:vertAlign w:val="superscript"/>
        </w:rPr>
        <w:t>1 </w:t>
      </w:r>
      <w:bookmarkStart w:id="58" w:name="Bookmark_fnpara_1"/>
      <w:bookmarkStart w:id="59" w:name="Bookmark_I5WSB5WW2HM6H50020000400"/>
      <w:bookmarkEnd w:id="58"/>
      <w:bookmarkEnd w:id="59"/>
      <w:r>
        <w:rPr>
          <w:rFonts w:ascii="Arial" w:eastAsia="Arial" w:hAnsi="Arial" w:cs="Arial"/>
          <w:color w:val="000000"/>
          <w:sz w:val="18"/>
        </w:rPr>
        <w:t xml:space="preserve">This recitation of the facts accepts as true the well-pleaded allegations of Furgess's complaint, as required upon reviewing dismissal on a 12(b)(6) motion. </w:t>
      </w:r>
      <w:r>
        <w:rPr>
          <w:rFonts w:ascii="Arial" w:eastAsia="Arial" w:hAnsi="Arial" w:cs="Arial"/>
          <w:i/>
          <w:color w:val="000000"/>
          <w:sz w:val="18"/>
        </w:rPr>
        <w:t xml:space="preserve">See </w:t>
      </w:r>
      <w:bookmarkStart w:id="60" w:name="Bookmark_I5WSB5WW2HM6H50010000400"/>
      <w:bookmarkEnd w:id="60"/>
      <w:r>
        <w:rPr>
          <w:rFonts w:ascii="Arial" w:eastAsia="Arial" w:hAnsi="Arial" w:cs="Arial"/>
          <w:i/>
          <w:color w:val="000000"/>
          <w:sz w:val="18"/>
        </w:rPr>
        <w:t>McTernan v. City of York, Pa.</w:t>
      </w:r>
      <w:r>
        <w:rPr>
          <w:rFonts w:ascii="Arial" w:eastAsia="Arial" w:hAnsi="Arial" w:cs="Arial"/>
          <w:color w:val="000000"/>
          <w:sz w:val="18"/>
        </w:rPr>
        <w:t>, 577 F.3d 521, 526 (3d Cir. 2009).</w:t>
      </w:r>
    </w:p>
  </w:footnote>
  <w:footnote w:id="2">
    <w:p w:rsidR="00E456CD" w:rsidRDefault="00000000">
      <w:pPr>
        <w:pStyle w:val="Normal1"/>
        <w:widowControl w:val="0"/>
        <w:spacing w:before="120" w:line="240" w:lineRule="atLeast"/>
        <w:jc w:val="both"/>
      </w:pPr>
      <w:r>
        <w:rPr>
          <w:rFonts w:ascii="Arial" w:eastAsia="Arial" w:hAnsi="Arial" w:cs="Arial"/>
          <w:color w:val="000000"/>
          <w:sz w:val="18"/>
          <w:vertAlign w:val="superscript"/>
        </w:rPr>
        <w:t>2 </w:t>
      </w:r>
      <w:bookmarkStart w:id="62" w:name="Bookmark_fnpara_2"/>
      <w:bookmarkEnd w:id="62"/>
      <w:r>
        <w:rPr>
          <w:rFonts w:ascii="Arial" w:eastAsia="Arial" w:hAnsi="Arial" w:cs="Arial"/>
          <w:color w:val="000000"/>
          <w:sz w:val="18"/>
        </w:rPr>
        <w:t>The complaint does not indicate why Furgess was moved to the RHU and, in their briefs, the parties dispute whether he was transferred for disciplinary or non-disciplinary reasons. The reason Furgess was housed in the RHU is irrelevant to our analysis of his claims, as discussed in Section III(B).</w:t>
      </w:r>
    </w:p>
  </w:footnote>
  <w:footnote w:id="3">
    <w:p w:rsidR="00E456CD" w:rsidRDefault="00000000">
      <w:pPr>
        <w:pStyle w:val="Normal1"/>
        <w:widowControl w:val="0"/>
        <w:spacing w:before="200" w:line="240" w:lineRule="atLeast"/>
        <w:jc w:val="both"/>
      </w:pPr>
      <w:r>
        <w:rPr>
          <w:rFonts w:ascii="Arial" w:eastAsia="Arial" w:hAnsi="Arial" w:cs="Arial"/>
          <w:color w:val="000000"/>
          <w:sz w:val="18"/>
          <w:vertAlign w:val="superscript"/>
        </w:rPr>
        <w:t>3 </w:t>
      </w:r>
      <w:bookmarkStart w:id="68" w:name="Bookmark_fnpara_3"/>
      <w:bookmarkStart w:id="69" w:name="Bookmark_I5WSB5WW2HM6H50030000400"/>
      <w:bookmarkEnd w:id="68"/>
      <w:bookmarkEnd w:id="69"/>
      <w:r>
        <w:rPr>
          <w:rFonts w:ascii="Arial" w:eastAsia="Arial" w:hAnsi="Arial" w:cs="Arial"/>
          <w:i/>
          <w:color w:val="000000"/>
          <w:sz w:val="18"/>
        </w:rPr>
        <w:t>Phillips v. Cty. of Allegheny</w:t>
      </w:r>
      <w:r>
        <w:rPr>
          <w:rFonts w:ascii="Arial" w:eastAsia="Arial" w:hAnsi="Arial" w:cs="Arial"/>
          <w:color w:val="000000"/>
          <w:sz w:val="18"/>
        </w:rPr>
        <w:t>, 515 F.3d 224, 230 (3d Cir. 2008).</w:t>
      </w:r>
    </w:p>
  </w:footnote>
  <w:footnote w:id="4">
    <w:p w:rsidR="00E456CD" w:rsidRDefault="00000000">
      <w:pPr>
        <w:pStyle w:val="Normal1"/>
        <w:widowControl w:val="0"/>
        <w:spacing w:before="200" w:line="240" w:lineRule="atLeast"/>
        <w:jc w:val="both"/>
      </w:pPr>
      <w:r>
        <w:rPr>
          <w:rFonts w:ascii="Arial" w:eastAsia="Arial" w:hAnsi="Arial" w:cs="Arial"/>
          <w:color w:val="000000"/>
          <w:sz w:val="18"/>
          <w:vertAlign w:val="superscript"/>
        </w:rPr>
        <w:t>4 </w:t>
      </w:r>
      <w:bookmarkStart w:id="70" w:name="Bookmark_fnpara_4"/>
      <w:bookmarkStart w:id="71" w:name="Bookmark_I5WSB5WW2HM6H50050000400"/>
      <w:bookmarkEnd w:id="70"/>
      <w:bookmarkEnd w:id="71"/>
      <w:r>
        <w:rPr>
          <w:rFonts w:ascii="Arial" w:eastAsia="Arial" w:hAnsi="Arial" w:cs="Arial"/>
          <w:i/>
          <w:color w:val="000000"/>
          <w:sz w:val="18"/>
        </w:rPr>
        <w:t>Id.</w:t>
      </w:r>
      <w:r>
        <w:rPr>
          <w:rFonts w:ascii="Arial" w:eastAsia="Arial" w:hAnsi="Arial" w:cs="Arial"/>
          <w:color w:val="000000"/>
          <w:sz w:val="18"/>
        </w:rPr>
        <w:t xml:space="preserve"> at 233.</w:t>
      </w:r>
    </w:p>
  </w:footnote>
  <w:footnote w:id="5">
    <w:p w:rsidR="00E456CD" w:rsidRDefault="00000000">
      <w:pPr>
        <w:pStyle w:val="Normal1"/>
        <w:widowControl w:val="0"/>
        <w:spacing w:before="200" w:line="240" w:lineRule="atLeast"/>
        <w:jc w:val="both"/>
      </w:pPr>
      <w:r>
        <w:rPr>
          <w:rFonts w:ascii="Arial" w:eastAsia="Arial" w:hAnsi="Arial" w:cs="Arial"/>
          <w:color w:val="000000"/>
          <w:sz w:val="18"/>
          <w:vertAlign w:val="superscript"/>
        </w:rPr>
        <w:t>5 </w:t>
      </w:r>
      <w:bookmarkStart w:id="77" w:name="Bookmark_fnpara_5"/>
      <w:bookmarkStart w:id="78" w:name="Bookmark_I5WSB5WW2SF8KD0020000400"/>
      <w:bookmarkEnd w:id="77"/>
      <w:bookmarkEnd w:id="78"/>
      <w:r>
        <w:rPr>
          <w:rFonts w:ascii="Arial" w:eastAsia="Arial" w:hAnsi="Arial" w:cs="Arial"/>
          <w:i/>
          <w:color w:val="000000"/>
          <w:sz w:val="18"/>
        </w:rPr>
        <w:t>McDonald v. Com. of Pa., Dep't of Pub. Welfare Polk Ctr.</w:t>
      </w:r>
      <w:r>
        <w:rPr>
          <w:rFonts w:ascii="Arial" w:eastAsia="Arial" w:hAnsi="Arial" w:cs="Arial"/>
          <w:color w:val="000000"/>
          <w:sz w:val="18"/>
        </w:rPr>
        <w:t>, 62 F.3d 92, 95 (3d Cir. 1995).</w:t>
      </w:r>
    </w:p>
  </w:footnote>
  <w:footnote w:id="6">
    <w:p w:rsidR="00E456CD" w:rsidRDefault="00000000">
      <w:pPr>
        <w:pStyle w:val="Normal1"/>
        <w:widowControl w:val="0"/>
        <w:spacing w:before="200" w:line="240" w:lineRule="atLeast"/>
        <w:jc w:val="both"/>
      </w:pPr>
      <w:r>
        <w:rPr>
          <w:rFonts w:ascii="Arial" w:eastAsia="Arial" w:hAnsi="Arial" w:cs="Arial"/>
          <w:color w:val="000000"/>
          <w:sz w:val="18"/>
          <w:vertAlign w:val="superscript"/>
        </w:rPr>
        <w:t>6 </w:t>
      </w:r>
      <w:bookmarkStart w:id="79" w:name="Bookmark_fnpara_6"/>
      <w:bookmarkStart w:id="80" w:name="Bookmark_I5WSB5WW2SF8KD0040000400"/>
      <w:bookmarkEnd w:id="79"/>
      <w:bookmarkEnd w:id="80"/>
      <w:r>
        <w:rPr>
          <w:rFonts w:ascii="Arial" w:eastAsia="Arial" w:hAnsi="Arial" w:cs="Arial"/>
          <w:i/>
          <w:color w:val="000000"/>
          <w:sz w:val="18"/>
        </w:rPr>
        <w:t>Chambers ex rel. Chambers v. Sch. Dist. Of Phila. Bd. Of Educ.</w:t>
      </w:r>
      <w:r>
        <w:rPr>
          <w:rFonts w:ascii="Arial" w:eastAsia="Arial" w:hAnsi="Arial" w:cs="Arial"/>
          <w:color w:val="000000"/>
          <w:sz w:val="18"/>
        </w:rPr>
        <w:t>, 587 F.3d 176, 189 n.19 (3d Cir. 2009).</w:t>
      </w:r>
    </w:p>
  </w:footnote>
  <w:footnote w:id="7">
    <w:p w:rsidR="00E456CD" w:rsidRDefault="00000000">
      <w:pPr>
        <w:pStyle w:val="Normal1"/>
        <w:widowControl w:val="0"/>
        <w:spacing w:before="200" w:line="240" w:lineRule="atLeast"/>
        <w:jc w:val="both"/>
      </w:pPr>
      <w:r>
        <w:rPr>
          <w:rFonts w:ascii="Arial" w:eastAsia="Arial" w:hAnsi="Arial" w:cs="Arial"/>
          <w:color w:val="000000"/>
          <w:sz w:val="18"/>
          <w:vertAlign w:val="superscript"/>
        </w:rPr>
        <w:t>7 </w:t>
      </w:r>
      <w:bookmarkStart w:id="81" w:name="Bookmark_fnpara_7"/>
      <w:bookmarkStart w:id="82" w:name="Bookmark_I5WSB5WX2SF8KM0010000400"/>
      <w:bookmarkEnd w:id="81"/>
      <w:bookmarkEnd w:id="82"/>
      <w:r>
        <w:rPr>
          <w:rFonts w:ascii="Arial" w:eastAsia="Arial" w:hAnsi="Arial" w:cs="Arial"/>
          <w:i/>
          <w:color w:val="000000"/>
          <w:sz w:val="18"/>
        </w:rPr>
        <w:t>S.H. ex rel. Durrell v. Lower Merion Sch. Dist.</w:t>
      </w:r>
      <w:r>
        <w:rPr>
          <w:rFonts w:ascii="Arial" w:eastAsia="Arial" w:hAnsi="Arial" w:cs="Arial"/>
          <w:color w:val="000000"/>
          <w:sz w:val="18"/>
        </w:rPr>
        <w:t>, 729 F.3d 248, 263 (3d Cir. 2013).</w:t>
      </w:r>
    </w:p>
  </w:footnote>
  <w:footnote w:id="8">
    <w:p w:rsidR="00E456CD" w:rsidRDefault="00000000">
      <w:pPr>
        <w:pStyle w:val="Normal1"/>
        <w:widowControl w:val="0"/>
        <w:spacing w:before="200" w:line="240" w:lineRule="atLeast"/>
        <w:jc w:val="both"/>
      </w:pPr>
      <w:r>
        <w:rPr>
          <w:rFonts w:ascii="Arial" w:eastAsia="Arial" w:hAnsi="Arial" w:cs="Arial"/>
          <w:color w:val="000000"/>
          <w:sz w:val="18"/>
          <w:vertAlign w:val="superscript"/>
        </w:rPr>
        <w:t>8 </w:t>
      </w:r>
      <w:bookmarkStart w:id="85" w:name="Bookmark_fnpara_8"/>
      <w:bookmarkEnd w:id="85"/>
      <w:r>
        <w:rPr>
          <w:rFonts w:ascii="Arial" w:eastAsia="Arial" w:hAnsi="Arial" w:cs="Arial"/>
          <w:color w:val="000000"/>
          <w:sz w:val="18"/>
        </w:rPr>
        <w:t xml:space="preserve">The PDOC does not contest that Furgess has exhausted his administrative remedies, or that state prisons are subject to the ADA and the RA. </w:t>
      </w:r>
      <w:r>
        <w:rPr>
          <w:rFonts w:ascii="Arial" w:eastAsia="Arial" w:hAnsi="Arial" w:cs="Arial"/>
          <w:i/>
          <w:color w:val="000000"/>
          <w:sz w:val="18"/>
        </w:rPr>
        <w:t>See</w:t>
      </w:r>
      <w:r>
        <w:rPr>
          <w:rFonts w:ascii="Arial" w:eastAsia="Arial" w:hAnsi="Arial" w:cs="Arial"/>
          <w:color w:val="000000"/>
          <w:sz w:val="18"/>
        </w:rPr>
        <w:t xml:space="preserve"> 29 U.S.C. § 794(b)(1)(A) (any "department, agency, special purpose district, or other instrumentality of a State or local government" is subject to the RA); </w:t>
      </w:r>
      <w:bookmarkStart w:id="86" w:name="Bookmark_I5WSB5WX2SF8KM0030000400"/>
      <w:bookmarkEnd w:id="86"/>
      <w:r>
        <w:rPr>
          <w:rFonts w:ascii="Arial" w:eastAsia="Arial" w:hAnsi="Arial" w:cs="Arial"/>
          <w:i/>
          <w:color w:val="000000"/>
          <w:sz w:val="18"/>
        </w:rPr>
        <w:t>Pennsylvania Dep't of Corr. v. Yeskey</w:t>
      </w:r>
      <w:r>
        <w:rPr>
          <w:rFonts w:ascii="Arial" w:eastAsia="Arial" w:hAnsi="Arial" w:cs="Arial"/>
          <w:color w:val="000000"/>
          <w:sz w:val="18"/>
        </w:rPr>
        <w:t>, 524 U.S. 206, 210, 118 S. Ct. 1952, 141 L. Ed. 2d 215 (1998) (state prisons are subject to the ADA).</w:t>
      </w:r>
    </w:p>
  </w:footnote>
  <w:footnote w:id="9">
    <w:p w:rsidR="00E456CD" w:rsidRDefault="00000000">
      <w:pPr>
        <w:pStyle w:val="Normal1"/>
        <w:widowControl w:val="0"/>
        <w:spacing w:before="120" w:line="240" w:lineRule="atLeast"/>
        <w:jc w:val="both"/>
      </w:pPr>
      <w:r>
        <w:rPr>
          <w:rFonts w:ascii="Arial" w:eastAsia="Arial" w:hAnsi="Arial" w:cs="Arial"/>
          <w:color w:val="000000"/>
          <w:sz w:val="18"/>
          <w:vertAlign w:val="superscript"/>
        </w:rPr>
        <w:t>9 </w:t>
      </w:r>
      <w:bookmarkStart w:id="93" w:name="Bookmark_fnpara_9"/>
      <w:bookmarkEnd w:id="93"/>
      <w:r>
        <w:rPr>
          <w:rFonts w:ascii="Arial" w:eastAsia="Arial" w:hAnsi="Arial" w:cs="Arial"/>
          <w:color w:val="000000"/>
          <w:sz w:val="18"/>
        </w:rPr>
        <w:t>29 U.S.C. § 794(b) (emphasis added).</w:t>
      </w:r>
    </w:p>
  </w:footnote>
  <w:footnote w:id="10">
    <w:p w:rsidR="00E456CD" w:rsidRDefault="00000000">
      <w:pPr>
        <w:pStyle w:val="Normal1"/>
        <w:widowControl w:val="0"/>
        <w:spacing w:before="200" w:line="240" w:lineRule="atLeast"/>
        <w:jc w:val="both"/>
      </w:pPr>
      <w:r>
        <w:rPr>
          <w:rFonts w:ascii="Arial" w:eastAsia="Arial" w:hAnsi="Arial" w:cs="Arial"/>
          <w:color w:val="000000"/>
          <w:sz w:val="18"/>
          <w:vertAlign w:val="superscript"/>
        </w:rPr>
        <w:t>10 </w:t>
      </w:r>
      <w:bookmarkStart w:id="94" w:name="Bookmark_fnpara_10"/>
      <w:bookmarkStart w:id="95" w:name="Bookmark_I5WSB5WX2SF8KM0050000400"/>
      <w:bookmarkEnd w:id="94"/>
      <w:bookmarkEnd w:id="95"/>
      <w:r>
        <w:rPr>
          <w:rFonts w:ascii="Arial" w:eastAsia="Arial" w:hAnsi="Arial" w:cs="Arial"/>
          <w:i/>
          <w:color w:val="000000"/>
          <w:sz w:val="18"/>
        </w:rPr>
        <w:t>Yeskey v. Com. of Pa. Dep't of Corr.</w:t>
      </w:r>
      <w:r>
        <w:rPr>
          <w:rFonts w:ascii="Arial" w:eastAsia="Arial" w:hAnsi="Arial" w:cs="Arial"/>
          <w:color w:val="000000"/>
          <w:sz w:val="18"/>
        </w:rPr>
        <w:t xml:space="preserve">, 118 F.3d 168, 170 (3d Cir. 1997), </w:t>
      </w:r>
      <w:r>
        <w:rPr>
          <w:rFonts w:ascii="Arial" w:eastAsia="Arial" w:hAnsi="Arial" w:cs="Arial"/>
          <w:i/>
          <w:color w:val="000000"/>
          <w:sz w:val="18"/>
        </w:rPr>
        <w:t>aff'd sub nom</w:t>
      </w:r>
      <w:r>
        <w:rPr>
          <w:rFonts w:ascii="Arial" w:eastAsia="Arial" w:hAnsi="Arial" w:cs="Arial"/>
          <w:color w:val="000000"/>
          <w:sz w:val="18"/>
        </w:rPr>
        <w:t>. 524 U.S. 206, 118 S. Ct. 1952, 141 L. Ed. 2d 215 (1998).</w:t>
      </w:r>
    </w:p>
  </w:footnote>
  <w:footnote w:id="11">
    <w:p w:rsidR="00E456CD" w:rsidRDefault="00000000">
      <w:pPr>
        <w:pStyle w:val="Normal1"/>
        <w:widowControl w:val="0"/>
        <w:spacing w:before="200" w:line="240" w:lineRule="atLeast"/>
        <w:jc w:val="both"/>
      </w:pPr>
      <w:r>
        <w:rPr>
          <w:rFonts w:ascii="Arial" w:eastAsia="Arial" w:hAnsi="Arial" w:cs="Arial"/>
          <w:color w:val="000000"/>
          <w:sz w:val="18"/>
          <w:vertAlign w:val="superscript"/>
        </w:rPr>
        <w:t>11 </w:t>
      </w:r>
      <w:bookmarkStart w:id="96" w:name="Bookmark_fnpara_11"/>
      <w:bookmarkStart w:id="97" w:name="Bookmark_LNHNREFclscc5"/>
      <w:bookmarkEnd w:id="96"/>
      <w:bookmarkEnd w:id="97"/>
      <w:r>
        <w:rPr>
          <w:rFonts w:ascii="Arial" w:eastAsia="Arial" w:hAnsi="Arial" w:cs="Arial"/>
          <w:color w:val="000000"/>
          <w:sz w:val="18"/>
        </w:rPr>
        <w:t xml:space="preserve">The ADA should not be "construed to apply a lesser standard than the standards applied under [the RA]." 42 U.S.C. § 12201(a); </w:t>
      </w:r>
      <w:r>
        <w:rPr>
          <w:rFonts w:ascii="Arial" w:eastAsia="Arial" w:hAnsi="Arial" w:cs="Arial"/>
          <w:i/>
          <w:color w:val="000000"/>
          <w:sz w:val="18"/>
        </w:rPr>
        <w:t xml:space="preserve">see also </w:t>
      </w:r>
      <w:bookmarkStart w:id="98" w:name="Bookmark_I5WSB5WX2D6NG20020000400"/>
      <w:bookmarkEnd w:id="98"/>
      <w:r>
        <w:rPr>
          <w:rFonts w:ascii="Arial" w:eastAsia="Arial" w:hAnsi="Arial" w:cs="Arial"/>
          <w:i/>
          <w:color w:val="000000"/>
          <w:sz w:val="18"/>
        </w:rPr>
        <w:t>McDonald</w:t>
      </w:r>
      <w:r>
        <w:rPr>
          <w:rFonts w:ascii="Arial" w:eastAsia="Arial" w:hAnsi="Arial" w:cs="Arial"/>
          <w:color w:val="000000"/>
          <w:sz w:val="18"/>
        </w:rPr>
        <w:t>, 62 F.3d at 94-95.</w:t>
      </w:r>
    </w:p>
  </w:footnote>
  <w:footnote w:id="12">
    <w:p w:rsidR="00E456CD" w:rsidRDefault="00000000">
      <w:pPr>
        <w:pStyle w:val="Normal1"/>
        <w:widowControl w:val="0"/>
        <w:spacing w:before="200" w:line="240" w:lineRule="atLeast"/>
        <w:jc w:val="both"/>
      </w:pPr>
      <w:r>
        <w:rPr>
          <w:rFonts w:ascii="Arial" w:eastAsia="Arial" w:hAnsi="Arial" w:cs="Arial"/>
          <w:color w:val="000000"/>
          <w:sz w:val="18"/>
          <w:vertAlign w:val="superscript"/>
        </w:rPr>
        <w:t>12 </w:t>
      </w:r>
      <w:bookmarkStart w:id="99" w:name="Bookmark_fnpara_12"/>
      <w:bookmarkStart w:id="100" w:name="Bookmark_I5WSB5WX2D6NG20040000400"/>
      <w:bookmarkEnd w:id="99"/>
      <w:bookmarkEnd w:id="100"/>
      <w:r>
        <w:rPr>
          <w:rFonts w:ascii="Arial" w:eastAsia="Arial" w:hAnsi="Arial" w:cs="Arial"/>
          <w:i/>
          <w:color w:val="000000"/>
          <w:sz w:val="18"/>
        </w:rPr>
        <w:t>Disability Rights N.J., Inc. v. Comm'r, N.J. Dep't of Human Servs.</w:t>
      </w:r>
      <w:r>
        <w:rPr>
          <w:rFonts w:ascii="Arial" w:eastAsia="Arial" w:hAnsi="Arial" w:cs="Arial"/>
          <w:color w:val="000000"/>
          <w:sz w:val="18"/>
        </w:rPr>
        <w:t>, 796 F.3d 293, 301 (3d Cir. 2015).</w:t>
      </w:r>
    </w:p>
  </w:footnote>
  <w:footnote w:id="13">
    <w:p w:rsidR="00E456CD" w:rsidRDefault="00000000">
      <w:pPr>
        <w:pStyle w:val="Normal1"/>
        <w:widowControl w:val="0"/>
        <w:spacing w:before="200" w:line="240" w:lineRule="atLeast"/>
        <w:jc w:val="both"/>
      </w:pPr>
      <w:r>
        <w:rPr>
          <w:rFonts w:ascii="Arial" w:eastAsia="Arial" w:hAnsi="Arial" w:cs="Arial"/>
          <w:color w:val="000000"/>
          <w:sz w:val="18"/>
          <w:vertAlign w:val="superscript"/>
        </w:rPr>
        <w:t>13 </w:t>
      </w:r>
      <w:bookmarkStart w:id="104" w:name="Bookmark_fnpara_13"/>
      <w:bookmarkEnd w:id="104"/>
      <w:r>
        <w:rPr>
          <w:rFonts w:ascii="Arial" w:eastAsia="Arial" w:hAnsi="Arial" w:cs="Arial"/>
          <w:color w:val="000000"/>
          <w:sz w:val="18"/>
        </w:rPr>
        <w:t xml:space="preserve">We accord these regulations "controlling weight unless [they are] arbitrary, capricious, or manifestly contrary to the statute." </w:t>
      </w:r>
      <w:r>
        <w:rPr>
          <w:rFonts w:ascii="Arial" w:eastAsia="Arial" w:hAnsi="Arial" w:cs="Arial"/>
          <w:i/>
          <w:color w:val="000000"/>
          <w:sz w:val="18"/>
        </w:rPr>
        <w:t xml:space="preserve">See </w:t>
      </w:r>
      <w:bookmarkStart w:id="105" w:name="Bookmark_I5WSB5WY28T40D0010000400"/>
      <w:bookmarkEnd w:id="105"/>
      <w:r>
        <w:rPr>
          <w:rFonts w:ascii="Arial" w:eastAsia="Arial" w:hAnsi="Arial" w:cs="Arial"/>
          <w:i/>
          <w:color w:val="000000"/>
          <w:sz w:val="18"/>
        </w:rPr>
        <w:t>Yeskey</w:t>
      </w:r>
      <w:r>
        <w:rPr>
          <w:rFonts w:ascii="Arial" w:eastAsia="Arial" w:hAnsi="Arial" w:cs="Arial"/>
          <w:color w:val="000000"/>
          <w:sz w:val="18"/>
        </w:rPr>
        <w:t>, 118 F.3d at 171.</w:t>
      </w:r>
    </w:p>
  </w:footnote>
  <w:footnote w:id="14">
    <w:p w:rsidR="00E456CD" w:rsidRDefault="00000000">
      <w:pPr>
        <w:pStyle w:val="Normal1"/>
        <w:widowControl w:val="0"/>
        <w:spacing w:before="120" w:line="240" w:lineRule="atLeast"/>
        <w:jc w:val="both"/>
      </w:pPr>
      <w:r>
        <w:rPr>
          <w:rFonts w:ascii="Arial" w:eastAsia="Arial" w:hAnsi="Arial" w:cs="Arial"/>
          <w:color w:val="000000"/>
          <w:sz w:val="18"/>
          <w:vertAlign w:val="superscript"/>
        </w:rPr>
        <w:t>14 </w:t>
      </w:r>
      <w:bookmarkStart w:id="106" w:name="Bookmark_fnpara_14"/>
      <w:bookmarkEnd w:id="106"/>
      <w:r>
        <w:rPr>
          <w:rFonts w:ascii="Arial" w:eastAsia="Arial" w:hAnsi="Arial" w:cs="Arial"/>
          <w:color w:val="000000"/>
          <w:sz w:val="18"/>
        </w:rPr>
        <w:t>28 C.F.R. pt. 35, App. A, at 663 (2017).</w:t>
      </w:r>
    </w:p>
  </w:footnote>
  <w:footnote w:id="15">
    <w:p w:rsidR="00E456CD" w:rsidRDefault="00000000">
      <w:pPr>
        <w:pStyle w:val="Normal1"/>
        <w:widowControl w:val="0"/>
        <w:spacing w:before="120" w:line="240" w:lineRule="atLeast"/>
        <w:jc w:val="both"/>
      </w:pPr>
      <w:r>
        <w:rPr>
          <w:rFonts w:ascii="Arial" w:eastAsia="Arial" w:hAnsi="Arial" w:cs="Arial"/>
          <w:color w:val="000000"/>
          <w:sz w:val="18"/>
          <w:vertAlign w:val="superscript"/>
        </w:rPr>
        <w:t>15 </w:t>
      </w:r>
      <w:bookmarkStart w:id="115" w:name="Bookmark_fnpara_15"/>
      <w:bookmarkStart w:id="116" w:name="Bookmark_I5WSB5WY28T40D0030000400"/>
      <w:bookmarkEnd w:id="115"/>
      <w:bookmarkEnd w:id="116"/>
      <w:r>
        <w:rPr>
          <w:rFonts w:ascii="Arial" w:eastAsia="Arial" w:hAnsi="Arial" w:cs="Arial"/>
          <w:color w:val="000000"/>
          <w:sz w:val="18"/>
        </w:rPr>
        <w:t>684 F.3d 667 (7th Cir. 2012).</w:t>
      </w:r>
    </w:p>
  </w:footnote>
  <w:footnote w:id="16">
    <w:p w:rsidR="00E456CD" w:rsidRDefault="00000000">
      <w:pPr>
        <w:pStyle w:val="Normal1"/>
        <w:widowControl w:val="0"/>
        <w:spacing w:before="200" w:line="240" w:lineRule="atLeast"/>
        <w:jc w:val="both"/>
      </w:pPr>
      <w:r>
        <w:rPr>
          <w:rFonts w:ascii="Arial" w:eastAsia="Arial" w:hAnsi="Arial" w:cs="Arial"/>
          <w:color w:val="000000"/>
          <w:sz w:val="18"/>
          <w:vertAlign w:val="superscript"/>
        </w:rPr>
        <w:t>16 </w:t>
      </w:r>
      <w:bookmarkStart w:id="117" w:name="Bookmark_fnpara_16"/>
      <w:bookmarkStart w:id="118" w:name="Bookmark_I5WSB5WY28T40D0050000400"/>
      <w:bookmarkEnd w:id="117"/>
      <w:bookmarkEnd w:id="118"/>
      <w:r>
        <w:rPr>
          <w:rFonts w:ascii="Arial" w:eastAsia="Arial" w:hAnsi="Arial" w:cs="Arial"/>
          <w:i/>
          <w:color w:val="000000"/>
          <w:sz w:val="18"/>
        </w:rPr>
        <w:t>Id.</w:t>
      </w:r>
      <w:r>
        <w:rPr>
          <w:rFonts w:ascii="Arial" w:eastAsia="Arial" w:hAnsi="Arial" w:cs="Arial"/>
          <w:color w:val="000000"/>
          <w:sz w:val="18"/>
        </w:rPr>
        <w:t xml:space="preserve"> at 672 ("Although incarceration is not a program or activity, the meals and showers made available to inmates are.").</w:t>
      </w:r>
    </w:p>
  </w:footnote>
  <w:footnote w:id="17">
    <w:p w:rsidR="00E456CD" w:rsidRDefault="00000000">
      <w:pPr>
        <w:pStyle w:val="Normal1"/>
        <w:widowControl w:val="0"/>
        <w:spacing w:before="200" w:line="240" w:lineRule="atLeast"/>
        <w:jc w:val="both"/>
      </w:pPr>
      <w:r>
        <w:rPr>
          <w:rFonts w:ascii="Arial" w:eastAsia="Arial" w:hAnsi="Arial" w:cs="Arial"/>
          <w:color w:val="000000"/>
          <w:sz w:val="18"/>
          <w:vertAlign w:val="superscript"/>
        </w:rPr>
        <w:t>17 </w:t>
      </w:r>
      <w:bookmarkStart w:id="119" w:name="Bookmark_fnpara_17"/>
      <w:bookmarkStart w:id="120" w:name="Bookmark_I5WSB5WY2HM6HY0020000400"/>
      <w:bookmarkEnd w:id="119"/>
      <w:bookmarkEnd w:id="120"/>
      <w:r>
        <w:rPr>
          <w:rFonts w:ascii="Arial" w:eastAsia="Arial" w:hAnsi="Arial" w:cs="Arial"/>
          <w:i/>
          <w:color w:val="000000"/>
          <w:sz w:val="18"/>
        </w:rPr>
        <w:t>Armstrong v. Schwarzenegger</w:t>
      </w:r>
      <w:r>
        <w:rPr>
          <w:rFonts w:ascii="Arial" w:eastAsia="Arial" w:hAnsi="Arial" w:cs="Arial"/>
          <w:color w:val="000000"/>
          <w:sz w:val="18"/>
        </w:rPr>
        <w:t>, 622 F.3d 1058, 1068 (9th Cir. 2010).</w:t>
      </w:r>
    </w:p>
  </w:footnote>
  <w:footnote w:id="18">
    <w:p w:rsidR="00E456CD" w:rsidRDefault="00000000">
      <w:pPr>
        <w:pStyle w:val="Normal1"/>
        <w:widowControl w:val="0"/>
        <w:spacing w:before="200" w:line="240" w:lineRule="atLeast"/>
        <w:jc w:val="both"/>
      </w:pPr>
      <w:r>
        <w:rPr>
          <w:rFonts w:ascii="Arial" w:eastAsia="Arial" w:hAnsi="Arial" w:cs="Arial"/>
          <w:color w:val="000000"/>
          <w:sz w:val="18"/>
          <w:vertAlign w:val="superscript"/>
        </w:rPr>
        <w:t>18 </w:t>
      </w:r>
      <w:bookmarkStart w:id="121" w:name="Bookmark_fnpara_18"/>
      <w:bookmarkStart w:id="122" w:name="Bookmark_I5WSB5WY2HM6HY0040000400"/>
      <w:bookmarkEnd w:id="121"/>
      <w:bookmarkEnd w:id="122"/>
      <w:r>
        <w:rPr>
          <w:rFonts w:ascii="Arial" w:eastAsia="Arial" w:hAnsi="Arial" w:cs="Arial"/>
          <w:i/>
          <w:color w:val="000000"/>
          <w:sz w:val="18"/>
        </w:rPr>
        <w:t>Kiman v. N.H. Dep't of Corr.</w:t>
      </w:r>
      <w:r>
        <w:rPr>
          <w:rFonts w:ascii="Arial" w:eastAsia="Arial" w:hAnsi="Arial" w:cs="Arial"/>
          <w:color w:val="000000"/>
          <w:sz w:val="18"/>
        </w:rPr>
        <w:t>, 451 F.3d 274, 287-88 (1st Cir. 2006).</w:t>
      </w:r>
    </w:p>
  </w:footnote>
  <w:footnote w:id="19">
    <w:p w:rsidR="00E456CD" w:rsidRDefault="00000000">
      <w:pPr>
        <w:pStyle w:val="Normal1"/>
        <w:widowControl w:val="0"/>
        <w:spacing w:before="200" w:line="240" w:lineRule="atLeast"/>
        <w:jc w:val="both"/>
      </w:pPr>
      <w:r>
        <w:rPr>
          <w:rFonts w:ascii="Arial" w:eastAsia="Arial" w:hAnsi="Arial" w:cs="Arial"/>
          <w:color w:val="000000"/>
          <w:sz w:val="18"/>
          <w:vertAlign w:val="superscript"/>
        </w:rPr>
        <w:t>19 </w:t>
      </w:r>
      <w:bookmarkStart w:id="123" w:name="Bookmark_fnpara_19"/>
      <w:bookmarkStart w:id="124" w:name="Bookmark_I5WSB5WY2SF8M60010000400"/>
      <w:bookmarkEnd w:id="123"/>
      <w:bookmarkEnd w:id="124"/>
      <w:r>
        <w:rPr>
          <w:rFonts w:ascii="Arial" w:eastAsia="Arial" w:hAnsi="Arial" w:cs="Arial"/>
          <w:i/>
          <w:color w:val="000000"/>
          <w:sz w:val="18"/>
        </w:rPr>
        <w:t>United States v. Georgia</w:t>
      </w:r>
      <w:r>
        <w:rPr>
          <w:rFonts w:ascii="Arial" w:eastAsia="Arial" w:hAnsi="Arial" w:cs="Arial"/>
          <w:color w:val="000000"/>
          <w:sz w:val="18"/>
        </w:rPr>
        <w:t>, 546 U.S. 151, 157, 126 S. Ct. 877, 163 L. Ed. 2d 650 (2006).</w:t>
      </w:r>
    </w:p>
  </w:footnote>
  <w:footnote w:id="20">
    <w:p w:rsidR="00E456CD" w:rsidRDefault="00000000">
      <w:pPr>
        <w:pStyle w:val="Normal1"/>
        <w:widowControl w:val="0"/>
        <w:spacing w:before="120" w:line="240" w:lineRule="atLeast"/>
        <w:jc w:val="both"/>
      </w:pPr>
      <w:r>
        <w:rPr>
          <w:rFonts w:ascii="Arial" w:eastAsia="Arial" w:hAnsi="Arial" w:cs="Arial"/>
          <w:color w:val="000000"/>
          <w:sz w:val="18"/>
          <w:vertAlign w:val="superscript"/>
        </w:rPr>
        <w:t>20 </w:t>
      </w:r>
      <w:bookmarkStart w:id="134" w:name="Bookmark_fnpara_20"/>
      <w:bookmarkStart w:id="135" w:name="Bookmark_I5WSB5WY2SF8M60030000400"/>
      <w:bookmarkEnd w:id="134"/>
      <w:bookmarkEnd w:id="135"/>
      <w:r>
        <w:rPr>
          <w:rFonts w:ascii="Arial" w:eastAsia="Arial" w:hAnsi="Arial" w:cs="Arial"/>
          <w:color w:val="000000"/>
          <w:sz w:val="18"/>
        </w:rPr>
        <w:t>84 F.3d 246 (7th Cir. 1996).</w:t>
      </w:r>
    </w:p>
  </w:footnote>
  <w:footnote w:id="21">
    <w:p w:rsidR="00E456CD" w:rsidRDefault="00000000">
      <w:pPr>
        <w:pStyle w:val="Normal1"/>
        <w:widowControl w:val="0"/>
        <w:spacing w:before="200" w:line="240" w:lineRule="atLeast"/>
        <w:jc w:val="both"/>
      </w:pPr>
      <w:r>
        <w:rPr>
          <w:rFonts w:ascii="Arial" w:eastAsia="Arial" w:hAnsi="Arial" w:cs="Arial"/>
          <w:color w:val="000000"/>
          <w:sz w:val="18"/>
          <w:vertAlign w:val="superscript"/>
        </w:rPr>
        <w:t>21 </w:t>
      </w:r>
      <w:bookmarkStart w:id="136" w:name="Bookmark_fnpara_21"/>
      <w:bookmarkStart w:id="137" w:name="Bookmark_I5WSB5WY2SF8M60050000400"/>
      <w:bookmarkEnd w:id="136"/>
      <w:bookmarkEnd w:id="137"/>
      <w:r>
        <w:rPr>
          <w:rFonts w:ascii="Arial" w:eastAsia="Arial" w:hAnsi="Arial" w:cs="Arial"/>
          <w:i/>
          <w:color w:val="000000"/>
          <w:sz w:val="18"/>
        </w:rPr>
        <w:t>Id.</w:t>
      </w:r>
      <w:r>
        <w:rPr>
          <w:rFonts w:ascii="Arial" w:eastAsia="Arial" w:hAnsi="Arial" w:cs="Arial"/>
          <w:color w:val="000000"/>
          <w:sz w:val="18"/>
        </w:rPr>
        <w:t xml:space="preserve"> at 247-48.</w:t>
      </w:r>
    </w:p>
  </w:footnote>
  <w:footnote w:id="22">
    <w:p w:rsidR="00E456CD" w:rsidRDefault="00000000">
      <w:pPr>
        <w:pStyle w:val="Normal1"/>
        <w:widowControl w:val="0"/>
        <w:spacing w:before="200" w:line="240" w:lineRule="atLeast"/>
        <w:jc w:val="both"/>
      </w:pPr>
      <w:r>
        <w:rPr>
          <w:rFonts w:ascii="Arial" w:eastAsia="Arial" w:hAnsi="Arial" w:cs="Arial"/>
          <w:color w:val="000000"/>
          <w:sz w:val="18"/>
          <w:vertAlign w:val="superscript"/>
        </w:rPr>
        <w:t>22 </w:t>
      </w:r>
      <w:bookmarkStart w:id="138" w:name="Bookmark_fnpara_22"/>
      <w:bookmarkStart w:id="139" w:name="Bookmark_I5WSB5X02N1RNY0020000400"/>
      <w:bookmarkEnd w:id="138"/>
      <w:bookmarkEnd w:id="139"/>
      <w:r>
        <w:rPr>
          <w:rFonts w:ascii="Arial" w:eastAsia="Arial" w:hAnsi="Arial" w:cs="Arial"/>
          <w:i/>
          <w:color w:val="000000"/>
          <w:sz w:val="18"/>
        </w:rPr>
        <w:t>Id.</w:t>
      </w:r>
      <w:r>
        <w:rPr>
          <w:rFonts w:ascii="Arial" w:eastAsia="Arial" w:hAnsi="Arial" w:cs="Arial"/>
          <w:color w:val="000000"/>
          <w:sz w:val="18"/>
        </w:rPr>
        <w:t xml:space="preserve"> at 249.</w:t>
      </w:r>
    </w:p>
  </w:footnote>
  <w:footnote w:id="23">
    <w:p w:rsidR="00E456CD" w:rsidRDefault="00000000">
      <w:pPr>
        <w:pStyle w:val="Normal1"/>
        <w:widowControl w:val="0"/>
        <w:spacing w:before="200" w:line="240" w:lineRule="atLeast"/>
        <w:jc w:val="both"/>
      </w:pPr>
      <w:r>
        <w:rPr>
          <w:rFonts w:ascii="Arial" w:eastAsia="Arial" w:hAnsi="Arial" w:cs="Arial"/>
          <w:color w:val="000000"/>
          <w:sz w:val="18"/>
          <w:vertAlign w:val="superscript"/>
        </w:rPr>
        <w:t>23 </w:t>
      </w:r>
      <w:bookmarkStart w:id="140" w:name="Bookmark_fnpara_23"/>
      <w:bookmarkEnd w:id="140"/>
      <w:r>
        <w:rPr>
          <w:rFonts w:ascii="Arial" w:eastAsia="Arial" w:hAnsi="Arial" w:cs="Arial"/>
          <w:i/>
          <w:color w:val="000000"/>
          <w:sz w:val="18"/>
        </w:rPr>
        <w:t>Id.</w:t>
      </w:r>
    </w:p>
  </w:footnote>
  <w:footnote w:id="24">
    <w:p w:rsidR="00E456CD" w:rsidRDefault="00000000">
      <w:pPr>
        <w:pStyle w:val="Normal1"/>
        <w:widowControl w:val="0"/>
        <w:spacing w:before="200" w:line="240" w:lineRule="atLeast"/>
        <w:jc w:val="both"/>
      </w:pPr>
      <w:r>
        <w:rPr>
          <w:rFonts w:ascii="Arial" w:eastAsia="Arial" w:hAnsi="Arial" w:cs="Arial"/>
          <w:color w:val="000000"/>
          <w:sz w:val="18"/>
          <w:vertAlign w:val="superscript"/>
        </w:rPr>
        <w:t>24 </w:t>
      </w:r>
      <w:bookmarkStart w:id="141" w:name="Bookmark_fnpara_24"/>
      <w:bookmarkStart w:id="142" w:name="Bookmark_I5WSB5X02N1RNY0040000400"/>
      <w:bookmarkEnd w:id="141"/>
      <w:bookmarkEnd w:id="142"/>
      <w:r>
        <w:rPr>
          <w:rFonts w:ascii="Arial" w:eastAsia="Arial" w:hAnsi="Arial" w:cs="Arial"/>
          <w:i/>
          <w:color w:val="000000"/>
          <w:sz w:val="18"/>
        </w:rPr>
        <w:t>Thomas v. Pa. Dep't of Corr.</w:t>
      </w:r>
      <w:r>
        <w:rPr>
          <w:rFonts w:ascii="Arial" w:eastAsia="Arial" w:hAnsi="Arial" w:cs="Arial"/>
          <w:color w:val="000000"/>
          <w:sz w:val="18"/>
        </w:rPr>
        <w:t xml:space="preserve">, 615 F. Supp. 2d 411, 427 (W.D. Pa. 2009); </w:t>
      </w:r>
      <w:r>
        <w:rPr>
          <w:rFonts w:ascii="Arial" w:eastAsia="Arial" w:hAnsi="Arial" w:cs="Arial"/>
          <w:i/>
          <w:color w:val="000000"/>
          <w:sz w:val="18"/>
        </w:rPr>
        <w:t xml:space="preserve">see also </w:t>
      </w:r>
      <w:bookmarkStart w:id="143" w:name="Bookmark_I5WSB5X02HM6JC0010000400"/>
      <w:bookmarkEnd w:id="143"/>
      <w:r>
        <w:rPr>
          <w:rFonts w:ascii="Arial" w:eastAsia="Arial" w:hAnsi="Arial" w:cs="Arial"/>
          <w:i/>
          <w:color w:val="000000"/>
          <w:sz w:val="18"/>
        </w:rPr>
        <w:t>Harris v. Giroux</w:t>
      </w:r>
      <w:r>
        <w:rPr>
          <w:rFonts w:ascii="Arial" w:eastAsia="Arial" w:hAnsi="Arial" w:cs="Arial"/>
          <w:color w:val="000000"/>
          <w:sz w:val="18"/>
        </w:rPr>
        <w:t xml:space="preserve">, No. CV 16-38, 2017 U.S. Dist. LEXIS 112067, 2017 WL 3075099, at *9 (W.D. Pa. July 19, 2017) (holding that plaintiff failed to state a claim because showers are not programs or activities) (citing </w:t>
      </w:r>
      <w:bookmarkStart w:id="144" w:name="Bookmark_I5WSB5X02HM6JC0030000400"/>
      <w:bookmarkEnd w:id="144"/>
      <w:r>
        <w:rPr>
          <w:rFonts w:ascii="Arial" w:eastAsia="Arial" w:hAnsi="Arial" w:cs="Arial"/>
          <w:i/>
          <w:color w:val="000000"/>
          <w:sz w:val="18"/>
        </w:rPr>
        <w:t>Thomas</w:t>
      </w:r>
      <w:r>
        <w:rPr>
          <w:rFonts w:ascii="Arial" w:eastAsia="Arial" w:hAnsi="Arial" w:cs="Arial"/>
          <w:color w:val="000000"/>
          <w:sz w:val="18"/>
        </w:rPr>
        <w:t xml:space="preserve">, 615 F. Supp. 2d at 414); </w:t>
      </w:r>
      <w:bookmarkStart w:id="145" w:name="Bookmark_I5WSB5X02HM6JC0050000400"/>
      <w:bookmarkEnd w:id="145"/>
      <w:r>
        <w:rPr>
          <w:rFonts w:ascii="Arial" w:eastAsia="Arial" w:hAnsi="Arial" w:cs="Arial"/>
          <w:i/>
          <w:color w:val="000000"/>
          <w:sz w:val="18"/>
        </w:rPr>
        <w:t>Evans v. Rozum</w:t>
      </w:r>
      <w:r>
        <w:rPr>
          <w:rFonts w:ascii="Arial" w:eastAsia="Arial" w:hAnsi="Arial" w:cs="Arial"/>
          <w:color w:val="000000"/>
          <w:sz w:val="18"/>
        </w:rPr>
        <w:t>, No. CIV.A. 07-230J, 2008 U.S. Dist. LEXIS 95432, 2008 WL 5068963, at *9-10 (W.D. Pa. Nov. 24, 2008) (holding that being denied an accessible shower does not state a claim as a matter of law and stating "[s]imilarly here, showering, defecating, etc., is no more a program or activity than is sleeping").</w:t>
      </w:r>
    </w:p>
  </w:footnote>
  <w:footnote w:id="25">
    <w:p w:rsidR="00E456CD" w:rsidRDefault="00000000">
      <w:pPr>
        <w:pStyle w:val="Normal1"/>
        <w:widowControl w:val="0"/>
        <w:spacing w:before="200" w:line="240" w:lineRule="atLeast"/>
        <w:jc w:val="both"/>
      </w:pPr>
      <w:r>
        <w:rPr>
          <w:rFonts w:ascii="Arial" w:eastAsia="Arial" w:hAnsi="Arial" w:cs="Arial"/>
          <w:color w:val="000000"/>
          <w:sz w:val="18"/>
          <w:vertAlign w:val="superscript"/>
        </w:rPr>
        <w:t>25 </w:t>
      </w:r>
      <w:bookmarkStart w:id="151" w:name="Bookmark_fnpara_25"/>
      <w:bookmarkStart w:id="152" w:name="Bookmark_LNHNREFclscc9"/>
      <w:bookmarkStart w:id="153" w:name="Bookmark_I5WSB5X02SF8MH0030000400"/>
      <w:bookmarkEnd w:id="151"/>
      <w:bookmarkEnd w:id="152"/>
      <w:bookmarkEnd w:id="153"/>
      <w:r>
        <w:rPr>
          <w:rFonts w:ascii="Arial" w:eastAsia="Arial" w:hAnsi="Arial" w:cs="Arial"/>
          <w:color w:val="000000"/>
          <w:sz w:val="18"/>
        </w:rPr>
        <w:t xml:space="preserve">Causation standards are different under the ADA and RA—under the RA, the disability must be the sole cause of the discriminatory action, while the ADA only requires but-for causation. </w:t>
      </w:r>
      <w:bookmarkStart w:id="154" w:name="Bookmark_I5WSB5X02SF8MH0020000400"/>
      <w:bookmarkEnd w:id="154"/>
      <w:r>
        <w:rPr>
          <w:rFonts w:ascii="Arial" w:eastAsia="Arial" w:hAnsi="Arial" w:cs="Arial"/>
          <w:i/>
          <w:color w:val="000000"/>
          <w:sz w:val="18"/>
        </w:rPr>
        <w:t>CG v. Pa. Dep't of Educ.</w:t>
      </w:r>
      <w:r>
        <w:rPr>
          <w:rFonts w:ascii="Arial" w:eastAsia="Arial" w:hAnsi="Arial" w:cs="Arial"/>
          <w:color w:val="000000"/>
          <w:sz w:val="18"/>
        </w:rPr>
        <w:t>, 734 F.3d 229, 236 n.11 (3d Cir. 2013). Based on the facts as alleged in the complaint, Furgess has sufficiently alleged causation under both standards.</w:t>
      </w:r>
    </w:p>
  </w:footnote>
  <w:footnote w:id="26">
    <w:p w:rsidR="00E456CD" w:rsidRDefault="00000000">
      <w:pPr>
        <w:pStyle w:val="Normal1"/>
        <w:widowControl w:val="0"/>
        <w:spacing w:before="200" w:line="240" w:lineRule="atLeast"/>
        <w:jc w:val="both"/>
      </w:pPr>
      <w:r>
        <w:rPr>
          <w:rFonts w:ascii="Arial" w:eastAsia="Arial" w:hAnsi="Arial" w:cs="Arial"/>
          <w:color w:val="000000"/>
          <w:sz w:val="18"/>
          <w:vertAlign w:val="superscript"/>
        </w:rPr>
        <w:t>26 </w:t>
      </w:r>
      <w:bookmarkStart w:id="157" w:name="Bookmark_fnpara_26"/>
      <w:bookmarkEnd w:id="157"/>
      <w:r>
        <w:rPr>
          <w:rFonts w:ascii="Arial" w:eastAsia="Arial" w:hAnsi="Arial" w:cs="Arial"/>
          <w:color w:val="000000"/>
          <w:sz w:val="18"/>
        </w:rPr>
        <w:t xml:space="preserve">28 C.F.R. § 35.152(b)(1) ("Public entities shall ensure that qualified inmates or detainees with disabilities shall not, </w:t>
      </w:r>
      <w:r>
        <w:rPr>
          <w:rFonts w:ascii="Arial" w:eastAsia="Arial" w:hAnsi="Arial" w:cs="Arial"/>
          <w:i/>
          <w:color w:val="000000"/>
          <w:sz w:val="18"/>
        </w:rPr>
        <w:t>because a facility is inaccessible to or unusable by individuals with disabilities</w:t>
      </w:r>
      <w:r>
        <w:rPr>
          <w:rFonts w:ascii="Arial" w:eastAsia="Arial" w:hAnsi="Arial" w:cs="Arial"/>
          <w:color w:val="000000"/>
          <w:sz w:val="18"/>
        </w:rPr>
        <w:t>, be excluded from participation in, or be denied the benefits of, the services, programs, or activities of a public entity, or be subjected to discrimination by any public entity.") (emphasis added).</w:t>
      </w:r>
    </w:p>
  </w:footnote>
  <w:footnote w:id="27">
    <w:p w:rsidR="00E456CD" w:rsidRDefault="00000000">
      <w:pPr>
        <w:pStyle w:val="Normal1"/>
        <w:widowControl w:val="0"/>
        <w:spacing w:before="200" w:line="240" w:lineRule="atLeast"/>
        <w:jc w:val="both"/>
      </w:pPr>
      <w:r>
        <w:rPr>
          <w:rFonts w:ascii="Arial" w:eastAsia="Arial" w:hAnsi="Arial" w:cs="Arial"/>
          <w:color w:val="000000"/>
          <w:sz w:val="18"/>
          <w:vertAlign w:val="superscript"/>
        </w:rPr>
        <w:t>27 </w:t>
      </w:r>
      <w:bookmarkStart w:id="162" w:name="Bookmark_fnpara_27"/>
      <w:bookmarkStart w:id="163" w:name="Bookmark_I5WSB5X02SF8MH0040000400"/>
      <w:bookmarkEnd w:id="162"/>
      <w:bookmarkEnd w:id="163"/>
      <w:r>
        <w:rPr>
          <w:rFonts w:ascii="Arial" w:eastAsia="Arial" w:hAnsi="Arial" w:cs="Arial"/>
          <w:i/>
          <w:color w:val="000000"/>
          <w:sz w:val="18"/>
        </w:rPr>
        <w:t>S.H. ex rel. Durrell</w:t>
      </w:r>
      <w:r>
        <w:rPr>
          <w:rFonts w:ascii="Arial" w:eastAsia="Arial" w:hAnsi="Arial" w:cs="Arial"/>
          <w:color w:val="000000"/>
          <w:sz w:val="18"/>
        </w:rPr>
        <w:t xml:space="preserve">, 729 F.3d at 263 ("We now follow in the footsteps of a majority of our sister courts and hold that </w:t>
      </w:r>
      <w:bookmarkStart w:id="164" w:name="Bookmark_LNHNREFclscc12"/>
      <w:bookmarkEnd w:id="164"/>
      <w:r>
        <w:rPr>
          <w:rFonts w:ascii="Arial" w:eastAsia="Arial" w:hAnsi="Arial" w:cs="Arial"/>
          <w:color w:val="000000"/>
          <w:sz w:val="18"/>
        </w:rPr>
        <w:t>a showing of deliberate indifference may satisfy a claim for compensatory damages under § 504 of the RA and § 202 of the ADA."). The PDOC acknowledges that this is the standard to show intentional discrimination, but it discusses discriminatory animus throughout its brief, only mentioning deliberate indifference in a footnote.</w:t>
      </w:r>
    </w:p>
  </w:footnote>
  <w:footnote w:id="28">
    <w:p w:rsidR="00E456CD" w:rsidRDefault="00000000">
      <w:pPr>
        <w:pStyle w:val="Normal1"/>
        <w:widowControl w:val="0"/>
        <w:spacing w:before="200" w:line="240" w:lineRule="atLeast"/>
        <w:jc w:val="both"/>
      </w:pPr>
      <w:r>
        <w:rPr>
          <w:rFonts w:ascii="Arial" w:eastAsia="Arial" w:hAnsi="Arial" w:cs="Arial"/>
          <w:color w:val="000000"/>
          <w:sz w:val="18"/>
          <w:vertAlign w:val="superscript"/>
        </w:rPr>
        <w:t>28 </w:t>
      </w:r>
      <w:bookmarkStart w:id="165" w:name="Bookmark_fnpara_28"/>
      <w:bookmarkStart w:id="166" w:name="Bookmark_I5WSB5X12SF8MR0010000400"/>
      <w:bookmarkEnd w:id="165"/>
      <w:bookmarkEnd w:id="166"/>
      <w:r>
        <w:rPr>
          <w:rFonts w:ascii="Arial" w:eastAsia="Arial" w:hAnsi="Arial" w:cs="Arial"/>
          <w:i/>
          <w:color w:val="000000"/>
          <w:sz w:val="18"/>
        </w:rPr>
        <w:t>Id.</w:t>
      </w:r>
      <w:r>
        <w:rPr>
          <w:rFonts w:ascii="Arial" w:eastAsia="Arial" w:hAnsi="Arial" w:cs="Arial"/>
          <w:color w:val="000000"/>
          <w:sz w:val="18"/>
        </w:rPr>
        <w:t xml:space="preserve"> at 265.</w:t>
      </w:r>
    </w:p>
  </w:footnote>
  <w:footnote w:id="29">
    <w:p w:rsidR="00E456CD" w:rsidRDefault="00000000">
      <w:pPr>
        <w:pStyle w:val="Normal1"/>
        <w:widowControl w:val="0"/>
        <w:spacing w:before="120" w:line="240" w:lineRule="atLeast"/>
        <w:jc w:val="both"/>
      </w:pPr>
      <w:r>
        <w:rPr>
          <w:rFonts w:ascii="Arial" w:eastAsia="Arial" w:hAnsi="Arial" w:cs="Arial"/>
          <w:color w:val="000000"/>
          <w:sz w:val="18"/>
          <w:vertAlign w:val="superscript"/>
        </w:rPr>
        <w:t>29 </w:t>
      </w:r>
      <w:bookmarkStart w:id="172" w:name="Bookmark_fnpara_29"/>
      <w:bookmarkStart w:id="173" w:name="Bookmark_I5WSB5X12SF8MR0030000400"/>
      <w:bookmarkEnd w:id="172"/>
      <w:bookmarkEnd w:id="173"/>
      <w:r>
        <w:rPr>
          <w:rFonts w:ascii="Arial" w:eastAsia="Arial" w:hAnsi="Arial" w:cs="Arial"/>
          <w:color w:val="000000"/>
          <w:sz w:val="18"/>
        </w:rPr>
        <w:t>615 F. Supp. 2d 411 (W.D. Pa. 2009).</w:t>
      </w:r>
    </w:p>
  </w:footnote>
  <w:footnote w:id="30">
    <w:p w:rsidR="00E456CD" w:rsidRDefault="00000000">
      <w:pPr>
        <w:pStyle w:val="Normal1"/>
        <w:widowControl w:val="0"/>
        <w:spacing w:before="200" w:line="240" w:lineRule="atLeast"/>
        <w:jc w:val="both"/>
      </w:pPr>
      <w:r>
        <w:rPr>
          <w:rFonts w:ascii="Arial" w:eastAsia="Arial" w:hAnsi="Arial" w:cs="Arial"/>
          <w:color w:val="000000"/>
          <w:sz w:val="18"/>
          <w:vertAlign w:val="superscript"/>
        </w:rPr>
        <w:t>30 </w:t>
      </w:r>
      <w:bookmarkStart w:id="174" w:name="Bookmark_fnpara_30"/>
      <w:bookmarkStart w:id="175" w:name="Bookmark_I5WSB5X12SF8MR0050000400"/>
      <w:bookmarkEnd w:id="174"/>
      <w:bookmarkEnd w:id="175"/>
      <w:r>
        <w:rPr>
          <w:rFonts w:ascii="Arial" w:eastAsia="Arial" w:hAnsi="Arial" w:cs="Arial"/>
          <w:i/>
          <w:color w:val="000000"/>
          <w:sz w:val="18"/>
        </w:rPr>
        <w:t>Id.</w:t>
      </w:r>
      <w:r>
        <w:rPr>
          <w:rFonts w:ascii="Arial" w:eastAsia="Arial" w:hAnsi="Arial" w:cs="Arial"/>
          <w:color w:val="000000"/>
          <w:sz w:val="18"/>
        </w:rPr>
        <w:t xml:space="preserve"> at 423-24.</w:t>
      </w:r>
    </w:p>
  </w:footnote>
  <w:footnote w:id="31">
    <w:p w:rsidR="00E456CD" w:rsidRDefault="00000000">
      <w:pPr>
        <w:pStyle w:val="Normal1"/>
        <w:widowControl w:val="0"/>
        <w:spacing w:before="200" w:line="240" w:lineRule="atLeast"/>
        <w:jc w:val="both"/>
      </w:pPr>
      <w:r>
        <w:rPr>
          <w:rFonts w:ascii="Arial" w:eastAsia="Arial" w:hAnsi="Arial" w:cs="Arial"/>
          <w:color w:val="000000"/>
          <w:sz w:val="18"/>
          <w:vertAlign w:val="superscript"/>
        </w:rPr>
        <w:t>31 </w:t>
      </w:r>
      <w:bookmarkStart w:id="176" w:name="Bookmark_fnpara_31"/>
      <w:bookmarkStart w:id="177" w:name="Bookmark_I5WSB5X12HM6JS0030000400"/>
      <w:bookmarkStart w:id="178" w:name="Bookmark_I5KS9475V26000054PM0001V"/>
      <w:bookmarkStart w:id="179" w:name="Bookmark_I5WSB5X12HM6JS0050000400"/>
      <w:bookmarkStart w:id="180" w:name="Bookmark_I5WSB5X12HM6JS0020000400"/>
      <w:bookmarkEnd w:id="176"/>
      <w:bookmarkEnd w:id="177"/>
      <w:bookmarkEnd w:id="178"/>
      <w:bookmarkEnd w:id="179"/>
      <w:bookmarkEnd w:id="180"/>
      <w:r>
        <w:rPr>
          <w:rFonts w:ascii="Arial" w:eastAsia="Arial" w:hAnsi="Arial" w:cs="Arial"/>
          <w:i/>
          <w:color w:val="000000"/>
          <w:sz w:val="18"/>
        </w:rPr>
        <w:t>Id.</w:t>
      </w:r>
      <w:r>
        <w:rPr>
          <w:rFonts w:ascii="Arial" w:eastAsia="Arial" w:hAnsi="Arial" w:cs="Arial"/>
          <w:color w:val="000000"/>
          <w:sz w:val="18"/>
        </w:rPr>
        <w:t xml:space="preserve"> at 425-26. The PDOC also cites </w:t>
      </w:r>
      <w:r>
        <w:rPr>
          <w:rFonts w:ascii="Arial" w:eastAsia="Arial" w:hAnsi="Arial" w:cs="Arial"/>
          <w:i/>
          <w:color w:val="000000"/>
          <w:sz w:val="18"/>
        </w:rPr>
        <w:t>Strongminger v. Brock</w:t>
      </w:r>
      <w:r>
        <w:rPr>
          <w:rFonts w:ascii="Arial" w:eastAsia="Arial" w:hAnsi="Arial" w:cs="Arial"/>
          <w:color w:val="000000"/>
          <w:sz w:val="18"/>
        </w:rPr>
        <w:t xml:space="preserve">, which is an unpublished case from the Seventh Circuit; it held, under a summary judgment standard, that the inmate's claim failed because the "prison's actions rose at worst to the level of negligence." </w:t>
      </w:r>
      <w:bookmarkStart w:id="181" w:name="Bookmark_I5WSB5X12HM6JS0040000400"/>
      <w:bookmarkEnd w:id="181"/>
      <w:r>
        <w:rPr>
          <w:rFonts w:ascii="Arial" w:eastAsia="Arial" w:hAnsi="Arial" w:cs="Arial"/>
          <w:color w:val="000000"/>
          <w:sz w:val="18"/>
        </w:rPr>
        <w:t>592 F. App'x. 508, 511-12 (7th Cir. 2014). This case is distinguishable from Furgess's case and, at any rate, not binding on us.</w:t>
      </w:r>
    </w:p>
  </w:footnote>
  <w:footnote w:id="32">
    <w:p w:rsidR="00E456CD" w:rsidRDefault="00000000">
      <w:pPr>
        <w:pStyle w:val="Normal2"/>
        <w:widowControl w:val="0"/>
        <w:spacing w:before="120" w:line="240" w:lineRule="atLeast"/>
        <w:jc w:val="both"/>
      </w:pPr>
      <w:r>
        <w:rPr>
          <w:rFonts w:ascii="Arial" w:eastAsia="Arial" w:hAnsi="Arial" w:cs="Arial"/>
          <w:color w:val="000000"/>
          <w:sz w:val="18"/>
          <w:vertAlign w:val="superscript"/>
        </w:rPr>
        <w:t>1 </w:t>
      </w:r>
      <w:bookmarkStart w:id="194" w:name="Bookmark_fnpara_1_0"/>
      <w:bookmarkEnd w:id="194"/>
      <w:r>
        <w:rPr>
          <w:rFonts w:ascii="Arial" w:eastAsia="Arial" w:hAnsi="Arial" w:cs="Arial"/>
          <w:color w:val="000000"/>
          <w:sz w:val="18"/>
        </w:rPr>
        <w:t>The Honorable Catherine D. Perry, United States District Judge for the Eastern District of Missouri.</w:t>
      </w:r>
    </w:p>
  </w:footnote>
  <w:footnote w:id="33">
    <w:p w:rsidR="00E456CD" w:rsidRDefault="00000000">
      <w:pPr>
        <w:pStyle w:val="Normal2"/>
        <w:widowControl w:val="0"/>
        <w:spacing w:before="120" w:line="240" w:lineRule="atLeast"/>
        <w:jc w:val="both"/>
      </w:pPr>
      <w:r>
        <w:rPr>
          <w:rFonts w:ascii="Arial" w:eastAsia="Arial" w:hAnsi="Arial" w:cs="Arial"/>
          <w:color w:val="000000"/>
          <w:sz w:val="18"/>
          <w:vertAlign w:val="superscript"/>
        </w:rPr>
        <w:t>2 </w:t>
      </w:r>
      <w:bookmarkStart w:id="198" w:name="Bookmark_fnpara_2_0"/>
      <w:bookmarkEnd w:id="198"/>
      <w:r>
        <w:rPr>
          <w:rFonts w:ascii="Arial" w:eastAsia="Arial" w:hAnsi="Arial" w:cs="Arial"/>
          <w:color w:val="000000"/>
          <w:sz w:val="18"/>
        </w:rPr>
        <w:t>Plaintiffs Mary Stodden and the Hearing Loss Association of America (HLAA) joined the lawsuit in July 2017.</w:t>
      </w:r>
    </w:p>
  </w:footnote>
  <w:footnote w:id="34">
    <w:p w:rsidR="00E456CD" w:rsidRDefault="00000000">
      <w:pPr>
        <w:pStyle w:val="Normal2"/>
        <w:widowControl w:val="0"/>
        <w:spacing w:before="120" w:line="240" w:lineRule="atLeast"/>
        <w:jc w:val="both"/>
      </w:pPr>
      <w:r>
        <w:rPr>
          <w:rFonts w:ascii="Arial" w:eastAsia="Arial" w:hAnsi="Arial" w:cs="Arial"/>
          <w:color w:val="000000"/>
          <w:sz w:val="18"/>
          <w:vertAlign w:val="superscript"/>
        </w:rPr>
        <w:t>3 </w:t>
      </w:r>
      <w:bookmarkStart w:id="200" w:name="Bookmark_fnpara_3_0"/>
      <w:bookmarkEnd w:id="200"/>
      <w:r>
        <w:rPr>
          <w:rFonts w:ascii="Arial" w:eastAsia="Arial" w:hAnsi="Arial" w:cs="Arial"/>
          <w:color w:val="000000"/>
          <w:sz w:val="18"/>
        </w:rPr>
        <w:t>This hedging by the Fox blunts the force of the dissent's contention that, since the original compromise was reached, the Fox has not denied the plaintiffs captioning at any requested performance.</w:t>
      </w:r>
    </w:p>
  </w:footnote>
  <w:footnote w:id="35">
    <w:p w:rsidR="00E456CD" w:rsidRDefault="00000000">
      <w:pPr>
        <w:pStyle w:val="Normal2"/>
        <w:widowControl w:val="0"/>
        <w:spacing w:before="120" w:line="240" w:lineRule="atLeast"/>
        <w:jc w:val="both"/>
      </w:pPr>
      <w:r>
        <w:rPr>
          <w:rFonts w:ascii="Arial" w:eastAsia="Arial" w:hAnsi="Arial" w:cs="Arial"/>
          <w:color w:val="000000"/>
          <w:sz w:val="18"/>
          <w:vertAlign w:val="superscript"/>
        </w:rPr>
        <w:t>4 </w:t>
      </w:r>
      <w:bookmarkStart w:id="202" w:name="Bookmark_fnpara_4_0"/>
      <w:bookmarkEnd w:id="202"/>
      <w:r>
        <w:rPr>
          <w:rFonts w:ascii="Arial" w:eastAsia="Arial" w:hAnsi="Arial" w:cs="Arial"/>
          <w:color w:val="000000"/>
          <w:sz w:val="18"/>
        </w:rPr>
        <w:t>Closed captioning is generally provided on handheld devices and is visible only to the patron who requests the captioning, while open captioning is projected on a surface that is visible to an entire theater or section of the theater.</w:t>
      </w:r>
    </w:p>
  </w:footnote>
  <w:footnote w:id="36">
    <w:p w:rsidR="00E456CD" w:rsidRDefault="00000000">
      <w:pPr>
        <w:pStyle w:val="Normal2"/>
        <w:widowControl w:val="0"/>
        <w:spacing w:before="120" w:line="240" w:lineRule="atLeast"/>
        <w:jc w:val="both"/>
      </w:pPr>
      <w:r>
        <w:rPr>
          <w:rFonts w:ascii="Arial" w:eastAsia="Arial" w:hAnsi="Arial" w:cs="Arial"/>
          <w:color w:val="000000"/>
          <w:sz w:val="18"/>
          <w:vertAlign w:val="superscript"/>
        </w:rPr>
        <w:t>5 </w:t>
      </w:r>
      <w:bookmarkStart w:id="218" w:name="Bookmark_fnpara_5_0"/>
      <w:bookmarkEnd w:id="218"/>
      <w:r>
        <w:rPr>
          <w:rFonts w:ascii="Arial" w:eastAsia="Arial" w:hAnsi="Arial" w:cs="Arial"/>
          <w:color w:val="000000"/>
          <w:sz w:val="18"/>
        </w:rPr>
        <w:t>Fox Associates does not dispute that the Fox is a public accommodation and is subject to the ADA's requirements.</w:t>
      </w:r>
    </w:p>
  </w:footnote>
  <w:footnote w:id="37">
    <w:p w:rsidR="00E456CD" w:rsidRDefault="00000000">
      <w:pPr>
        <w:pStyle w:val="Normal2"/>
        <w:widowControl w:val="0"/>
        <w:spacing w:before="120" w:line="240" w:lineRule="atLeast"/>
        <w:jc w:val="both"/>
      </w:pPr>
      <w:r>
        <w:rPr>
          <w:rFonts w:ascii="Arial" w:eastAsia="Arial" w:hAnsi="Arial" w:cs="Arial"/>
          <w:color w:val="000000"/>
          <w:sz w:val="18"/>
          <w:vertAlign w:val="superscript"/>
        </w:rPr>
        <w:t>6 </w:t>
      </w:r>
      <w:bookmarkStart w:id="234" w:name="Bookmark_fnpara_6_0"/>
      <w:bookmarkEnd w:id="234"/>
      <w:r>
        <w:rPr>
          <w:rFonts w:ascii="Arial" w:eastAsia="Arial" w:hAnsi="Arial" w:cs="Arial"/>
          <w:color w:val="000000"/>
          <w:sz w:val="18"/>
        </w:rPr>
        <w:t>See Footnote 3.</w:t>
      </w:r>
    </w:p>
  </w:footnote>
  <w:footnote w:id="38">
    <w:p w:rsidR="00E456CD" w:rsidRDefault="00000000">
      <w:pPr>
        <w:pStyle w:val="Normal2"/>
        <w:widowControl w:val="0"/>
        <w:spacing w:before="200" w:line="240" w:lineRule="atLeast"/>
        <w:jc w:val="both"/>
      </w:pPr>
      <w:r>
        <w:rPr>
          <w:rFonts w:ascii="Arial" w:eastAsia="Arial" w:hAnsi="Arial" w:cs="Arial"/>
          <w:color w:val="000000"/>
          <w:sz w:val="18"/>
          <w:vertAlign w:val="superscript"/>
        </w:rPr>
        <w:t>7 </w:t>
      </w:r>
      <w:bookmarkStart w:id="237" w:name="Bookmark_fnpara_7_0"/>
      <w:bookmarkEnd w:id="237"/>
      <w:r>
        <w:rPr>
          <w:rFonts w:ascii="Arial" w:eastAsia="Arial" w:hAnsi="Arial" w:cs="Arial"/>
          <w:color w:val="000000"/>
          <w:sz w:val="18"/>
        </w:rPr>
        <w:t xml:space="preserve">Fox Associates could also prevail if it could show implementing this request-based captioning system would fundamentally alter the nature of the benefit it provides. However, Fox Associates conceded in the district court that captioning is not a fundamental alteration, </w:t>
      </w:r>
      <w:r>
        <w:rPr>
          <w:rFonts w:ascii="Arial" w:eastAsia="Arial" w:hAnsi="Arial" w:cs="Arial"/>
          <w:color w:val="000000"/>
          <w:sz w:val="18"/>
          <w:u w:val="single"/>
        </w:rPr>
        <w:t>see</w:t>
      </w:r>
      <w:r>
        <w:rPr>
          <w:rFonts w:ascii="Arial" w:eastAsia="Arial" w:hAnsi="Arial" w:cs="Arial"/>
          <w:color w:val="000000"/>
          <w:sz w:val="18"/>
        </w:rPr>
        <w:t xml:space="preserve"> Def.'s Resps. &amp; Objections 3, Dist. Ct. Dkt. 34-2, and it presents no argument on this point on appeal.</w:t>
      </w:r>
    </w:p>
  </w:footnote>
  <w:footnote w:id="39">
    <w:p w:rsidR="00E456CD" w:rsidRDefault="00000000">
      <w:pPr>
        <w:pStyle w:val="Normal2"/>
        <w:widowControl w:val="0"/>
        <w:spacing w:before="120" w:line="240" w:lineRule="atLeast"/>
        <w:jc w:val="both"/>
      </w:pPr>
      <w:r>
        <w:rPr>
          <w:rFonts w:ascii="Arial" w:eastAsia="Arial" w:hAnsi="Arial" w:cs="Arial"/>
          <w:color w:val="000000"/>
          <w:sz w:val="18"/>
          <w:vertAlign w:val="superscript"/>
        </w:rPr>
        <w:t>8 </w:t>
      </w:r>
      <w:bookmarkStart w:id="261" w:name="Bookmark_fnpara_8_0"/>
      <w:bookmarkEnd w:id="261"/>
      <w:r>
        <w:rPr>
          <w:rFonts w:ascii="Arial" w:eastAsia="Arial" w:hAnsi="Arial" w:cs="Arial"/>
          <w:color w:val="000000"/>
          <w:sz w:val="18"/>
        </w:rPr>
        <w:t>Appellees additionally requested that the Fox be required to solicit and respond to customer feedback on its captioning. The district court did not grant this request. However, the Fox does not argue on appeal that the district court erred in failing to reduce the attorney's fees award based on Appellees' failure to obtain this remedy.</w:t>
      </w:r>
    </w:p>
  </w:footnote>
  <w:footnote w:id="40">
    <w:p w:rsidR="00E456CD" w:rsidRDefault="00000000">
      <w:pPr>
        <w:pStyle w:val="Normal3"/>
        <w:widowControl w:val="0"/>
        <w:spacing w:before="120" w:line="240" w:lineRule="atLeast"/>
        <w:jc w:val="both"/>
      </w:pPr>
      <w:r>
        <w:rPr>
          <w:rFonts w:ascii="Arial" w:eastAsia="Arial" w:hAnsi="Arial" w:cs="Arial"/>
          <w:color w:val="000000"/>
          <w:sz w:val="18"/>
          <w:vertAlign w:val="superscript"/>
        </w:rPr>
        <w:t>1 </w:t>
      </w:r>
      <w:bookmarkStart w:id="321" w:name="Bookmark_fnpara_1_1"/>
      <w:bookmarkEnd w:id="321"/>
      <w:r>
        <w:rPr>
          <w:rFonts w:ascii="Arial" w:eastAsia="Arial" w:hAnsi="Arial" w:cs="Arial"/>
          <w:color w:val="000000"/>
          <w:sz w:val="18"/>
        </w:rPr>
        <w:t>Medicaid is a cooperative federal-state program through which the federal government funds medical care provided by States to, among others, individuals with physical disabilities who meet certain financial requirements. States and the District submit Medicaid plans to the federal government for approval. In turn, the federal government reimburses a portion of the State's or District's Medicaid expenses.</w:t>
      </w:r>
    </w:p>
  </w:footnote>
  <w:footnote w:id="41">
    <w:p w:rsidR="00E456CD" w:rsidRDefault="00000000">
      <w:pPr>
        <w:pStyle w:val="Normal3"/>
        <w:widowControl w:val="0"/>
        <w:spacing w:before="120" w:line="240" w:lineRule="atLeast"/>
        <w:jc w:val="both"/>
      </w:pPr>
      <w:r>
        <w:rPr>
          <w:rFonts w:ascii="Arial" w:eastAsia="Arial" w:hAnsi="Arial" w:cs="Arial"/>
          <w:color w:val="000000"/>
          <w:sz w:val="18"/>
          <w:vertAlign w:val="superscript"/>
        </w:rPr>
        <w:t>2 </w:t>
      </w:r>
      <w:bookmarkStart w:id="353" w:name="Bookmark_fnpara_2_1"/>
      <w:bookmarkEnd w:id="353"/>
      <w:r>
        <w:rPr>
          <w:rFonts w:ascii="Arial" w:eastAsia="Arial" w:hAnsi="Arial" w:cs="Arial"/>
          <w:color w:val="000000"/>
          <w:sz w:val="18"/>
        </w:rPr>
        <w:t>The Medicaid Program for the Elderly and Individuals with Physical Disabilities (EPD Waiver) is a program funded by Medicaid and overseen by the District's Department of Health Care Finance (DHCF), which provides long-term personal-care assistance to the physically disabled in community-based settings for up to sixteen hours per day. In addition to personal-care assistance, it provides individuals with case-management services, as well as a host of other services, including adult day health, homemaker, chore aide, respite, personal emergency-response system, environmental-accessibility adaptations, assisted living, participant-directed service, occupational therapy and physical therapy.</w:t>
      </w:r>
    </w:p>
  </w:footnote>
  <w:footnote w:id="42">
    <w:p w:rsidR="00E456CD" w:rsidRDefault="00000000">
      <w:pPr>
        <w:pStyle w:val="Normal3"/>
        <w:widowControl w:val="0"/>
        <w:spacing w:before="120" w:line="240" w:lineRule="atLeast"/>
        <w:jc w:val="both"/>
      </w:pPr>
      <w:r>
        <w:rPr>
          <w:rFonts w:ascii="Arial" w:eastAsia="Arial" w:hAnsi="Arial" w:cs="Arial"/>
          <w:color w:val="000000"/>
          <w:sz w:val="18"/>
          <w:vertAlign w:val="superscript"/>
        </w:rPr>
        <w:t>3 </w:t>
      </w:r>
      <w:bookmarkStart w:id="354" w:name="Bookmark_fnpara_3_1"/>
      <w:bookmarkEnd w:id="354"/>
      <w:r>
        <w:rPr>
          <w:rFonts w:ascii="Arial" w:eastAsia="Arial" w:hAnsi="Arial" w:cs="Arial"/>
          <w:color w:val="000000"/>
          <w:sz w:val="18"/>
        </w:rPr>
        <w:t>The Money Follows the Person (MFP) program is a federally-funded, time-limited grant program established under the Deficit Reduction Act of 2005, 42 U.S.C. § 1305 note, to help individuals transitioning from nursing facilities to the community. The program provides outreach and education, transition coordination, environmental accessibility adaptations up to $10,000, household setup costs up to $5,000, and intensive case management, both during an individual's transition and for one full year following his discharge from a nursing facility. The District's MFP Program will be phased out by 2020.</w:t>
      </w:r>
    </w:p>
  </w:footnote>
  <w:footnote w:id="43">
    <w:p w:rsidR="00E456CD" w:rsidRDefault="00000000">
      <w:pPr>
        <w:pStyle w:val="Normal3"/>
        <w:widowControl w:val="0"/>
        <w:spacing w:before="120" w:line="240" w:lineRule="atLeast"/>
        <w:jc w:val="both"/>
      </w:pPr>
      <w:r>
        <w:rPr>
          <w:rFonts w:ascii="Arial" w:eastAsia="Arial" w:hAnsi="Arial" w:cs="Arial"/>
          <w:color w:val="000000"/>
          <w:sz w:val="18"/>
          <w:vertAlign w:val="superscript"/>
        </w:rPr>
        <w:t>4 </w:t>
      </w:r>
      <w:bookmarkStart w:id="355" w:name="Bookmark_fnpara_4_1"/>
      <w:bookmarkEnd w:id="355"/>
      <w:r>
        <w:rPr>
          <w:rFonts w:ascii="Arial" w:eastAsia="Arial" w:hAnsi="Arial" w:cs="Arial"/>
          <w:color w:val="000000"/>
          <w:sz w:val="18"/>
        </w:rPr>
        <w:t>The Medicaid State Plan Personal Care Assistance (State Plan PCA) program is another Medicaid-funded, DHCF-overseen program, which provides long-term personal-care assistance to the physically disabled in community-based settings. The State Plan PCA program provides assistance for up to eight hours per day and does not include the ancillary services included in the EPD Waiver program. Depending on the individual's needs, he may be eligible for placement in the EPD Waiver and State Plan PCA programs simultaneously, resulting in 24/7 care.</w:t>
      </w:r>
    </w:p>
  </w:footnote>
  <w:footnote w:id="44">
    <w:p w:rsidR="00E456CD" w:rsidRDefault="00000000">
      <w:pPr>
        <w:pStyle w:val="Normal3"/>
        <w:widowControl w:val="0"/>
        <w:spacing w:before="200" w:line="240" w:lineRule="atLeast"/>
        <w:jc w:val="both"/>
      </w:pPr>
      <w:r>
        <w:rPr>
          <w:rFonts w:ascii="Arial" w:eastAsia="Arial" w:hAnsi="Arial" w:cs="Arial"/>
          <w:color w:val="000000"/>
          <w:sz w:val="18"/>
          <w:vertAlign w:val="superscript"/>
        </w:rPr>
        <w:t>5 </w:t>
      </w:r>
      <w:bookmarkStart w:id="389" w:name="Bookmark_fnpara_5_1"/>
      <w:bookmarkStart w:id="390" w:name="Bookmark_I5WHY2K72SF7KX0010000400"/>
      <w:bookmarkEnd w:id="389"/>
      <w:bookmarkEnd w:id="390"/>
      <w:r>
        <w:rPr>
          <w:rFonts w:ascii="Arial" w:eastAsia="Arial" w:hAnsi="Arial" w:cs="Arial"/>
          <w:color w:val="000000"/>
          <w:sz w:val="18"/>
        </w:rPr>
        <w:t xml:space="preserve">In fact, the district court seems to have adopted that formulation on its own in a footnote. </w:t>
      </w:r>
      <w:bookmarkStart w:id="391" w:name="Bookmark_I5WHY2K72SF7KX0030000400"/>
      <w:bookmarkStart w:id="392" w:name="Bookmark_I5WHY2K72SF7KW0050000400"/>
      <w:bookmarkEnd w:id="391"/>
      <w:bookmarkEnd w:id="392"/>
      <w:r>
        <w:rPr>
          <w:rFonts w:ascii="Arial" w:eastAsia="Arial" w:hAnsi="Arial" w:cs="Arial"/>
          <w:i/>
          <w:color w:val="000000"/>
          <w:sz w:val="18"/>
        </w:rPr>
        <w:t>Thorpe</w:t>
      </w:r>
      <w:r>
        <w:rPr>
          <w:rFonts w:ascii="Arial" w:eastAsia="Arial" w:hAnsi="Arial" w:cs="Arial"/>
          <w:color w:val="000000"/>
          <w:sz w:val="18"/>
        </w:rPr>
        <w:t xml:space="preserve">, 303 F.R.D. at 146 n.58 (declaring, without citation, that "[t]o prevail on the merits and obtain the relief they seek, plaintiffs will have to prove concrete systemic deficiencies"). Granted, we quoted the district court's entire footnote in denying the District's petition for interlocutory review of the district court's class certification decision. </w:t>
      </w:r>
      <w:bookmarkStart w:id="393" w:name="Bookmark_I5WHY2K72SF7KX0030000400_2"/>
      <w:bookmarkStart w:id="394" w:name="Bookmark_I5WHY2K72HM6TJ0020000400"/>
      <w:bookmarkStart w:id="395" w:name="Bookmark_I5WHY2K72SF7KX0020000400"/>
      <w:bookmarkEnd w:id="393"/>
      <w:bookmarkEnd w:id="394"/>
      <w:bookmarkEnd w:id="395"/>
      <w:r>
        <w:rPr>
          <w:rFonts w:ascii="Arial" w:eastAsia="Arial" w:hAnsi="Arial" w:cs="Arial"/>
          <w:i/>
          <w:color w:val="000000"/>
          <w:sz w:val="18"/>
        </w:rPr>
        <w:t>In re District of Columbia</w:t>
      </w:r>
      <w:r>
        <w:rPr>
          <w:rFonts w:ascii="Arial" w:eastAsia="Arial" w:hAnsi="Arial" w:cs="Arial"/>
          <w:color w:val="000000"/>
          <w:sz w:val="18"/>
        </w:rPr>
        <w:t xml:space="preserve">, 792 F.3d at 100 (noting "concrete systemic deficiencies" "could represent the sort of systemic failure that might constitute a policy or practice affecting all members of the class in the manner </w:t>
      </w:r>
      <w:r>
        <w:rPr>
          <w:rFonts w:ascii="Arial" w:eastAsia="Arial" w:hAnsi="Arial" w:cs="Arial"/>
          <w:i/>
          <w:color w:val="000000"/>
          <w:sz w:val="18"/>
        </w:rPr>
        <w:t>Wal-Mart</w:t>
      </w:r>
      <w:r>
        <w:rPr>
          <w:rFonts w:ascii="Arial" w:eastAsia="Arial" w:hAnsi="Arial" w:cs="Arial"/>
          <w:color w:val="000000"/>
          <w:sz w:val="18"/>
        </w:rPr>
        <w:t xml:space="preserve"> requires for certification" (first quoting </w:t>
      </w:r>
      <w:bookmarkStart w:id="396" w:name="Bookmark_I5WHY2K72SF7KX0040000400"/>
      <w:bookmarkEnd w:id="396"/>
      <w:r>
        <w:rPr>
          <w:rFonts w:ascii="Arial" w:eastAsia="Arial" w:hAnsi="Arial" w:cs="Arial"/>
          <w:i/>
          <w:color w:val="000000"/>
          <w:sz w:val="18"/>
        </w:rPr>
        <w:t>Thorpe</w:t>
      </w:r>
      <w:r>
        <w:rPr>
          <w:rFonts w:ascii="Arial" w:eastAsia="Arial" w:hAnsi="Arial" w:cs="Arial"/>
          <w:color w:val="000000"/>
          <w:sz w:val="18"/>
        </w:rPr>
        <w:t xml:space="preserve">, 303 F.R.D. at 146 n.58)). </w:t>
      </w:r>
      <w:bookmarkStart w:id="397" w:name="Bookmark_I5WHY2K72HM6TJ0020000400_2"/>
      <w:bookmarkEnd w:id="397"/>
      <w:r>
        <w:rPr>
          <w:rFonts w:ascii="Arial" w:eastAsia="Arial" w:hAnsi="Arial" w:cs="Arial"/>
          <w:color w:val="000000"/>
          <w:sz w:val="18"/>
        </w:rPr>
        <w:t xml:space="preserve">But we could not have made clearer the "limited reach" of our holding, which was "only that the District Court did not manifestly err" in certifying the class. </w:t>
      </w:r>
      <w:bookmarkStart w:id="398" w:name="Bookmark_I5WHY2K72HM6TJ0040000400"/>
      <w:bookmarkStart w:id="399" w:name="Bookmark_I5WHY2K72HM6TJ0010000400"/>
      <w:bookmarkEnd w:id="398"/>
      <w:bookmarkEnd w:id="399"/>
      <w:r>
        <w:rPr>
          <w:rFonts w:ascii="Arial" w:eastAsia="Arial" w:hAnsi="Arial" w:cs="Arial"/>
          <w:i/>
          <w:color w:val="000000"/>
          <w:sz w:val="18"/>
        </w:rPr>
        <w:t>Id.</w:t>
      </w:r>
      <w:r>
        <w:rPr>
          <w:rFonts w:ascii="Arial" w:eastAsia="Arial" w:hAnsi="Arial" w:cs="Arial"/>
          <w:color w:val="000000"/>
          <w:sz w:val="18"/>
        </w:rPr>
        <w:t xml:space="preserve"> at 101. </w:t>
      </w:r>
      <w:bookmarkStart w:id="400" w:name="Bookmark_I5WHY2K72HM6TJ0040000400_2"/>
      <w:bookmarkEnd w:id="400"/>
      <w:r>
        <w:rPr>
          <w:rFonts w:ascii="Arial" w:eastAsia="Arial" w:hAnsi="Arial" w:cs="Arial"/>
          <w:color w:val="000000"/>
          <w:sz w:val="18"/>
        </w:rPr>
        <w:t xml:space="preserve">We did not delineate what Plaintiffs must establish to prevail on the merits. Nevertheless, the district court on remand stated that our decision "ma[d]e clear that . . . plaintiffs </w:t>
      </w:r>
      <w:r>
        <w:rPr>
          <w:rFonts w:ascii="Arial" w:eastAsia="Arial" w:hAnsi="Arial" w:cs="Arial"/>
          <w:i/>
          <w:color w:val="000000"/>
          <w:sz w:val="18"/>
        </w:rPr>
        <w:t>must</w:t>
      </w:r>
      <w:r>
        <w:rPr>
          <w:rFonts w:ascii="Arial" w:eastAsia="Arial" w:hAnsi="Arial" w:cs="Arial"/>
          <w:color w:val="000000"/>
          <w:sz w:val="18"/>
        </w:rPr>
        <w:t xml:space="preserve"> prove a uniform deprivation (or a concrete systemic deficiency)." </w:t>
      </w:r>
      <w:bookmarkStart w:id="401" w:name="Bookmark_I5WHY2K72HM6TJ0030000400"/>
      <w:bookmarkEnd w:id="401"/>
      <w:r>
        <w:rPr>
          <w:rFonts w:ascii="Arial" w:eastAsia="Arial" w:hAnsi="Arial" w:cs="Arial"/>
          <w:i/>
          <w:color w:val="000000"/>
          <w:sz w:val="18"/>
        </w:rPr>
        <w:t>Brown</w:t>
      </w:r>
      <w:r>
        <w:rPr>
          <w:rFonts w:ascii="Arial" w:eastAsia="Arial" w:hAnsi="Arial" w:cs="Arial"/>
          <w:color w:val="000000"/>
          <w:sz w:val="18"/>
        </w:rPr>
        <w:t>, 322 F.R.D. at 88 (emphasis added). This foundational error affected the district court's entire opinion.</w:t>
      </w:r>
    </w:p>
  </w:footnote>
  <w:footnote w:id="45">
    <w:p w:rsidR="00E456CD" w:rsidRDefault="00000000">
      <w:pPr>
        <w:pStyle w:val="Normal3"/>
        <w:widowControl w:val="0"/>
        <w:spacing w:before="200" w:line="240" w:lineRule="atLeast"/>
        <w:jc w:val="both"/>
      </w:pPr>
      <w:r>
        <w:rPr>
          <w:rFonts w:ascii="Arial" w:eastAsia="Arial" w:hAnsi="Arial" w:cs="Arial"/>
          <w:color w:val="000000"/>
          <w:sz w:val="18"/>
          <w:vertAlign w:val="superscript"/>
        </w:rPr>
        <w:t>6 </w:t>
      </w:r>
      <w:bookmarkStart w:id="410" w:name="Bookmark_fnpara_6_1"/>
      <w:bookmarkStart w:id="411" w:name="Bookmark_I5H1TNT3N4V000063S7000V2"/>
      <w:bookmarkStart w:id="412" w:name="Bookmark_I5WHY2K728T4840020000400"/>
      <w:bookmarkStart w:id="413" w:name="Bookmark_I5WHY2K728T4840040000400"/>
      <w:bookmarkStart w:id="414" w:name="Bookmark_I5WHY2K728T4840010000400"/>
      <w:bookmarkEnd w:id="410"/>
      <w:bookmarkEnd w:id="411"/>
      <w:bookmarkEnd w:id="412"/>
      <w:bookmarkEnd w:id="413"/>
      <w:bookmarkEnd w:id="414"/>
      <w:r>
        <w:rPr>
          <w:rFonts w:ascii="Arial" w:eastAsia="Arial" w:hAnsi="Arial" w:cs="Arial"/>
          <w:i/>
          <w:color w:val="000000"/>
          <w:sz w:val="18"/>
        </w:rPr>
        <w:t>Olmstead</w:t>
      </w:r>
      <w:r>
        <w:rPr>
          <w:rFonts w:ascii="Arial" w:eastAsia="Arial" w:hAnsi="Arial" w:cs="Arial"/>
          <w:color w:val="000000"/>
          <w:sz w:val="18"/>
        </w:rPr>
        <w:t xml:space="preserve"> dealt specifically with the ADA and the mentally disabled but its analysis applies equally to the Rehabilitation Act and the physically disabled. </w:t>
      </w:r>
      <w:r>
        <w:rPr>
          <w:rFonts w:ascii="Arial" w:eastAsia="Arial" w:hAnsi="Arial" w:cs="Arial"/>
          <w:i/>
          <w:color w:val="000000"/>
          <w:sz w:val="18"/>
        </w:rPr>
        <w:t xml:space="preserve">See </w:t>
      </w:r>
      <w:bookmarkStart w:id="415" w:name="Bookmark_I5WHY2K728T4840030000400"/>
      <w:bookmarkEnd w:id="415"/>
      <w:r>
        <w:rPr>
          <w:rFonts w:ascii="Arial" w:eastAsia="Arial" w:hAnsi="Arial" w:cs="Arial"/>
          <w:i/>
          <w:color w:val="000000"/>
          <w:sz w:val="18"/>
        </w:rPr>
        <w:t>Am. Council of the Blind v. Paulson</w:t>
      </w:r>
      <w:r>
        <w:rPr>
          <w:rFonts w:ascii="Arial" w:eastAsia="Arial" w:hAnsi="Arial" w:cs="Arial"/>
          <w:color w:val="000000"/>
          <w:sz w:val="18"/>
        </w:rPr>
        <w:t>, 525 F.3d 1256, 1260 n.2, 381 U.S. App. D.C. 162 (D.C. Cir. 2008) (courts have construed section 504 of the Rehabilitation Act "</w:t>
      </w:r>
      <w:r>
        <w:rPr>
          <w:rFonts w:ascii="Arial" w:eastAsia="Arial" w:hAnsi="Arial" w:cs="Arial"/>
          <w:i/>
          <w:color w:val="000000"/>
          <w:sz w:val="18"/>
        </w:rPr>
        <w:t>in pari materia</w:t>
      </w:r>
      <w:r>
        <w:rPr>
          <w:rFonts w:ascii="Arial" w:eastAsia="Arial" w:hAnsi="Arial" w:cs="Arial"/>
          <w:color w:val="000000"/>
          <w:sz w:val="18"/>
        </w:rPr>
        <w:t xml:space="preserve"> with Title II of the ADA" and thus "cases interpreting either are applicable and interchangeable" (second quoting </w:t>
      </w:r>
      <w:bookmarkStart w:id="416" w:name="Bookmark_I5WHY2K728T4840050000400"/>
      <w:bookmarkEnd w:id="416"/>
      <w:r>
        <w:rPr>
          <w:rFonts w:ascii="Arial" w:eastAsia="Arial" w:hAnsi="Arial" w:cs="Arial"/>
          <w:i/>
          <w:color w:val="000000"/>
          <w:sz w:val="18"/>
        </w:rPr>
        <w:t>Randolph v. Rodgers</w:t>
      </w:r>
      <w:r>
        <w:rPr>
          <w:rFonts w:ascii="Arial" w:eastAsia="Arial" w:hAnsi="Arial" w:cs="Arial"/>
          <w:color w:val="000000"/>
          <w:sz w:val="18"/>
        </w:rPr>
        <w:t>, 170 F.3d 850, 858 (8th Cir. 1999))); 42 U.S.C. § 12102(1)(A) (qualifying disability under ADA includes "a physical or mental impairment"); 29 U.S.C. § 705(20)(A)(i) (same under Rehabilitation Act).</w:t>
      </w:r>
    </w:p>
  </w:footnote>
  <w:footnote w:id="46">
    <w:p w:rsidR="00E456CD" w:rsidRDefault="00000000">
      <w:pPr>
        <w:pStyle w:val="Normal3"/>
        <w:widowControl w:val="0"/>
        <w:spacing w:before="200" w:line="240" w:lineRule="atLeast"/>
        <w:jc w:val="both"/>
      </w:pPr>
      <w:r>
        <w:rPr>
          <w:rFonts w:ascii="Arial" w:eastAsia="Arial" w:hAnsi="Arial" w:cs="Arial"/>
          <w:color w:val="000000"/>
          <w:sz w:val="18"/>
          <w:vertAlign w:val="superscript"/>
        </w:rPr>
        <w:t>7 </w:t>
      </w:r>
      <w:bookmarkStart w:id="453" w:name="Bookmark_fnpara_7_1"/>
      <w:bookmarkStart w:id="454" w:name="Bookmark_I5WHY2K828T48B0040000400"/>
      <w:bookmarkEnd w:id="453"/>
      <w:bookmarkEnd w:id="454"/>
      <w:r>
        <w:rPr>
          <w:rFonts w:ascii="Arial" w:eastAsia="Arial" w:hAnsi="Arial" w:cs="Arial"/>
          <w:i/>
          <w:color w:val="000000"/>
          <w:sz w:val="18"/>
        </w:rPr>
        <w:t>First</w:t>
      </w:r>
      <w:r>
        <w:rPr>
          <w:rFonts w:ascii="Arial" w:eastAsia="Arial" w:hAnsi="Arial" w:cs="Arial"/>
          <w:color w:val="000000"/>
          <w:sz w:val="18"/>
        </w:rPr>
        <w:t xml:space="preserve">, the district court found that Plaintiffs did not prove that the District fails to disseminate information regarding community-based long-term care options. </w:t>
      </w:r>
      <w:bookmarkStart w:id="455" w:name="Bookmark_I5WHY2K92N1PNR0010000400"/>
      <w:bookmarkStart w:id="456" w:name="Bookmark_I5WHY2K828T48B0030000400"/>
      <w:bookmarkEnd w:id="455"/>
      <w:bookmarkEnd w:id="456"/>
      <w:r>
        <w:rPr>
          <w:rFonts w:ascii="Arial" w:eastAsia="Arial" w:hAnsi="Arial" w:cs="Arial"/>
          <w:i/>
          <w:color w:val="000000"/>
          <w:sz w:val="18"/>
        </w:rPr>
        <w:t>Brown</w:t>
      </w:r>
      <w:r>
        <w:rPr>
          <w:rFonts w:ascii="Arial" w:eastAsia="Arial" w:hAnsi="Arial" w:cs="Arial"/>
          <w:color w:val="000000"/>
          <w:sz w:val="18"/>
        </w:rPr>
        <w:t xml:space="preserve">, 322 F.R.D. at 90. </w:t>
      </w:r>
      <w:r>
        <w:rPr>
          <w:rFonts w:ascii="Arial" w:eastAsia="Arial" w:hAnsi="Arial" w:cs="Arial"/>
          <w:i/>
          <w:color w:val="000000"/>
          <w:sz w:val="18"/>
        </w:rPr>
        <w:t>Second</w:t>
      </w:r>
      <w:r>
        <w:rPr>
          <w:rFonts w:ascii="Arial" w:eastAsia="Arial" w:hAnsi="Arial" w:cs="Arial"/>
          <w:color w:val="000000"/>
          <w:sz w:val="18"/>
        </w:rPr>
        <w:t xml:space="preserve">, it found that Plaintiffs did not prove that the District fails to identify individuals in nursing facilities who would prefer to receive longterm care in the community. </w:t>
      </w:r>
      <w:bookmarkStart w:id="457" w:name="Bookmark_I5WHY2K92N1PNR0010000400_2"/>
      <w:bookmarkStart w:id="458" w:name="Bookmark_I5WHY2K92N1PNR0030000400"/>
      <w:bookmarkStart w:id="459" w:name="Bookmark_I5WHY2K828T48B0050000400"/>
      <w:bookmarkEnd w:id="457"/>
      <w:bookmarkEnd w:id="458"/>
      <w:bookmarkEnd w:id="459"/>
      <w:r>
        <w:rPr>
          <w:rFonts w:ascii="Arial" w:eastAsia="Arial" w:hAnsi="Arial" w:cs="Arial"/>
          <w:i/>
          <w:color w:val="000000"/>
          <w:sz w:val="18"/>
        </w:rPr>
        <w:t>Id.</w:t>
      </w:r>
      <w:r>
        <w:rPr>
          <w:rFonts w:ascii="Arial" w:eastAsia="Arial" w:hAnsi="Arial" w:cs="Arial"/>
          <w:color w:val="000000"/>
          <w:sz w:val="18"/>
        </w:rPr>
        <w:t xml:space="preserve"> at 90-91. </w:t>
      </w:r>
      <w:bookmarkStart w:id="460" w:name="Bookmark_I5WHY2K92N1PNR0030000400_2"/>
      <w:bookmarkEnd w:id="460"/>
      <w:r>
        <w:rPr>
          <w:rFonts w:ascii="Arial" w:eastAsia="Arial" w:hAnsi="Arial" w:cs="Arial"/>
          <w:i/>
          <w:color w:val="000000"/>
          <w:sz w:val="18"/>
        </w:rPr>
        <w:t>Third</w:t>
      </w:r>
      <w:r>
        <w:rPr>
          <w:rFonts w:ascii="Arial" w:eastAsia="Arial" w:hAnsi="Arial" w:cs="Arial"/>
          <w:color w:val="000000"/>
          <w:sz w:val="18"/>
        </w:rPr>
        <w:t xml:space="preserve">, it found that Plaintiffs did not prove that the District fails to assist individuals who wish to enroll in community-based long-term care services. </w:t>
      </w:r>
      <w:bookmarkStart w:id="461" w:name="Bookmark_I5WHY2K92N1PNR0050000400"/>
      <w:bookmarkStart w:id="462" w:name="Bookmark_I5WHY2K92N1PNR0020000400"/>
      <w:bookmarkEnd w:id="461"/>
      <w:bookmarkEnd w:id="462"/>
      <w:r>
        <w:rPr>
          <w:rFonts w:ascii="Arial" w:eastAsia="Arial" w:hAnsi="Arial" w:cs="Arial"/>
          <w:i/>
          <w:color w:val="000000"/>
          <w:sz w:val="18"/>
        </w:rPr>
        <w:t>Id.</w:t>
      </w:r>
      <w:r>
        <w:rPr>
          <w:rFonts w:ascii="Arial" w:eastAsia="Arial" w:hAnsi="Arial" w:cs="Arial"/>
          <w:color w:val="000000"/>
          <w:sz w:val="18"/>
        </w:rPr>
        <w:t xml:space="preserve"> at 91-92. </w:t>
      </w:r>
      <w:bookmarkStart w:id="463" w:name="Bookmark_I5WHY2K92N1PNR0050000400_2"/>
      <w:bookmarkEnd w:id="463"/>
      <w:r>
        <w:rPr>
          <w:rFonts w:ascii="Arial" w:eastAsia="Arial" w:hAnsi="Arial" w:cs="Arial"/>
          <w:i/>
          <w:color w:val="000000"/>
          <w:sz w:val="18"/>
        </w:rPr>
        <w:t>Fourth</w:t>
      </w:r>
      <w:r>
        <w:rPr>
          <w:rFonts w:ascii="Arial" w:eastAsia="Arial" w:hAnsi="Arial" w:cs="Arial"/>
          <w:color w:val="000000"/>
          <w:sz w:val="18"/>
        </w:rPr>
        <w:t xml:space="preserve">, it found that Plaintiffs did not prove that the District fails to track class members' individual progress toward transition or overall programmatic success. </w:t>
      </w:r>
      <w:bookmarkStart w:id="464" w:name="Bookmark_I5WHY2K92N1PNR0040000400"/>
      <w:bookmarkEnd w:id="464"/>
      <w:r>
        <w:rPr>
          <w:rFonts w:ascii="Arial" w:eastAsia="Arial" w:hAnsi="Arial" w:cs="Arial"/>
          <w:i/>
          <w:color w:val="000000"/>
          <w:sz w:val="18"/>
        </w:rPr>
        <w:t>Id.</w:t>
      </w:r>
      <w:r>
        <w:rPr>
          <w:rFonts w:ascii="Arial" w:eastAsia="Arial" w:hAnsi="Arial" w:cs="Arial"/>
          <w:color w:val="000000"/>
          <w:sz w:val="18"/>
        </w:rPr>
        <w:t xml:space="preserve"> at 92.</w:t>
      </w:r>
    </w:p>
  </w:footnote>
  <w:footnote w:id="47">
    <w:p w:rsidR="00E456CD" w:rsidRDefault="00000000">
      <w:pPr>
        <w:pStyle w:val="Normal3"/>
        <w:widowControl w:val="0"/>
        <w:spacing w:before="200" w:line="240" w:lineRule="atLeast"/>
        <w:jc w:val="both"/>
      </w:pPr>
      <w:r>
        <w:rPr>
          <w:rFonts w:ascii="Arial" w:eastAsia="Arial" w:hAnsi="Arial" w:cs="Arial"/>
          <w:color w:val="000000"/>
          <w:sz w:val="18"/>
          <w:vertAlign w:val="superscript"/>
        </w:rPr>
        <w:t>8 </w:t>
      </w:r>
      <w:bookmarkStart w:id="521" w:name="Bookmark_fnpara_8_1"/>
      <w:bookmarkEnd w:id="521"/>
      <w:r>
        <w:rPr>
          <w:rFonts w:ascii="Arial" w:eastAsia="Arial" w:hAnsi="Arial" w:cs="Arial"/>
          <w:color w:val="000000"/>
          <w:sz w:val="18"/>
        </w:rPr>
        <w:t>Although we have noted post-</w:t>
      </w:r>
      <w:r>
        <w:rPr>
          <w:rFonts w:ascii="Arial" w:eastAsia="Arial" w:hAnsi="Arial" w:cs="Arial"/>
          <w:i/>
          <w:color w:val="000000"/>
          <w:sz w:val="18"/>
        </w:rPr>
        <w:t>Wal-Mart</w:t>
      </w:r>
      <w:r>
        <w:rPr>
          <w:rFonts w:ascii="Arial" w:eastAsia="Arial" w:hAnsi="Arial" w:cs="Arial"/>
          <w:color w:val="000000"/>
          <w:sz w:val="18"/>
        </w:rPr>
        <w:t xml:space="preserve"> that a "specific employment practice" could be the kind of common proof that leads to a common answer to a common question, </w:t>
      </w:r>
      <w:r>
        <w:rPr>
          <w:rFonts w:ascii="Arial" w:eastAsia="Arial" w:hAnsi="Arial" w:cs="Arial"/>
          <w:i/>
          <w:color w:val="000000"/>
          <w:sz w:val="18"/>
        </w:rPr>
        <w:t xml:space="preserve">cf. </w:t>
      </w:r>
      <w:bookmarkStart w:id="522" w:name="Bookmark_I5WHY2K92D6NS80050000400"/>
      <w:bookmarkEnd w:id="522"/>
      <w:r>
        <w:rPr>
          <w:rFonts w:ascii="Arial" w:eastAsia="Arial" w:hAnsi="Arial" w:cs="Arial"/>
          <w:i/>
          <w:color w:val="000000"/>
          <w:sz w:val="18"/>
        </w:rPr>
        <w:t>In re District of Columbia</w:t>
      </w:r>
      <w:r>
        <w:rPr>
          <w:rFonts w:ascii="Arial" w:eastAsia="Arial" w:hAnsi="Arial" w:cs="Arial"/>
          <w:color w:val="000000"/>
          <w:sz w:val="18"/>
        </w:rPr>
        <w:t xml:space="preserve">, 792 F.3d at 100 (identifying "fail[ure] to offer sufficient discharge planning" and "fail[ure] to inform and provide [nursing facility residents] with meaningful choices of community-based long-term care alternatives" as "common," "specific deficiencies" that would support commonality (third alteration in original)), plaintiffs need not always identify a "specific employment practice" to satisfy Rule 23(a)(2). That requirement was specific to the </w:t>
      </w:r>
      <w:r>
        <w:rPr>
          <w:rFonts w:ascii="Arial" w:eastAsia="Arial" w:hAnsi="Arial" w:cs="Arial"/>
          <w:i/>
          <w:color w:val="000000"/>
          <w:sz w:val="18"/>
        </w:rPr>
        <w:t>Wal-Mart</w:t>
      </w:r>
      <w:r>
        <w:rPr>
          <w:rFonts w:ascii="Arial" w:eastAsia="Arial" w:hAnsi="Arial" w:cs="Arial"/>
          <w:color w:val="000000"/>
          <w:sz w:val="18"/>
        </w:rPr>
        <w:t xml:space="preserve"> facts and the Title VII claim at issue.</w:t>
      </w:r>
    </w:p>
  </w:footnote>
  <w:footnote w:id="48">
    <w:p w:rsidR="00E456CD" w:rsidRDefault="00000000">
      <w:pPr>
        <w:pStyle w:val="Normal3"/>
        <w:widowControl w:val="0"/>
        <w:spacing w:before="200" w:line="240" w:lineRule="atLeast"/>
        <w:jc w:val="both"/>
      </w:pPr>
      <w:r>
        <w:rPr>
          <w:rFonts w:ascii="Arial" w:eastAsia="Arial" w:hAnsi="Arial" w:cs="Arial"/>
          <w:color w:val="000000"/>
          <w:sz w:val="18"/>
          <w:vertAlign w:val="superscript"/>
        </w:rPr>
        <w:t>9 </w:t>
      </w:r>
      <w:bookmarkStart w:id="549" w:name="Bookmark_fnpara_9_0"/>
      <w:bookmarkEnd w:id="549"/>
      <w:r>
        <w:rPr>
          <w:rFonts w:ascii="Arial" w:eastAsia="Arial" w:hAnsi="Arial" w:cs="Arial"/>
          <w:color w:val="000000"/>
          <w:sz w:val="18"/>
        </w:rPr>
        <w:t xml:space="preserve">Subclass two's claims were resolved before trial. </w:t>
      </w:r>
      <w:bookmarkStart w:id="550" w:name="Bookmark_I5WHY2K92SF7M90050000400"/>
      <w:bookmarkEnd w:id="550"/>
      <w:r>
        <w:rPr>
          <w:rFonts w:ascii="Arial" w:eastAsia="Arial" w:hAnsi="Arial" w:cs="Arial"/>
          <w:i/>
          <w:color w:val="000000"/>
          <w:sz w:val="18"/>
        </w:rPr>
        <w:t>DL II</w:t>
      </w:r>
      <w:r>
        <w:rPr>
          <w:rFonts w:ascii="Arial" w:eastAsia="Arial" w:hAnsi="Arial" w:cs="Arial"/>
          <w:color w:val="000000"/>
          <w:sz w:val="18"/>
        </w:rPr>
        <w:t>, 860 F.3d at 724.</w:t>
      </w:r>
    </w:p>
  </w:footnote>
  <w:footnote w:id="49">
    <w:p w:rsidR="00E456CD" w:rsidRDefault="00000000">
      <w:pPr>
        <w:pStyle w:val="Normal3"/>
        <w:widowControl w:val="0"/>
        <w:spacing w:before="200" w:line="240" w:lineRule="atLeast"/>
        <w:jc w:val="both"/>
      </w:pPr>
      <w:r>
        <w:rPr>
          <w:rFonts w:ascii="Arial" w:eastAsia="Arial" w:hAnsi="Arial" w:cs="Arial"/>
          <w:color w:val="000000"/>
          <w:sz w:val="18"/>
          <w:vertAlign w:val="superscript"/>
        </w:rPr>
        <w:t>10 </w:t>
      </w:r>
      <w:bookmarkStart w:id="578" w:name="Bookmark_fnpara_10_0"/>
      <w:bookmarkStart w:id="579" w:name="Bookmark_I5WHY2KB2SF7MC0050000400"/>
      <w:bookmarkEnd w:id="578"/>
      <w:bookmarkEnd w:id="579"/>
      <w:r>
        <w:rPr>
          <w:rFonts w:ascii="Arial" w:eastAsia="Arial" w:hAnsi="Arial" w:cs="Arial"/>
          <w:color w:val="000000"/>
          <w:sz w:val="18"/>
        </w:rPr>
        <w:t xml:space="preserve">As set forth above, the district court should concentrate on the accommodations that Plaintiffs in fact request—that is, the proposed injunction—when deciding the District's liability. If liability is established, however, the district court retains its usual discretion to enter the appropriate declaratory or injunctive relief. </w:t>
      </w:r>
      <w:bookmarkStart w:id="580" w:name="Bookmark_I5WHY2KB2HM6V60010000400"/>
      <w:bookmarkEnd w:id="580"/>
      <w:r>
        <w:rPr>
          <w:rFonts w:ascii="Arial" w:eastAsia="Arial" w:hAnsi="Arial" w:cs="Arial"/>
          <w:i/>
          <w:color w:val="000000"/>
          <w:sz w:val="18"/>
        </w:rPr>
        <w:t xml:space="preserve">See </w:t>
      </w:r>
      <w:bookmarkStart w:id="581" w:name="Bookmark_I5WHY2KB2SF7MC0040000400"/>
      <w:bookmarkEnd w:id="581"/>
      <w:r>
        <w:rPr>
          <w:rFonts w:ascii="Arial" w:eastAsia="Arial" w:hAnsi="Arial" w:cs="Arial"/>
          <w:i/>
          <w:color w:val="000000"/>
          <w:sz w:val="18"/>
        </w:rPr>
        <w:t>Olmstead</w:t>
      </w:r>
      <w:r>
        <w:rPr>
          <w:rFonts w:ascii="Arial" w:eastAsia="Arial" w:hAnsi="Arial" w:cs="Arial"/>
          <w:color w:val="000000"/>
          <w:sz w:val="18"/>
        </w:rPr>
        <w:t xml:space="preserve">, 527 U.S. at 590 &amp; n.4 ("Remedies both at law and in equity are available for violations of the statute."); </w:t>
      </w:r>
      <w:r>
        <w:rPr>
          <w:rFonts w:ascii="Arial" w:eastAsia="Arial" w:hAnsi="Arial" w:cs="Arial"/>
          <w:i/>
          <w:color w:val="000000"/>
          <w:sz w:val="18"/>
        </w:rPr>
        <w:t xml:space="preserve">see also </w:t>
      </w:r>
      <w:bookmarkStart w:id="582" w:name="Bookmark_I5WHY2KB2SF7MD0010000400"/>
      <w:bookmarkEnd w:id="582"/>
      <w:r>
        <w:rPr>
          <w:rFonts w:ascii="Arial" w:eastAsia="Arial" w:hAnsi="Arial" w:cs="Arial"/>
          <w:i/>
          <w:color w:val="000000"/>
          <w:sz w:val="18"/>
        </w:rPr>
        <w:t>Disabled in Action v. Board of Elections in City of New York</w:t>
      </w:r>
      <w:r>
        <w:rPr>
          <w:rFonts w:ascii="Arial" w:eastAsia="Arial" w:hAnsi="Arial" w:cs="Arial"/>
          <w:color w:val="000000"/>
          <w:sz w:val="18"/>
        </w:rPr>
        <w:t xml:space="preserve">, 752 F.3d 189, 198 (2d Cir. 2014) ("If local authorities 'fail in their affirmative obligations' under federal law, 'the scope of a district court's equitable powers . . . is broad, for breadth and flexibility are inherent in equitable remedies." (quoting </w:t>
      </w:r>
      <w:bookmarkStart w:id="583" w:name="Bookmark_I5WHY2KB2SF7MD0030000400"/>
      <w:bookmarkEnd w:id="583"/>
      <w:r>
        <w:rPr>
          <w:rFonts w:ascii="Arial" w:eastAsia="Arial" w:hAnsi="Arial" w:cs="Arial"/>
          <w:i/>
          <w:color w:val="000000"/>
          <w:sz w:val="18"/>
        </w:rPr>
        <w:t>Swann v. Charlotte-Mecklenburg Bd. of Educ.</w:t>
      </w:r>
      <w:r>
        <w:rPr>
          <w:rFonts w:ascii="Arial" w:eastAsia="Arial" w:hAnsi="Arial" w:cs="Arial"/>
          <w:color w:val="000000"/>
          <w:sz w:val="18"/>
        </w:rPr>
        <w:t xml:space="preserve">, 402 U.S. 1, 15, 91 S. Ct. 1267, 28 L. Ed. 2d 554 (1971))). </w:t>
      </w:r>
      <w:bookmarkStart w:id="584" w:name="Bookmark_I5WHY2KB2HM6V60010000400_2"/>
      <w:bookmarkEnd w:id="584"/>
      <w:r>
        <w:rPr>
          <w:rFonts w:ascii="Arial" w:eastAsia="Arial" w:hAnsi="Arial" w:cs="Arial"/>
          <w:color w:val="000000"/>
          <w:sz w:val="18"/>
        </w:rPr>
        <w:t xml:space="preserve">In other words, the district court is not ultimately bound to enter the proposed injunction as a remedy; if it wishes to, it may focus its ultimate injunction on the six "key components of an effective system of transition assistance" that it has gleaned from other </w:t>
      </w:r>
      <w:r>
        <w:rPr>
          <w:rFonts w:ascii="Arial" w:eastAsia="Arial" w:hAnsi="Arial" w:cs="Arial"/>
          <w:i/>
          <w:color w:val="000000"/>
          <w:sz w:val="18"/>
        </w:rPr>
        <w:t>Olmstead</w:t>
      </w:r>
      <w:r>
        <w:rPr>
          <w:rFonts w:ascii="Arial" w:eastAsia="Arial" w:hAnsi="Arial" w:cs="Arial"/>
          <w:color w:val="000000"/>
          <w:sz w:val="18"/>
        </w:rPr>
        <w:t xml:space="preserve"> cases. </w:t>
      </w:r>
      <w:r>
        <w:rPr>
          <w:rFonts w:ascii="Arial" w:eastAsia="Arial" w:hAnsi="Arial" w:cs="Arial"/>
          <w:i/>
          <w:color w:val="000000"/>
          <w:sz w:val="18"/>
        </w:rPr>
        <w:t xml:space="preserve">See </w:t>
      </w:r>
      <w:bookmarkStart w:id="585" w:name="Bookmark_I5WHY2KB2SF7MD0050000400"/>
      <w:bookmarkEnd w:id="585"/>
      <w:r>
        <w:rPr>
          <w:rFonts w:ascii="Arial" w:eastAsia="Arial" w:hAnsi="Arial" w:cs="Arial"/>
          <w:i/>
          <w:color w:val="000000"/>
          <w:sz w:val="18"/>
        </w:rPr>
        <w:t>Thorpe</w:t>
      </w:r>
      <w:r>
        <w:rPr>
          <w:rFonts w:ascii="Arial" w:eastAsia="Arial" w:hAnsi="Arial" w:cs="Arial"/>
          <w:color w:val="000000"/>
          <w:sz w:val="18"/>
        </w:rPr>
        <w:t>, 303 F.R.D. at 148.</w:t>
      </w:r>
    </w:p>
  </w:footnote>
  <w:footnote w:id="50">
    <w:p w:rsidR="00E456CD" w:rsidRDefault="00000000">
      <w:pPr>
        <w:pStyle w:val="Normal3"/>
        <w:widowControl w:val="0"/>
        <w:spacing w:before="200" w:line="240" w:lineRule="atLeast"/>
        <w:jc w:val="both"/>
      </w:pPr>
      <w:r>
        <w:rPr>
          <w:rFonts w:ascii="Arial" w:eastAsia="Arial" w:hAnsi="Arial" w:cs="Arial"/>
          <w:color w:val="000000"/>
          <w:sz w:val="18"/>
          <w:vertAlign w:val="superscript"/>
        </w:rPr>
        <w:t>11 </w:t>
      </w:r>
      <w:bookmarkStart w:id="606" w:name="Bookmark_fnpara_11_0"/>
      <w:bookmarkStart w:id="607" w:name="Bookmark_I5WHY2KB28T48S0040000400"/>
      <w:bookmarkEnd w:id="606"/>
      <w:bookmarkEnd w:id="607"/>
      <w:r>
        <w:rPr>
          <w:rFonts w:ascii="Arial" w:eastAsia="Arial" w:hAnsi="Arial" w:cs="Arial"/>
          <w:color w:val="000000"/>
          <w:sz w:val="18"/>
        </w:rPr>
        <w:t xml:space="preserve">The district court rejected the testimony of Plaintiffs' expert witness, who concluded that the District "does not have an effectively working system of transition assistance," </w:t>
      </w:r>
      <w:r>
        <w:rPr>
          <w:rFonts w:ascii="Arial" w:eastAsia="Arial" w:hAnsi="Arial" w:cs="Arial"/>
          <w:i/>
          <w:color w:val="000000"/>
          <w:sz w:val="18"/>
        </w:rPr>
        <w:t>Declaration of Roger Auerbach</w:t>
      </w:r>
      <w:r>
        <w:rPr>
          <w:rFonts w:ascii="Arial" w:eastAsia="Arial" w:hAnsi="Arial" w:cs="Arial"/>
          <w:color w:val="000000"/>
          <w:sz w:val="18"/>
        </w:rPr>
        <w:t xml:space="preserve">, No. 1:10-cv-2250 (D.D.C. Sept. 20, 2016), ECF 212 at 3. </w:t>
      </w:r>
      <w:bookmarkStart w:id="608" w:name="Bookmark_I5WHY2KB28T48S0030000400"/>
      <w:bookmarkEnd w:id="608"/>
      <w:r>
        <w:rPr>
          <w:rFonts w:ascii="Arial" w:eastAsia="Arial" w:hAnsi="Arial" w:cs="Arial"/>
          <w:i/>
          <w:color w:val="000000"/>
          <w:sz w:val="18"/>
        </w:rPr>
        <w:t>Brown</w:t>
      </w:r>
      <w:r>
        <w:rPr>
          <w:rFonts w:ascii="Arial" w:eastAsia="Arial" w:hAnsi="Arial" w:cs="Arial"/>
          <w:color w:val="000000"/>
          <w:sz w:val="18"/>
        </w:rPr>
        <w:t xml:space="preserve">, 322 F.R.D. at 93 ("Plaintiffs' expert Roger Auerbach grounds his opinion that the District fails to provide effective transition services on the faulty premise that there is affordable, accessible housing in the District that is available to class members."). </w:t>
      </w:r>
      <w:bookmarkStart w:id="609" w:name="Bookmark_I5WHY2KB2N1PP60010000400"/>
      <w:bookmarkEnd w:id="609"/>
      <w:r>
        <w:rPr>
          <w:rFonts w:ascii="Arial" w:eastAsia="Arial" w:hAnsi="Arial" w:cs="Arial"/>
          <w:color w:val="000000"/>
          <w:sz w:val="18"/>
        </w:rPr>
        <w:t xml:space="preserve">But it did not conclude that the District's plan </w:t>
      </w:r>
      <w:r>
        <w:rPr>
          <w:rFonts w:ascii="Arial" w:eastAsia="Arial" w:hAnsi="Arial" w:cs="Arial"/>
          <w:i/>
          <w:color w:val="000000"/>
          <w:sz w:val="18"/>
        </w:rPr>
        <w:t>is</w:t>
      </w:r>
      <w:r>
        <w:rPr>
          <w:rFonts w:ascii="Arial" w:eastAsia="Arial" w:hAnsi="Arial" w:cs="Arial"/>
          <w:color w:val="000000"/>
          <w:sz w:val="18"/>
        </w:rPr>
        <w:t xml:space="preserve"> "effectively working."</w:t>
      </w:r>
    </w:p>
    <w:p w:rsidR="00E456CD" w:rsidRDefault="00000000">
      <w:pPr>
        <w:pStyle w:val="Normal3"/>
        <w:widowControl w:val="0"/>
        <w:spacing w:before="200" w:line="240" w:lineRule="atLeast"/>
        <w:jc w:val="both"/>
      </w:pPr>
      <w:bookmarkStart w:id="610" w:name="Bookmark_fnpara_12_0"/>
      <w:bookmarkStart w:id="611" w:name="Bookmark_I5WHY2KB2N1PP60010000400_2"/>
      <w:bookmarkEnd w:id="610"/>
      <w:bookmarkEnd w:id="611"/>
      <w:r>
        <w:rPr>
          <w:rFonts w:ascii="Arial" w:eastAsia="Arial" w:hAnsi="Arial" w:cs="Arial"/>
          <w:color w:val="000000"/>
          <w:sz w:val="18"/>
        </w:rPr>
        <w:t xml:space="preserve">And although the district court found that there is no longer a waiting list for enrollment in the EPD Waiver program, </w:t>
      </w:r>
      <w:bookmarkStart w:id="612" w:name="Bookmark_I5WHY2KB28T48S0050000400"/>
      <w:bookmarkEnd w:id="612"/>
      <w:r>
        <w:rPr>
          <w:rFonts w:ascii="Arial" w:eastAsia="Arial" w:hAnsi="Arial" w:cs="Arial"/>
          <w:i/>
          <w:color w:val="000000"/>
          <w:sz w:val="18"/>
        </w:rPr>
        <w:t>Brown</w:t>
      </w:r>
      <w:r>
        <w:rPr>
          <w:rFonts w:ascii="Arial" w:eastAsia="Arial" w:hAnsi="Arial" w:cs="Arial"/>
          <w:color w:val="000000"/>
          <w:sz w:val="18"/>
        </w:rPr>
        <w:t>, 322 F.R.D. at 90 n.30, it did not find that the District's waiting list for transition to the community moves at a "reasonable" pace.</w:t>
      </w:r>
    </w:p>
  </w:footnote>
  <w:footnote w:id="51">
    <w:p w:rsidR="00E456CD" w:rsidRDefault="00000000">
      <w:pPr>
        <w:pStyle w:val="Normal3"/>
        <w:widowControl w:val="0"/>
        <w:spacing w:before="200" w:line="240" w:lineRule="atLeast"/>
        <w:jc w:val="both"/>
      </w:pPr>
      <w:r>
        <w:rPr>
          <w:rFonts w:ascii="Arial" w:eastAsia="Arial" w:hAnsi="Arial" w:cs="Arial"/>
          <w:color w:val="000000"/>
          <w:sz w:val="18"/>
          <w:vertAlign w:val="superscript"/>
        </w:rPr>
        <w:t>12 </w:t>
      </w:r>
      <w:bookmarkStart w:id="614" w:name="Bookmark_fnpara_13_0"/>
      <w:bookmarkEnd w:id="614"/>
      <w:r>
        <w:rPr>
          <w:rFonts w:ascii="Arial" w:eastAsia="Arial" w:hAnsi="Arial" w:cs="Arial"/>
          <w:color w:val="000000"/>
          <w:sz w:val="18"/>
        </w:rPr>
        <w:t>The district court should consider the fact that the MFP program will be phased out next year when deciding whether the District has an adequate "</w:t>
      </w:r>
      <w:r>
        <w:rPr>
          <w:rFonts w:ascii="Arial" w:eastAsia="Arial" w:hAnsi="Arial" w:cs="Arial"/>
          <w:i/>
          <w:color w:val="000000"/>
          <w:sz w:val="18"/>
        </w:rPr>
        <w:t>Olmstead</w:t>
      </w:r>
      <w:r>
        <w:rPr>
          <w:rFonts w:ascii="Arial" w:eastAsia="Arial" w:hAnsi="Arial" w:cs="Arial"/>
          <w:color w:val="000000"/>
          <w:sz w:val="18"/>
        </w:rPr>
        <w:t xml:space="preserve"> Plan" in place.</w:t>
      </w:r>
    </w:p>
  </w:footnote>
  <w:footnote w:id="52">
    <w:p w:rsidR="00E456CD" w:rsidRDefault="00000000">
      <w:pPr>
        <w:pStyle w:val="Normal3"/>
        <w:widowControl w:val="0"/>
        <w:spacing w:before="200" w:line="240" w:lineRule="atLeast"/>
        <w:jc w:val="both"/>
      </w:pPr>
      <w:r>
        <w:rPr>
          <w:rFonts w:ascii="Arial" w:eastAsia="Arial" w:hAnsi="Arial" w:cs="Arial"/>
          <w:color w:val="000000"/>
          <w:sz w:val="18"/>
          <w:vertAlign w:val="superscript"/>
        </w:rPr>
        <w:t>13 </w:t>
      </w:r>
      <w:bookmarkStart w:id="616" w:name="Bookmark_fnpara_14_0"/>
      <w:bookmarkStart w:id="617" w:name="Bookmark_I5WHY2KB2N1PP60030000400"/>
      <w:bookmarkEnd w:id="616"/>
      <w:bookmarkEnd w:id="617"/>
      <w:r>
        <w:rPr>
          <w:rFonts w:ascii="Arial" w:eastAsia="Arial" w:hAnsi="Arial" w:cs="Arial"/>
          <w:color w:val="000000"/>
          <w:sz w:val="18"/>
        </w:rPr>
        <w:t xml:space="preserve">The district court made numerous factual findings regarding the lack of housing in the District. </w:t>
      </w:r>
      <w:bookmarkStart w:id="618" w:name="Bookmark_I5WHY2KB2N1PP60020000400"/>
      <w:bookmarkEnd w:id="618"/>
      <w:r>
        <w:rPr>
          <w:rFonts w:ascii="Arial" w:eastAsia="Arial" w:hAnsi="Arial" w:cs="Arial"/>
          <w:i/>
          <w:color w:val="000000"/>
          <w:sz w:val="18"/>
        </w:rPr>
        <w:t>Brown</w:t>
      </w:r>
      <w:r>
        <w:rPr>
          <w:rFonts w:ascii="Arial" w:eastAsia="Arial" w:hAnsi="Arial" w:cs="Arial"/>
          <w:color w:val="000000"/>
          <w:sz w:val="18"/>
        </w:rPr>
        <w:t>, 322 F.R.D. at 93 ("A lack of housing and a lack of income to secure housing are the most common barriers to discharge from a nursing facility. . . . The state of affordable housing in the District is bleak. More than 80% of individuals in nursing facilities who want to move to the community need some form of public assistance to secure housing. At present, and since April 2013, the D.C. Housing Authority (DCHA) waiting list for public and subsidized housing in the District is closed. Individuals seeking public assistance with housing cannot, at present, be added to the waiting list under any circumstances. The waiting list has over 40,000 names on it, and, for some categories, it will not need to be opened for over 20 years. . . . For class members who did not add themselves to the DCHA waiting list before it closed in April 2013, the MFP voucher lottery [which will cease to be available in 2020] is essentially the only viable avenue for securing subsidized housing. With only 65 MFP set-aside vouchers, there is nowhere near enough capacity to provide housing to all class members." (record citations omitted)).</w:t>
      </w:r>
    </w:p>
    <w:p w:rsidR="00E456CD" w:rsidRDefault="00000000">
      <w:pPr>
        <w:pStyle w:val="Normal3"/>
        <w:widowControl w:val="0"/>
        <w:spacing w:before="200" w:line="240" w:lineRule="atLeast"/>
        <w:jc w:val="both"/>
      </w:pPr>
      <w:bookmarkStart w:id="619" w:name="Bookmark_fnpara_15_0"/>
      <w:bookmarkEnd w:id="619"/>
      <w:r>
        <w:rPr>
          <w:rFonts w:ascii="Arial" w:eastAsia="Arial" w:hAnsi="Arial" w:cs="Arial"/>
          <w:color w:val="000000"/>
          <w:sz w:val="18"/>
        </w:rPr>
        <w:t xml:space="preserve">If on remand the district court reaffirms these factual findings under the correct burden of proof, it appears the third provision of the proposed injunction, </w:t>
      </w:r>
      <w:r>
        <w:rPr>
          <w:rFonts w:ascii="Arial" w:eastAsia="Arial" w:hAnsi="Arial" w:cs="Arial"/>
          <w:i/>
          <w:color w:val="000000"/>
          <w:sz w:val="18"/>
        </w:rPr>
        <w:t>supra</w:t>
      </w:r>
      <w:r>
        <w:rPr>
          <w:rFonts w:ascii="Arial" w:eastAsia="Arial" w:hAnsi="Arial" w:cs="Arial"/>
          <w:color w:val="000000"/>
          <w:sz w:val="18"/>
        </w:rPr>
        <w:t>, p. 8, requiring the District to transfer a certain number of class members to the community each year, would likely be so costly as to be unreasonable. In fact, it is hard to imagine what the District could do to transition to the community the number of individuals specified in the third provision in the face of such a low-income-housing shortage.</w:t>
      </w:r>
    </w:p>
    <w:p w:rsidR="00E456CD" w:rsidRDefault="00000000">
      <w:pPr>
        <w:pStyle w:val="Normal3"/>
        <w:widowControl w:val="0"/>
        <w:spacing w:before="120" w:line="240" w:lineRule="atLeast"/>
        <w:jc w:val="both"/>
      </w:pPr>
      <w:bookmarkStart w:id="620" w:name="Bookmark_fnpara_16_0"/>
      <w:bookmarkEnd w:id="620"/>
      <w:r>
        <w:rPr>
          <w:rFonts w:ascii="Arial" w:eastAsia="Arial" w:hAnsi="Arial" w:cs="Arial"/>
          <w:color w:val="000000"/>
          <w:sz w:val="18"/>
        </w:rPr>
        <w:t>To be clear, a lack of housing would have no bearing on other portions of the proposed injunction—for example, the fourth provision, which seeks a reporting requirement. Therefore, if the district court again finds a lack of available housing on remand, this finding alone would not resolve the litigation in the District's favor.</w:t>
      </w:r>
    </w:p>
  </w:footnote>
  <w:footnote w:id="53">
    <w:p w:rsidR="00E456CD" w:rsidRDefault="00000000">
      <w:pPr>
        <w:pStyle w:val="Normal3"/>
        <w:widowControl w:val="0"/>
        <w:spacing w:before="200" w:line="240" w:lineRule="atLeast"/>
        <w:jc w:val="both"/>
      </w:pPr>
      <w:r>
        <w:rPr>
          <w:rFonts w:ascii="Arial" w:eastAsia="Arial" w:hAnsi="Arial" w:cs="Arial"/>
          <w:color w:val="000000"/>
          <w:sz w:val="18"/>
          <w:vertAlign w:val="superscript"/>
        </w:rPr>
        <w:t>14 </w:t>
      </w:r>
      <w:bookmarkStart w:id="623" w:name="Bookmark_fnpara_17_0"/>
      <w:bookmarkStart w:id="624" w:name="Bookmark_I5WHY2KB2N1PP60050000400"/>
      <w:bookmarkEnd w:id="623"/>
      <w:bookmarkEnd w:id="624"/>
      <w:r>
        <w:rPr>
          <w:rFonts w:ascii="Arial" w:eastAsia="Arial" w:hAnsi="Arial" w:cs="Arial"/>
          <w:color w:val="000000"/>
          <w:sz w:val="18"/>
        </w:rPr>
        <w:t>As this opinion makes clear, it is the District—not, as the district court believed, Plaintiffs—that bears the burden of demonstrating that either it has an adequate "</w:t>
      </w:r>
      <w:r>
        <w:rPr>
          <w:rFonts w:ascii="Arial" w:eastAsia="Arial" w:hAnsi="Arial" w:cs="Arial"/>
          <w:i/>
          <w:color w:val="000000"/>
          <w:sz w:val="18"/>
        </w:rPr>
        <w:t>Olmstead</w:t>
      </w:r>
      <w:r>
        <w:rPr>
          <w:rFonts w:ascii="Arial" w:eastAsia="Arial" w:hAnsi="Arial" w:cs="Arial"/>
          <w:color w:val="000000"/>
          <w:sz w:val="18"/>
        </w:rPr>
        <w:t xml:space="preserve"> Plan" in place or the requested accommodations are unreasonable. "[W]hen a finding of fact is based on the application of an incorrect burden of proof, the finding cannot stand." </w:t>
      </w:r>
      <w:bookmarkStart w:id="625" w:name="Bookmark_I5WHY2KB2N1PP60040000400"/>
      <w:bookmarkEnd w:id="625"/>
      <w:r>
        <w:rPr>
          <w:rFonts w:ascii="Arial" w:eastAsia="Arial" w:hAnsi="Arial" w:cs="Arial"/>
          <w:i/>
          <w:color w:val="000000"/>
          <w:sz w:val="18"/>
        </w:rPr>
        <w:t>Abbott v. Perez</w:t>
      </w:r>
      <w:r>
        <w:rPr>
          <w:rFonts w:ascii="Arial" w:eastAsia="Arial" w:hAnsi="Arial" w:cs="Arial"/>
          <w:color w:val="000000"/>
          <w:sz w:val="18"/>
        </w:rPr>
        <w:t>, 138 S. Ct. 2305, 2327, 201 L. Ed. 2d 714 (2018). Thus, facts that were found based on an improper allocation of the burden of proof should not be reused. Some of the district court's factual findings were based on party stipulations. Stipulated facts can, of course, be reused.</w:t>
      </w:r>
    </w:p>
  </w:footnote>
  <w:footnote w:id="54">
    <w:p w:rsidR="00E456CD" w:rsidRDefault="00000000">
      <w:pPr>
        <w:pStyle w:val="Normal4"/>
        <w:widowControl w:val="0"/>
        <w:spacing w:before="120" w:line="240" w:lineRule="atLeast"/>
        <w:jc w:val="both"/>
      </w:pPr>
      <w:r>
        <w:rPr>
          <w:rFonts w:ascii="Arial" w:eastAsia="Arial" w:hAnsi="Arial" w:cs="Arial"/>
          <w:color w:val="000000"/>
          <w:sz w:val="18"/>
          <w:vertAlign w:val="superscript"/>
        </w:rPr>
        <w:t>* </w:t>
      </w:r>
      <w:bookmarkStart w:id="1094" w:name="Bookmark_fnpara_1_2"/>
      <w:bookmarkEnd w:id="1094"/>
      <w:r>
        <w:rPr>
          <w:rFonts w:ascii="Arial" w:eastAsia="Arial" w:hAnsi="Arial" w:cs="Arial"/>
          <w:color w:val="000000"/>
          <w:sz w:val="18"/>
        </w:rPr>
        <w:t>This disposition is not an opinion of the full Court and pursuant to I.O.P. 5.7 does not constitute binding precedent.</w:t>
      </w:r>
    </w:p>
  </w:footnote>
  <w:footnote w:id="55">
    <w:p w:rsidR="00E456CD" w:rsidRDefault="00000000">
      <w:pPr>
        <w:pStyle w:val="Normal4"/>
        <w:widowControl w:val="0"/>
        <w:spacing w:before="120" w:line="240" w:lineRule="atLeast"/>
        <w:jc w:val="both"/>
      </w:pPr>
      <w:r>
        <w:rPr>
          <w:rFonts w:ascii="Arial" w:eastAsia="Arial" w:hAnsi="Arial" w:cs="Arial"/>
          <w:color w:val="000000"/>
          <w:sz w:val="18"/>
          <w:vertAlign w:val="superscript"/>
        </w:rPr>
        <w:t>1 </w:t>
      </w:r>
      <w:bookmarkStart w:id="1098" w:name="Bookmark_fnpara_2_2"/>
      <w:bookmarkEnd w:id="1098"/>
      <w:r>
        <w:rPr>
          <w:rFonts w:ascii="Arial" w:eastAsia="Arial" w:hAnsi="Arial" w:cs="Arial"/>
          <w:color w:val="000000"/>
          <w:sz w:val="18"/>
        </w:rPr>
        <w:t>In particular, Kokinda named as defendants: the DOC and supervisors Christopher H. Oppman, Patricia Stover, Deputy Superintendent for Correctional Services Mark DiAlesandro ("DSCS DiAlesandro"), and Superintendent Robert Gilmore, as well as Unit Manager Shelley Mankey ("UM Mankey"), and Corrections Health Care Administrator Irma Vihlidal ("CHCA Vihlidal"); Dr. Pillai; and medical contractor, Correct Care Solutions ("CCS").</w:t>
      </w:r>
    </w:p>
  </w:footnote>
  <w:footnote w:id="56">
    <w:p w:rsidR="00E456CD" w:rsidRDefault="00000000">
      <w:pPr>
        <w:pStyle w:val="Normal4"/>
        <w:widowControl w:val="0"/>
        <w:spacing w:before="200" w:line="240" w:lineRule="atLeast"/>
        <w:jc w:val="both"/>
      </w:pPr>
      <w:r>
        <w:rPr>
          <w:rFonts w:ascii="Arial" w:eastAsia="Arial" w:hAnsi="Arial" w:cs="Arial"/>
          <w:color w:val="000000"/>
          <w:sz w:val="18"/>
          <w:vertAlign w:val="superscript"/>
        </w:rPr>
        <w:t>2 </w:t>
      </w:r>
      <w:bookmarkStart w:id="1102" w:name="Bookmark_fnpara_3_2"/>
      <w:bookmarkStart w:id="1103" w:name="Bookmark_I5WFKCCT2D6NVS0020000400"/>
      <w:bookmarkEnd w:id="1102"/>
      <w:bookmarkEnd w:id="1103"/>
      <w:r>
        <w:rPr>
          <w:rFonts w:ascii="Arial" w:eastAsia="Arial" w:hAnsi="Arial" w:cs="Arial"/>
          <w:color w:val="000000"/>
          <w:sz w:val="18"/>
        </w:rPr>
        <w:t xml:space="preserve">Kokinda did not mention the District Court's order denying his reconsideration motion in his notice of appeal and, more importantly, he has raised no arguments addressed to that order in his appellate brief. </w:t>
      </w:r>
      <w:bookmarkStart w:id="1104" w:name="Bookmark_I5WFKCCT2D6NVS0040000400"/>
      <w:bookmarkEnd w:id="1104"/>
      <w:r>
        <w:rPr>
          <w:rFonts w:ascii="Arial" w:eastAsia="Arial" w:hAnsi="Arial" w:cs="Arial"/>
          <w:color w:val="000000"/>
          <w:sz w:val="18"/>
        </w:rPr>
        <w:t xml:space="preserve">We thus do not consider that order within the scope of this appeal. Even if we were to liberally construe the notice of appeal to include the order, </w:t>
      </w:r>
      <w:r>
        <w:rPr>
          <w:rFonts w:ascii="Arial" w:eastAsia="Arial" w:hAnsi="Arial" w:cs="Arial"/>
          <w:color w:val="000000"/>
          <w:sz w:val="18"/>
          <w:u w:val="single"/>
        </w:rPr>
        <w:t xml:space="preserve">see </w:t>
      </w:r>
      <w:bookmarkStart w:id="1105" w:name="Bookmark_I5WFKCCT2D6NVS0010000400"/>
      <w:bookmarkEnd w:id="1105"/>
      <w:r>
        <w:rPr>
          <w:rFonts w:ascii="Arial" w:eastAsia="Arial" w:hAnsi="Arial" w:cs="Arial"/>
          <w:color w:val="000000"/>
          <w:sz w:val="18"/>
          <w:u w:val="single"/>
        </w:rPr>
        <w:t>Pacitti v. Macy's</w:t>
      </w:r>
      <w:r>
        <w:rPr>
          <w:rFonts w:ascii="Arial" w:eastAsia="Arial" w:hAnsi="Arial" w:cs="Arial"/>
          <w:color w:val="000000"/>
          <w:sz w:val="18"/>
        </w:rPr>
        <w:t xml:space="preserve">, 193 F.3d 766, 776 (3d Cir. 1999), we would find no abuse of discretion on the part of the District Court. </w:t>
      </w:r>
      <w:bookmarkStart w:id="1106" w:name="Bookmark_I5WFKCCT2D6NVS0040000400_2"/>
      <w:bookmarkEnd w:id="1106"/>
      <w:r>
        <w:rPr>
          <w:rFonts w:ascii="Arial" w:eastAsia="Arial" w:hAnsi="Arial" w:cs="Arial"/>
          <w:color w:val="000000"/>
          <w:sz w:val="18"/>
          <w:u w:val="single"/>
        </w:rPr>
        <w:t xml:space="preserve">See </w:t>
      </w:r>
      <w:bookmarkStart w:id="1107" w:name="Bookmark_I5WFKCCT2D6NVS0030000400"/>
      <w:bookmarkEnd w:id="1107"/>
      <w:r>
        <w:rPr>
          <w:rFonts w:ascii="Arial" w:eastAsia="Arial" w:hAnsi="Arial" w:cs="Arial"/>
          <w:color w:val="000000"/>
          <w:sz w:val="18"/>
          <w:u w:val="single"/>
        </w:rPr>
        <w:t>McDowell v. Phila. Hous. Auth.</w:t>
      </w:r>
      <w:r>
        <w:rPr>
          <w:rFonts w:ascii="Arial" w:eastAsia="Arial" w:hAnsi="Arial" w:cs="Arial"/>
          <w:color w:val="000000"/>
          <w:sz w:val="18"/>
        </w:rPr>
        <w:t>, 423 F.3d 233, 238 (3d Cir. 2005). The court correctly denied the Rule 59(e) motion insofar as Kokinda challenged the District Court's ruling that we affirm here.</w:t>
      </w:r>
    </w:p>
  </w:footnote>
  <w:footnote w:id="57">
    <w:p w:rsidR="00E456CD" w:rsidRDefault="00000000">
      <w:pPr>
        <w:pStyle w:val="Normal4"/>
        <w:widowControl w:val="0"/>
        <w:spacing w:before="200" w:line="240" w:lineRule="atLeast"/>
        <w:jc w:val="both"/>
      </w:pPr>
      <w:r>
        <w:rPr>
          <w:rFonts w:ascii="Arial" w:eastAsia="Arial" w:hAnsi="Arial" w:cs="Arial"/>
          <w:color w:val="000000"/>
          <w:sz w:val="18"/>
          <w:vertAlign w:val="superscript"/>
        </w:rPr>
        <w:t>3 </w:t>
      </w:r>
      <w:bookmarkStart w:id="1112" w:name="Bookmark_fnpara_4_2"/>
      <w:bookmarkStart w:id="1113" w:name="Bookmark_I5WFKCCW2SF7PY0010000400"/>
      <w:bookmarkEnd w:id="1112"/>
      <w:bookmarkEnd w:id="1113"/>
      <w:r>
        <w:rPr>
          <w:rFonts w:ascii="Arial" w:eastAsia="Arial" w:hAnsi="Arial" w:cs="Arial"/>
          <w:color w:val="000000"/>
          <w:sz w:val="18"/>
        </w:rPr>
        <w:t xml:space="preserve">Because Kokinda makes no argument regarding CCS, we deem any challenge to the dismissal of that defendant as waived. </w:t>
      </w:r>
      <w:bookmarkStart w:id="1114" w:name="Bookmark_I5WFKCCW2SF7PY0030000400"/>
      <w:bookmarkEnd w:id="1114"/>
      <w:r>
        <w:rPr>
          <w:rFonts w:ascii="Arial" w:eastAsia="Arial" w:hAnsi="Arial" w:cs="Arial"/>
          <w:color w:val="000000"/>
          <w:sz w:val="18"/>
          <w:u w:val="single"/>
        </w:rPr>
        <w:t xml:space="preserve">See </w:t>
      </w:r>
      <w:bookmarkStart w:id="1115" w:name="Bookmark_I5WFKCCW28T4C30050000400"/>
      <w:bookmarkEnd w:id="1115"/>
      <w:r>
        <w:rPr>
          <w:rFonts w:ascii="Arial" w:eastAsia="Arial" w:hAnsi="Arial" w:cs="Arial"/>
          <w:color w:val="000000"/>
          <w:sz w:val="18"/>
          <w:u w:val="single"/>
        </w:rPr>
        <w:t>Kost v. Kozakiewicz</w:t>
      </w:r>
      <w:r>
        <w:rPr>
          <w:rFonts w:ascii="Arial" w:eastAsia="Arial" w:hAnsi="Arial" w:cs="Arial"/>
          <w:color w:val="000000"/>
          <w:sz w:val="18"/>
        </w:rPr>
        <w:t xml:space="preserve">, 1 F.3d 176, 182 (3d Cir. 1993). Such a challenge would be meritless in any event. </w:t>
      </w:r>
      <w:bookmarkStart w:id="1116" w:name="Bookmark_I5WFKCCW2SF7PY0030000400_2"/>
      <w:bookmarkEnd w:id="1116"/>
      <w:r>
        <w:rPr>
          <w:rFonts w:ascii="Arial" w:eastAsia="Arial" w:hAnsi="Arial" w:cs="Arial"/>
          <w:color w:val="000000"/>
          <w:sz w:val="18"/>
          <w:u w:val="single"/>
        </w:rPr>
        <w:t xml:space="preserve">See </w:t>
      </w:r>
      <w:bookmarkStart w:id="1117" w:name="Bookmark_I5WFKCCW2SF7PY0020000400"/>
      <w:bookmarkEnd w:id="1117"/>
      <w:r>
        <w:rPr>
          <w:rFonts w:ascii="Arial" w:eastAsia="Arial" w:hAnsi="Arial" w:cs="Arial"/>
          <w:color w:val="000000"/>
          <w:sz w:val="18"/>
          <w:u w:val="single"/>
        </w:rPr>
        <w:t>Groman v. Twp. of Manalapan</w:t>
      </w:r>
      <w:r>
        <w:rPr>
          <w:rFonts w:ascii="Arial" w:eastAsia="Arial" w:hAnsi="Arial" w:cs="Arial"/>
          <w:color w:val="000000"/>
          <w:sz w:val="18"/>
        </w:rPr>
        <w:t xml:space="preserve">, 47 F.3d 628, 637 (3d Cir. 1995) (holding that "vague assertions" of a policy or custom, without more, are not sufficient to state a claim under </w:t>
      </w:r>
      <w:bookmarkStart w:id="1118" w:name="Bookmark_I5WFKCCW2SF7PY0040000400"/>
      <w:bookmarkEnd w:id="1118"/>
      <w:r>
        <w:rPr>
          <w:rFonts w:ascii="Arial" w:eastAsia="Arial" w:hAnsi="Arial" w:cs="Arial"/>
          <w:color w:val="000000"/>
          <w:sz w:val="18"/>
          <w:u w:val="single"/>
        </w:rPr>
        <w:t>Monell v. Dep't of Soc. Servs.</w:t>
      </w:r>
      <w:r>
        <w:rPr>
          <w:rFonts w:ascii="Arial" w:eastAsia="Arial" w:hAnsi="Arial" w:cs="Arial"/>
          <w:color w:val="000000"/>
          <w:sz w:val="18"/>
        </w:rPr>
        <w:t>, 436 U.S. 658, 98 S. Ct. 2018, 56 L. Ed. 2d 611 (1978)).</w:t>
      </w:r>
    </w:p>
  </w:footnote>
  <w:footnote w:id="58">
    <w:p w:rsidR="00E456CD" w:rsidRDefault="00000000">
      <w:pPr>
        <w:pStyle w:val="Normal4"/>
        <w:widowControl w:val="0"/>
        <w:spacing w:before="200" w:line="240" w:lineRule="atLeast"/>
        <w:jc w:val="both"/>
      </w:pPr>
      <w:r>
        <w:rPr>
          <w:rFonts w:ascii="Arial" w:eastAsia="Arial" w:hAnsi="Arial" w:cs="Arial"/>
          <w:color w:val="000000"/>
          <w:sz w:val="18"/>
          <w:vertAlign w:val="superscript"/>
        </w:rPr>
        <w:t>4 </w:t>
      </w:r>
      <w:bookmarkStart w:id="1137" w:name="Bookmark_fnpara_5_2"/>
      <w:bookmarkEnd w:id="1137"/>
      <w:r>
        <w:rPr>
          <w:rFonts w:ascii="Arial" w:eastAsia="Arial" w:hAnsi="Arial" w:cs="Arial"/>
          <w:color w:val="000000"/>
          <w:sz w:val="18"/>
        </w:rPr>
        <w:t xml:space="preserve">We further conclude that there is nothing in Kokinda's filing to suggest that he was attempting to bring an equal protection claim by a "class of one," </w:t>
      </w:r>
      <w:r>
        <w:rPr>
          <w:rFonts w:ascii="Arial" w:eastAsia="Arial" w:hAnsi="Arial" w:cs="Arial"/>
          <w:color w:val="000000"/>
          <w:sz w:val="18"/>
          <w:u w:val="single"/>
        </w:rPr>
        <w:t>i.e.</w:t>
      </w:r>
      <w:r>
        <w:rPr>
          <w:rFonts w:ascii="Arial" w:eastAsia="Arial" w:hAnsi="Arial" w:cs="Arial"/>
          <w:color w:val="000000"/>
          <w:sz w:val="18"/>
        </w:rPr>
        <w:t xml:space="preserve">, an individual claiming "that [ ]he has been intentionally treated differently from others similarly situated and that there is no rational basis for the difference in treatment." </w:t>
      </w:r>
      <w:bookmarkStart w:id="1138" w:name="Bookmark_I5WFKCCY2SF7R20050000400"/>
      <w:bookmarkEnd w:id="1138"/>
      <w:r>
        <w:rPr>
          <w:rFonts w:ascii="Arial" w:eastAsia="Arial" w:hAnsi="Arial" w:cs="Arial"/>
          <w:color w:val="000000"/>
          <w:sz w:val="18"/>
          <w:u w:val="single"/>
        </w:rPr>
        <w:t>Vill. of Willowbrook v. Olech</w:t>
      </w:r>
      <w:r>
        <w:rPr>
          <w:rFonts w:ascii="Arial" w:eastAsia="Arial" w:hAnsi="Arial" w:cs="Arial"/>
          <w:color w:val="000000"/>
          <w:sz w:val="18"/>
        </w:rPr>
        <w:t xml:space="preserve">, 528 U.S. 562, 564, 120 S. Ct. 1073, 145 L. Ed. 2d 1060 (2000) (per curiam). To the contrary, Kokinda repeatedly referenced himself and "the class of prisoners like him," with no mention of disparate treatment between him and the others in the "class." </w:t>
      </w:r>
      <w:r>
        <w:rPr>
          <w:rFonts w:ascii="Arial" w:eastAsia="Arial" w:hAnsi="Arial" w:cs="Arial"/>
          <w:color w:val="000000"/>
          <w:sz w:val="18"/>
          <w:u w:val="single"/>
        </w:rPr>
        <w:t>See, e.g.</w:t>
      </w:r>
      <w:r>
        <w:rPr>
          <w:rFonts w:ascii="Arial" w:eastAsia="Arial" w:hAnsi="Arial" w:cs="Arial"/>
          <w:color w:val="000000"/>
          <w:sz w:val="18"/>
        </w:rPr>
        <w:t>, Compl. at ¶¶ 38-41.</w:t>
      </w:r>
    </w:p>
  </w:footnote>
  <w:footnote w:id="59">
    <w:p w:rsidR="00E456CD" w:rsidRDefault="00000000">
      <w:pPr>
        <w:pStyle w:val="Normal6"/>
        <w:widowControl w:val="0"/>
        <w:spacing w:before="200" w:line="240" w:lineRule="atLeast"/>
        <w:jc w:val="both"/>
      </w:pPr>
      <w:r>
        <w:rPr>
          <w:rFonts w:ascii="Arial" w:eastAsia="Arial" w:hAnsi="Arial" w:cs="Arial"/>
          <w:color w:val="000000"/>
          <w:sz w:val="18"/>
          <w:vertAlign w:val="superscript"/>
        </w:rPr>
        <w:t>1 </w:t>
      </w:r>
      <w:bookmarkStart w:id="1380" w:name="Bookmark_fnpara_1_3"/>
      <w:bookmarkEnd w:id="1380"/>
      <w:r>
        <w:rPr>
          <w:rFonts w:ascii="Arial" w:eastAsia="Arial" w:hAnsi="Arial" w:cs="Arial"/>
          <w:color w:val="000000"/>
          <w:sz w:val="18"/>
        </w:rPr>
        <w:t xml:space="preserve">We recite the facts in the light most favorable to J.D., as the non-moving party. </w:t>
      </w:r>
      <w:r>
        <w:rPr>
          <w:rFonts w:ascii="Arial" w:eastAsia="Arial" w:hAnsi="Arial" w:cs="Arial"/>
          <w:i/>
          <w:color w:val="000000"/>
          <w:sz w:val="18"/>
        </w:rPr>
        <w:t xml:space="preserve">See </w:t>
      </w:r>
      <w:bookmarkStart w:id="1381" w:name="Bookmark_I5WBCV102HM6DJ0010000400"/>
      <w:bookmarkEnd w:id="1381"/>
      <w:r>
        <w:rPr>
          <w:rFonts w:ascii="Arial" w:eastAsia="Arial" w:hAnsi="Arial" w:cs="Arial"/>
          <w:i/>
          <w:color w:val="000000"/>
          <w:sz w:val="18"/>
        </w:rPr>
        <w:t>Dulaney v. Packaging Corp. of Am</w:t>
      </w:r>
      <w:r>
        <w:rPr>
          <w:rFonts w:ascii="Arial" w:eastAsia="Arial" w:hAnsi="Arial" w:cs="Arial"/>
          <w:color w:val="000000"/>
          <w:sz w:val="18"/>
        </w:rPr>
        <w:t>., 673 F.3d 323, 324-25 (4th Cir. 2012).</w:t>
      </w:r>
    </w:p>
  </w:footnote>
  <w:footnote w:id="60">
    <w:p w:rsidR="00E456CD" w:rsidRDefault="00000000">
      <w:pPr>
        <w:pStyle w:val="Normal6"/>
        <w:widowControl w:val="0"/>
        <w:spacing w:before="120" w:line="240" w:lineRule="atLeast"/>
        <w:jc w:val="both"/>
      </w:pPr>
      <w:r>
        <w:rPr>
          <w:rFonts w:ascii="Arial" w:eastAsia="Arial" w:hAnsi="Arial" w:cs="Arial"/>
          <w:color w:val="000000"/>
          <w:sz w:val="18"/>
          <w:vertAlign w:val="superscript"/>
        </w:rPr>
        <w:t>2 </w:t>
      </w:r>
      <w:bookmarkStart w:id="1390" w:name="Bookmark_fnpara_2_3"/>
      <w:bookmarkEnd w:id="1390"/>
      <w:r>
        <w:rPr>
          <w:rFonts w:ascii="Arial" w:eastAsia="Arial" w:hAnsi="Arial" w:cs="Arial"/>
          <w:color w:val="000000"/>
          <w:sz w:val="18"/>
        </w:rPr>
        <w:t>There is no evidence that J.D.'s father adheres to a gluten-free diet.</w:t>
      </w:r>
    </w:p>
  </w:footnote>
  <w:footnote w:id="61">
    <w:p w:rsidR="00E456CD" w:rsidRDefault="00000000">
      <w:pPr>
        <w:pStyle w:val="Normal6"/>
        <w:widowControl w:val="0"/>
        <w:spacing w:before="120" w:line="240" w:lineRule="atLeast"/>
        <w:jc w:val="both"/>
      </w:pPr>
      <w:r>
        <w:rPr>
          <w:rFonts w:ascii="Arial" w:eastAsia="Arial" w:hAnsi="Arial" w:cs="Arial"/>
          <w:color w:val="000000"/>
          <w:sz w:val="18"/>
          <w:vertAlign w:val="superscript"/>
        </w:rPr>
        <w:t>3 </w:t>
      </w:r>
      <w:bookmarkStart w:id="1392" w:name="Bookmark_fnpara_3_3"/>
      <w:bookmarkEnd w:id="1392"/>
      <w:r>
        <w:rPr>
          <w:rFonts w:ascii="Arial" w:eastAsia="Arial" w:hAnsi="Arial" w:cs="Arial"/>
          <w:color w:val="000000"/>
          <w:sz w:val="18"/>
        </w:rPr>
        <w:t>J.D.'s father did eat a salad that had been delivered to the table before he arrived.</w:t>
      </w:r>
    </w:p>
  </w:footnote>
  <w:footnote w:id="62">
    <w:p w:rsidR="00E456CD" w:rsidRDefault="00000000">
      <w:pPr>
        <w:pStyle w:val="Normal6"/>
        <w:widowControl w:val="0"/>
        <w:spacing w:before="200" w:line="240" w:lineRule="atLeast"/>
        <w:jc w:val="both"/>
      </w:pPr>
      <w:r>
        <w:rPr>
          <w:rFonts w:ascii="Arial" w:eastAsia="Arial" w:hAnsi="Arial" w:cs="Arial"/>
          <w:color w:val="000000"/>
          <w:sz w:val="18"/>
          <w:vertAlign w:val="superscript"/>
        </w:rPr>
        <w:t>4 </w:t>
      </w:r>
      <w:bookmarkStart w:id="1393" w:name="Bookmark_fnpara_4_3"/>
      <w:bookmarkEnd w:id="1393"/>
      <w:r>
        <w:rPr>
          <w:rFonts w:ascii="Arial" w:eastAsia="Arial" w:hAnsi="Arial" w:cs="Arial"/>
          <w:color w:val="000000"/>
          <w:sz w:val="18"/>
        </w:rPr>
        <w:t xml:space="preserve">The Virginia health code prohibits "[f]ood prepared in a private home" from being "used or offered for human consumption in a food establishment unless the home kitchen is inspected and regulated by the Virginia Department of Agriculture and Consumer Services." 12 Va. Admin. Code § 5-421-270(B). The code also requires food that is "unsafe" or "contaminated" be "rendered unusable and discarded." </w:t>
      </w:r>
      <w:r>
        <w:rPr>
          <w:rFonts w:ascii="Arial" w:eastAsia="Arial" w:hAnsi="Arial" w:cs="Arial"/>
          <w:i/>
          <w:color w:val="000000"/>
          <w:sz w:val="18"/>
        </w:rPr>
        <w:t>Id.</w:t>
      </w:r>
      <w:r>
        <w:rPr>
          <w:rFonts w:ascii="Arial" w:eastAsia="Arial" w:hAnsi="Arial" w:cs="Arial"/>
          <w:color w:val="000000"/>
          <w:sz w:val="18"/>
        </w:rPr>
        <w:t xml:space="preserve"> § 5-421-940(A), (C).</w:t>
      </w:r>
    </w:p>
  </w:footnote>
  <w:footnote w:id="63">
    <w:p w:rsidR="00E456CD" w:rsidRDefault="00000000">
      <w:pPr>
        <w:pStyle w:val="Normal6"/>
        <w:widowControl w:val="0"/>
        <w:spacing w:before="120" w:line="240" w:lineRule="atLeast"/>
        <w:jc w:val="both"/>
      </w:pPr>
      <w:r>
        <w:rPr>
          <w:rFonts w:ascii="Arial" w:eastAsia="Arial" w:hAnsi="Arial" w:cs="Arial"/>
          <w:color w:val="000000"/>
          <w:sz w:val="18"/>
          <w:vertAlign w:val="superscript"/>
        </w:rPr>
        <w:t>5 </w:t>
      </w:r>
      <w:bookmarkStart w:id="1394" w:name="Bookmark_fnpara_5_3"/>
      <w:bookmarkEnd w:id="1394"/>
      <w:r>
        <w:rPr>
          <w:rFonts w:ascii="Arial" w:eastAsia="Arial" w:hAnsi="Arial" w:cs="Arial"/>
          <w:color w:val="000000"/>
          <w:sz w:val="18"/>
        </w:rPr>
        <w:t>According to Colonial Williamsburg, the head chef had already prepared the gluten-free meals based on the order placed by the school. J.D.'s father testified that the meals were not yet prepared and that the chef offered to prepare them on the spot. He alleged he did not trust the Tavern to be able to prepare gluten-free meals after preparing fried chicken meals for the other guests. The district court properly viewed these facts in the light most favorable to J.D.</w:t>
      </w:r>
    </w:p>
  </w:footnote>
  <w:footnote w:id="64">
    <w:p w:rsidR="00E456CD" w:rsidRDefault="00000000">
      <w:pPr>
        <w:pStyle w:val="Normal6"/>
        <w:widowControl w:val="0"/>
        <w:spacing w:before="200" w:line="240" w:lineRule="atLeast"/>
        <w:jc w:val="both"/>
      </w:pPr>
      <w:r>
        <w:rPr>
          <w:rFonts w:ascii="Arial" w:eastAsia="Arial" w:hAnsi="Arial" w:cs="Arial"/>
          <w:color w:val="000000"/>
          <w:sz w:val="18"/>
          <w:vertAlign w:val="superscript"/>
        </w:rPr>
        <w:t>6 </w:t>
      </w:r>
      <w:bookmarkStart w:id="1414" w:name="Bookmark_fnpara_6_2"/>
      <w:bookmarkStart w:id="1415" w:name="Bookmark_I5WBCV1028T3W70040000400"/>
      <w:bookmarkStart w:id="1416" w:name="Bookmark_I5WBCV102N1RJD0010000400"/>
      <w:bookmarkEnd w:id="1414"/>
      <w:bookmarkEnd w:id="1415"/>
      <w:bookmarkEnd w:id="1416"/>
      <w:r>
        <w:rPr>
          <w:rFonts w:ascii="Arial" w:eastAsia="Arial" w:hAnsi="Arial" w:cs="Arial"/>
          <w:color w:val="000000"/>
          <w:sz w:val="18"/>
        </w:rPr>
        <w:t xml:space="preserve">For purposes of summary judgment, we can analyze the ADA claim together with the claims brought under the Rehabilitation Act and the Virginians with Disabilities Act. </w:t>
      </w:r>
      <w:r>
        <w:rPr>
          <w:rFonts w:ascii="Arial" w:eastAsia="Arial" w:hAnsi="Arial" w:cs="Arial"/>
          <w:i/>
          <w:color w:val="000000"/>
          <w:sz w:val="18"/>
        </w:rPr>
        <w:t xml:space="preserve">See </w:t>
      </w:r>
      <w:bookmarkStart w:id="1417" w:name="Bookmark_I5WBCV1028T3W70030000400"/>
      <w:bookmarkEnd w:id="1417"/>
      <w:r>
        <w:rPr>
          <w:rFonts w:ascii="Arial" w:eastAsia="Arial" w:hAnsi="Arial" w:cs="Arial"/>
          <w:i/>
          <w:color w:val="000000"/>
          <w:sz w:val="18"/>
        </w:rPr>
        <w:t>Halpern v. Wake Forest Univ. Health Scis</w:t>
      </w:r>
      <w:r>
        <w:rPr>
          <w:rFonts w:ascii="Arial" w:eastAsia="Arial" w:hAnsi="Arial" w:cs="Arial"/>
          <w:color w:val="000000"/>
          <w:sz w:val="18"/>
        </w:rPr>
        <w:t xml:space="preserve">., 669 F.3d 454, 461 (4th Cir. 2012) ("To the extent possible, we construe the ADA and Rehabilitation Act to impose similar requirements. Thus, despite the different language these statutes employ, they require a plaintiff to demonstrate the same elements to establish liability. (citation omitted)); </w:t>
      </w:r>
      <w:bookmarkStart w:id="1418" w:name="Bookmark_I5WBCV1028T3W70050000400"/>
      <w:bookmarkEnd w:id="1418"/>
      <w:r>
        <w:rPr>
          <w:rFonts w:ascii="Arial" w:eastAsia="Arial" w:hAnsi="Arial" w:cs="Arial"/>
          <w:i/>
          <w:color w:val="000000"/>
          <w:sz w:val="18"/>
        </w:rPr>
        <w:t>Tyndall v. Nat'l Educ. Ctrs., Inc.</w:t>
      </w:r>
      <w:r>
        <w:rPr>
          <w:rFonts w:ascii="Arial" w:eastAsia="Arial" w:hAnsi="Arial" w:cs="Arial"/>
          <w:color w:val="000000"/>
          <w:sz w:val="18"/>
        </w:rPr>
        <w:t>, 31 F.3d 209, 216 (4th Cir. 1994) ("The VDA standards for liability follow the standards established in the federal Rehabilitation Act of 1973 and adopted in the ADA.").</w:t>
      </w:r>
    </w:p>
  </w:footnote>
  <w:footnote w:id="65">
    <w:p w:rsidR="00E456CD" w:rsidRDefault="00000000">
      <w:pPr>
        <w:pStyle w:val="Normal6"/>
        <w:widowControl w:val="0"/>
        <w:spacing w:before="120" w:line="240" w:lineRule="atLeast"/>
        <w:jc w:val="both"/>
      </w:pPr>
      <w:r>
        <w:rPr>
          <w:rFonts w:ascii="Arial" w:eastAsia="Arial" w:hAnsi="Arial" w:cs="Arial"/>
          <w:color w:val="000000"/>
          <w:sz w:val="18"/>
          <w:vertAlign w:val="superscript"/>
        </w:rPr>
        <w:t>7 </w:t>
      </w:r>
      <w:bookmarkStart w:id="1470" w:name="Bookmark_fnpara_7_2"/>
      <w:bookmarkEnd w:id="1470"/>
      <w:r>
        <w:rPr>
          <w:rFonts w:ascii="Arial" w:eastAsia="Arial" w:hAnsi="Arial" w:cs="Arial"/>
          <w:color w:val="000000"/>
          <w:sz w:val="18"/>
        </w:rPr>
        <w:t>At the outset, we find unpersuasive Colonial Williamsburg's argument that J.D. could have simply eaten his meal later. We hardly see how sitting at a restaurant and not eating would have provided J.D. a like experience to that of his nondisabled peers.</w:t>
      </w:r>
    </w:p>
  </w:footnote>
  <w:footnote w:id="66">
    <w:p w:rsidR="00E456CD" w:rsidRDefault="00000000">
      <w:pPr>
        <w:pStyle w:val="Normal6"/>
        <w:widowControl w:val="0"/>
        <w:spacing w:before="200" w:line="240" w:lineRule="atLeast"/>
        <w:jc w:val="both"/>
      </w:pPr>
      <w:r>
        <w:rPr>
          <w:rFonts w:ascii="Arial" w:eastAsia="Arial" w:hAnsi="Arial" w:cs="Arial"/>
          <w:color w:val="000000"/>
          <w:sz w:val="18"/>
          <w:vertAlign w:val="superscript"/>
        </w:rPr>
        <w:t>8 </w:t>
      </w:r>
      <w:bookmarkStart w:id="1501" w:name="Bookmark_fnpara_8_2"/>
      <w:bookmarkEnd w:id="1501"/>
      <w:r>
        <w:rPr>
          <w:rFonts w:ascii="Arial" w:eastAsia="Arial" w:hAnsi="Arial" w:cs="Arial"/>
          <w:i/>
          <w:color w:val="000000"/>
          <w:sz w:val="18"/>
        </w:rPr>
        <w:t xml:space="preserve">Compare </w:t>
      </w:r>
      <w:bookmarkStart w:id="1502" w:name="Bookmark_I5WBCV102HM6DN0020000400"/>
      <w:bookmarkEnd w:id="1502"/>
      <w:r>
        <w:rPr>
          <w:rFonts w:ascii="Arial" w:eastAsia="Arial" w:hAnsi="Arial" w:cs="Arial"/>
          <w:i/>
          <w:color w:val="000000"/>
          <w:sz w:val="18"/>
        </w:rPr>
        <w:t>Baughman</w:t>
      </w:r>
      <w:r>
        <w:rPr>
          <w:rFonts w:ascii="Arial" w:eastAsia="Arial" w:hAnsi="Arial" w:cs="Arial"/>
          <w:color w:val="000000"/>
          <w:sz w:val="18"/>
        </w:rPr>
        <w:t xml:space="preserve">, 685 F.3d at 1136 (use of a Segway at a Disney was a necessary accommodation because it would be more comfortable and dignified than the wheelchairs provided), </w:t>
      </w:r>
      <w:r>
        <w:rPr>
          <w:rFonts w:ascii="Arial" w:eastAsia="Arial" w:hAnsi="Arial" w:cs="Arial"/>
          <w:i/>
          <w:color w:val="000000"/>
          <w:sz w:val="18"/>
        </w:rPr>
        <w:t xml:space="preserve">with </w:t>
      </w:r>
      <w:bookmarkStart w:id="1503" w:name="Bookmark_I5WBCV102HM6DN0040000400"/>
      <w:bookmarkEnd w:id="1503"/>
      <w:r>
        <w:rPr>
          <w:rFonts w:ascii="Arial" w:eastAsia="Arial" w:hAnsi="Arial" w:cs="Arial"/>
          <w:i/>
          <w:color w:val="000000"/>
          <w:sz w:val="18"/>
        </w:rPr>
        <w:t>Coleman v. Phoenix Art Museum</w:t>
      </w:r>
      <w:r>
        <w:rPr>
          <w:rFonts w:ascii="Arial" w:eastAsia="Arial" w:hAnsi="Arial" w:cs="Arial"/>
          <w:color w:val="000000"/>
          <w:sz w:val="18"/>
        </w:rPr>
        <w:t>, No. CV 08-1833-PHX—JAT, 2009 U.S. Dist. LEXIS 38905, 2009 WL 1097540, at *3 (D. Ariz. Apr. 22, 2009) (plaintiff's unique hip chair device was not necessary because he did not allege why the museum's proffered wheelchairs were insufficient to meet his needs).</w:t>
      </w:r>
    </w:p>
  </w:footnote>
  <w:footnote w:id="67">
    <w:p w:rsidR="00E456CD" w:rsidRDefault="00000000">
      <w:pPr>
        <w:pStyle w:val="Normal6"/>
        <w:widowControl w:val="0"/>
        <w:spacing w:before="120" w:line="240" w:lineRule="atLeast"/>
        <w:jc w:val="both"/>
      </w:pPr>
      <w:r>
        <w:rPr>
          <w:rFonts w:ascii="Arial" w:eastAsia="Arial" w:hAnsi="Arial" w:cs="Arial"/>
          <w:color w:val="000000"/>
          <w:sz w:val="18"/>
          <w:vertAlign w:val="superscript"/>
        </w:rPr>
        <w:t>9 </w:t>
      </w:r>
      <w:bookmarkStart w:id="1548" w:name="Bookmark_fnpara_9_1"/>
      <w:bookmarkEnd w:id="1548"/>
      <w:r>
        <w:rPr>
          <w:rFonts w:ascii="Arial" w:eastAsia="Arial" w:hAnsi="Arial" w:cs="Arial"/>
          <w:color w:val="000000"/>
          <w:sz w:val="18"/>
        </w:rPr>
        <w:t>In the district court, J.D. moved for partial summary judgment and to strike Colonial Williamsburg's affirmative defense of fundamental alteration. The district court declined to reach this issue in light of its disposition granting summary judgment on the necessary inquiry. We need not address J.D.'s motions since a genuine dispute of material fact precludes summary judgment for either party on this issue.</w:t>
      </w:r>
    </w:p>
  </w:footnote>
  <w:footnote w:id="68">
    <w:p w:rsidR="00E456CD" w:rsidRDefault="00000000">
      <w:pPr>
        <w:pStyle w:val="Normal6"/>
        <w:widowControl w:val="0"/>
        <w:spacing w:before="120" w:line="240" w:lineRule="atLeast"/>
        <w:jc w:val="both"/>
      </w:pPr>
      <w:r>
        <w:rPr>
          <w:rFonts w:ascii="Arial" w:eastAsia="Arial" w:hAnsi="Arial" w:cs="Arial"/>
          <w:color w:val="000000"/>
          <w:sz w:val="18"/>
          <w:vertAlign w:val="superscript"/>
        </w:rPr>
        <w:t>10 </w:t>
      </w:r>
      <w:bookmarkStart w:id="1569" w:name="Bookmark_fnpara_10_1"/>
      <w:bookmarkEnd w:id="1569"/>
      <w:r>
        <w:rPr>
          <w:rFonts w:ascii="Arial" w:eastAsia="Arial" w:hAnsi="Arial" w:cs="Arial"/>
          <w:color w:val="000000"/>
          <w:sz w:val="18"/>
        </w:rPr>
        <w:t>Because Colonial Williamsburg is no longer the prevailing party, we also vacate the award of costs in its favor.</w:t>
      </w:r>
    </w:p>
  </w:footnote>
  <w:footnote w:id="69">
    <w:p w:rsidR="00E456CD" w:rsidRDefault="00000000">
      <w:pPr>
        <w:pStyle w:val="Normal7"/>
        <w:widowControl w:val="0"/>
        <w:spacing w:before="120" w:line="240" w:lineRule="atLeast"/>
        <w:jc w:val="both"/>
      </w:pPr>
      <w:r>
        <w:rPr>
          <w:rFonts w:ascii="Arial" w:eastAsia="Arial" w:hAnsi="Arial" w:cs="Arial"/>
          <w:color w:val="000000"/>
          <w:sz w:val="18"/>
          <w:vertAlign w:val="superscript"/>
        </w:rPr>
        <w:t>** </w:t>
      </w:r>
      <w:bookmarkStart w:id="1633" w:name="Bookmark_fnpara_1_4"/>
      <w:bookmarkEnd w:id="1633"/>
      <w:r>
        <w:rPr>
          <w:rFonts w:ascii="Arial" w:eastAsia="Arial" w:hAnsi="Arial" w:cs="Arial"/>
          <w:color w:val="000000"/>
          <w:sz w:val="18"/>
        </w:rPr>
        <w:t>The Honorable Kathleen Cardone, United States District Judge for the Western District of Texas, sitting by designation.</w:t>
      </w:r>
    </w:p>
  </w:footnote>
  <w:footnote w:id="70">
    <w:p w:rsidR="00E456CD" w:rsidRDefault="00000000">
      <w:pPr>
        <w:pStyle w:val="Normal7"/>
        <w:widowControl w:val="0"/>
        <w:spacing w:before="120" w:line="240" w:lineRule="atLeast"/>
        <w:jc w:val="both"/>
      </w:pPr>
      <w:r>
        <w:rPr>
          <w:rFonts w:ascii="Arial" w:eastAsia="Arial" w:hAnsi="Arial" w:cs="Arial"/>
          <w:color w:val="000000"/>
          <w:sz w:val="18"/>
          <w:vertAlign w:val="superscript"/>
        </w:rPr>
        <w:t>* </w:t>
      </w:r>
      <w:bookmarkStart w:id="1636" w:name="Bookmark_fnpara_2_4"/>
      <w:bookmarkEnd w:id="1636"/>
      <w:r>
        <w:rPr>
          <w:rFonts w:ascii="Arial" w:eastAsia="Arial" w:hAnsi="Arial" w:cs="Arial"/>
          <w:color w:val="000000"/>
          <w:sz w:val="18"/>
        </w:rPr>
        <w:t>This disposition is not appropriate for publication and is not precedent except as provided by Ninth Circuit Rule 36-3.</w:t>
      </w:r>
    </w:p>
  </w:footnote>
  <w:footnote w:id="71">
    <w:p w:rsidR="00E456CD" w:rsidRDefault="00000000">
      <w:pPr>
        <w:pStyle w:val="Normal7"/>
        <w:widowControl w:val="0"/>
        <w:spacing w:before="200" w:line="240" w:lineRule="atLeast"/>
        <w:jc w:val="both"/>
      </w:pPr>
      <w:r>
        <w:rPr>
          <w:rFonts w:ascii="Arial" w:eastAsia="Arial" w:hAnsi="Arial" w:cs="Arial"/>
          <w:color w:val="000000"/>
          <w:sz w:val="18"/>
          <w:vertAlign w:val="superscript"/>
        </w:rPr>
        <w:t>1 </w:t>
      </w:r>
      <w:bookmarkStart w:id="1655" w:name="Bookmark_fnpara_3_4"/>
      <w:bookmarkEnd w:id="1655"/>
      <w:r>
        <w:rPr>
          <w:rFonts w:ascii="Arial" w:eastAsia="Arial" w:hAnsi="Arial" w:cs="Arial"/>
          <w:color w:val="000000"/>
          <w:sz w:val="18"/>
        </w:rPr>
        <w:t xml:space="preserve">Plaintiffs move for judicial notice of seven documents related to the </w:t>
      </w:r>
      <w:r>
        <w:rPr>
          <w:rFonts w:ascii="Arial" w:eastAsia="Arial" w:hAnsi="Arial" w:cs="Arial"/>
          <w:i/>
          <w:color w:val="000000"/>
          <w:sz w:val="18"/>
        </w:rPr>
        <w:t>Willits</w:t>
      </w:r>
      <w:r>
        <w:rPr>
          <w:rFonts w:ascii="Arial" w:eastAsia="Arial" w:hAnsi="Arial" w:cs="Arial"/>
          <w:color w:val="000000"/>
          <w:sz w:val="18"/>
        </w:rPr>
        <w:t xml:space="preserve"> class action settlement. We GRANT the motion as to Exhibits 1, 2, 3, and 4. Exhibits 5, 6, and 7 are already part of the record on appeal, and we DENY the motion as unnecessary with respect to those exhibits.</w:t>
      </w:r>
    </w:p>
  </w:footnote>
  <w:footnote w:id="72">
    <w:p w:rsidR="00E456CD" w:rsidRDefault="00000000">
      <w:pPr>
        <w:pStyle w:val="Normal7"/>
        <w:widowControl w:val="0"/>
        <w:spacing w:before="200" w:line="240" w:lineRule="atLeast"/>
        <w:jc w:val="both"/>
      </w:pPr>
      <w:r>
        <w:rPr>
          <w:rFonts w:ascii="Arial" w:eastAsia="Arial" w:hAnsi="Arial" w:cs="Arial"/>
          <w:color w:val="000000"/>
          <w:sz w:val="18"/>
          <w:vertAlign w:val="superscript"/>
        </w:rPr>
        <w:t>2 </w:t>
      </w:r>
      <w:bookmarkStart w:id="1670" w:name="Bookmark_fnpara_4_4"/>
      <w:bookmarkEnd w:id="1670"/>
      <w:r>
        <w:rPr>
          <w:rFonts w:ascii="Arial" w:eastAsia="Arial" w:hAnsi="Arial" w:cs="Arial"/>
          <w:color w:val="000000"/>
          <w:sz w:val="18"/>
        </w:rPr>
        <w:t xml:space="preserve">A plaintiff "can establish notice by showing that she alerted the public entity to her need for accommodation; or that the need for accommodation was obvious, or required by statute or regulation." </w:t>
      </w:r>
      <w:bookmarkStart w:id="1671" w:name="Bookmark_I5VV407P2HM6V30030000400"/>
      <w:bookmarkEnd w:id="1671"/>
      <w:r>
        <w:rPr>
          <w:rFonts w:ascii="Arial" w:eastAsia="Arial" w:hAnsi="Arial" w:cs="Arial"/>
          <w:i/>
          <w:color w:val="000000"/>
          <w:sz w:val="18"/>
        </w:rPr>
        <w:t>A.G.</w:t>
      </w:r>
      <w:r>
        <w:rPr>
          <w:rFonts w:ascii="Arial" w:eastAsia="Arial" w:hAnsi="Arial" w:cs="Arial"/>
          <w:color w:val="000000"/>
          <w:sz w:val="18"/>
        </w:rPr>
        <w:t xml:space="preserve">, 815 F.3d at 1207 (internal quotation marks and alterations omitted). However, our cases make clear that the plaintiff must "identify specific reasonable and necessary accommodations that the defendant failed to provide." </w:t>
      </w:r>
      <w:bookmarkStart w:id="1672" w:name="Bookmark_I5VV407P2HM6V30050000400"/>
      <w:bookmarkEnd w:id="1672"/>
      <w:r>
        <w:rPr>
          <w:rFonts w:ascii="Arial" w:eastAsia="Arial" w:hAnsi="Arial" w:cs="Arial"/>
          <w:i/>
          <w:color w:val="000000"/>
          <w:sz w:val="18"/>
        </w:rPr>
        <w:t>Duvall</w:t>
      </w:r>
      <w:r>
        <w:rPr>
          <w:rFonts w:ascii="Arial" w:eastAsia="Arial" w:hAnsi="Arial" w:cs="Arial"/>
          <w:color w:val="000000"/>
          <w:sz w:val="18"/>
        </w:rPr>
        <w:t>, 260 F.3d at 1139.</w:t>
      </w:r>
    </w:p>
  </w:footnote>
  <w:footnote w:id="73">
    <w:p w:rsidR="00E456CD" w:rsidRDefault="00000000">
      <w:pPr>
        <w:pStyle w:val="Normal7"/>
        <w:widowControl w:val="0"/>
        <w:spacing w:before="120" w:line="240" w:lineRule="atLeast"/>
        <w:jc w:val="both"/>
      </w:pPr>
      <w:r>
        <w:rPr>
          <w:rFonts w:ascii="Arial" w:eastAsia="Arial" w:hAnsi="Arial" w:cs="Arial"/>
          <w:color w:val="000000"/>
          <w:sz w:val="18"/>
          <w:vertAlign w:val="superscript"/>
        </w:rPr>
        <w:t>3 </w:t>
      </w:r>
      <w:bookmarkStart w:id="1673" w:name="Bookmark_fnpara_5_4"/>
      <w:bookmarkEnd w:id="1673"/>
      <w:r>
        <w:rPr>
          <w:rFonts w:ascii="Arial" w:eastAsia="Arial" w:hAnsi="Arial" w:cs="Arial"/>
          <w:color w:val="000000"/>
          <w:sz w:val="18"/>
        </w:rPr>
        <w:t>The district court found: "[W]ith regard to Plaintiff Scherer, the complaint alleges only that '[t]he City has not issued any substantive response to Scherer's complaint or request for accessible parking.'"</w:t>
      </w:r>
    </w:p>
  </w:footnote>
  <w:footnote w:id="74">
    <w:p w:rsidR="00E456CD" w:rsidRDefault="00000000">
      <w:pPr>
        <w:pStyle w:val="Normal8"/>
        <w:widowControl w:val="0"/>
        <w:spacing w:before="200" w:line="240" w:lineRule="atLeast"/>
        <w:jc w:val="both"/>
      </w:pPr>
      <w:r>
        <w:rPr>
          <w:rFonts w:ascii="Arial" w:eastAsia="Arial" w:hAnsi="Arial" w:cs="Arial"/>
          <w:color w:val="000000"/>
          <w:sz w:val="18"/>
          <w:vertAlign w:val="superscript"/>
        </w:rPr>
        <w:t>1 </w:t>
      </w:r>
      <w:bookmarkStart w:id="1700" w:name="Bookmark_fnpara_1_5"/>
      <w:bookmarkEnd w:id="1700"/>
      <w:r>
        <w:rPr>
          <w:rFonts w:ascii="Arial" w:eastAsia="Arial" w:hAnsi="Arial" w:cs="Arial"/>
          <w:color w:val="000000"/>
          <w:sz w:val="18"/>
        </w:rPr>
        <w:t xml:space="preserve">The two provisions are "quite similar in purpose and scope," and we can address the claims in this case in "parallel" because the "differences in the two statutes are not implicated . . . or, indeed, raised by the parties at all." </w:t>
      </w:r>
      <w:bookmarkStart w:id="1701" w:name="Bookmark_I5VT264B28T3VY0050000400"/>
      <w:bookmarkEnd w:id="1701"/>
      <w:r>
        <w:rPr>
          <w:rFonts w:ascii="Arial" w:eastAsia="Arial" w:hAnsi="Arial" w:cs="Arial"/>
          <w:i/>
          <w:color w:val="000000"/>
          <w:sz w:val="18"/>
        </w:rPr>
        <w:t>Tri-Cities Holdings LLC v. Tenn. Admin. Procedures Div.</w:t>
      </w:r>
      <w:r>
        <w:rPr>
          <w:rFonts w:ascii="Arial" w:eastAsia="Arial" w:hAnsi="Arial" w:cs="Arial"/>
          <w:color w:val="000000"/>
          <w:sz w:val="18"/>
        </w:rPr>
        <w:t xml:space="preserve">, 726 F. App'x 298, 307 (6th Cir. 2018) (quoting </w:t>
      </w:r>
      <w:bookmarkStart w:id="1702" w:name="Bookmark_I5VT264B2D6N3F0020000400"/>
      <w:bookmarkEnd w:id="1702"/>
      <w:r>
        <w:rPr>
          <w:rFonts w:ascii="Arial" w:eastAsia="Arial" w:hAnsi="Arial" w:cs="Arial"/>
          <w:i/>
          <w:color w:val="000000"/>
          <w:sz w:val="18"/>
        </w:rPr>
        <w:t>McPherson v. MHSAA</w:t>
      </w:r>
      <w:r>
        <w:rPr>
          <w:rFonts w:ascii="Arial" w:eastAsia="Arial" w:hAnsi="Arial" w:cs="Arial"/>
          <w:color w:val="000000"/>
          <w:sz w:val="18"/>
        </w:rPr>
        <w:t xml:space="preserve">, 119 F.3d 453, 459-60 (6th Cir. 1997)). Furthermore, "cases construing one statute are instructive in construing the other." </w:t>
      </w:r>
      <w:bookmarkStart w:id="1703" w:name="Bookmark_I5VT264B2D6N3F0040000400"/>
      <w:bookmarkEnd w:id="1703"/>
      <w:r>
        <w:rPr>
          <w:rFonts w:ascii="Arial" w:eastAsia="Arial" w:hAnsi="Arial" w:cs="Arial"/>
          <w:i/>
          <w:color w:val="000000"/>
          <w:sz w:val="18"/>
        </w:rPr>
        <w:t>McPherson</w:t>
      </w:r>
      <w:r>
        <w:rPr>
          <w:rFonts w:ascii="Arial" w:eastAsia="Arial" w:hAnsi="Arial" w:cs="Arial"/>
          <w:color w:val="000000"/>
          <w:sz w:val="18"/>
        </w:rPr>
        <w:t xml:space="preserve">, 119 F.3d at 460 (quoting </w:t>
      </w:r>
      <w:bookmarkStart w:id="1704" w:name="Bookmark_I5VT264B2N1PW60010000400"/>
      <w:bookmarkEnd w:id="1704"/>
      <w:r>
        <w:rPr>
          <w:rFonts w:ascii="Arial" w:eastAsia="Arial" w:hAnsi="Arial" w:cs="Arial"/>
          <w:i/>
          <w:color w:val="000000"/>
          <w:sz w:val="18"/>
        </w:rPr>
        <w:t>Andrews v. Ohio</w:t>
      </w:r>
      <w:r>
        <w:rPr>
          <w:rFonts w:ascii="Arial" w:eastAsia="Arial" w:hAnsi="Arial" w:cs="Arial"/>
          <w:color w:val="000000"/>
          <w:sz w:val="18"/>
        </w:rPr>
        <w:t>, 104 F.3d 803, 807 (6th Cir. 1997)).</w:t>
      </w:r>
    </w:p>
  </w:footnote>
  <w:footnote w:id="75">
    <w:p w:rsidR="00E456CD" w:rsidRDefault="00000000">
      <w:pPr>
        <w:pStyle w:val="Normal8"/>
        <w:widowControl w:val="0"/>
        <w:spacing w:before="200" w:line="240" w:lineRule="atLeast"/>
        <w:jc w:val="both"/>
      </w:pPr>
      <w:r>
        <w:rPr>
          <w:rFonts w:ascii="Arial" w:eastAsia="Arial" w:hAnsi="Arial" w:cs="Arial"/>
          <w:color w:val="000000"/>
          <w:sz w:val="18"/>
          <w:vertAlign w:val="superscript"/>
        </w:rPr>
        <w:t>2 </w:t>
      </w:r>
      <w:bookmarkStart w:id="1769" w:name="Bookmark_fnpara_2_5"/>
      <w:bookmarkEnd w:id="1769"/>
      <w:r>
        <w:rPr>
          <w:rFonts w:ascii="Arial" w:eastAsia="Arial" w:hAnsi="Arial" w:cs="Arial"/>
          <w:color w:val="000000"/>
          <w:sz w:val="18"/>
        </w:rPr>
        <w:t xml:space="preserve">Depending on circumstances, this rule of thumb may not be absolute. </w:t>
      </w:r>
      <w:r>
        <w:rPr>
          <w:rFonts w:ascii="Arial" w:eastAsia="Arial" w:hAnsi="Arial" w:cs="Arial"/>
          <w:i/>
          <w:color w:val="000000"/>
          <w:sz w:val="18"/>
        </w:rPr>
        <w:t xml:space="preserve">See </w:t>
      </w:r>
      <w:bookmarkStart w:id="1770" w:name="Bookmark_I5VT264B2D6N3J0030000400"/>
      <w:bookmarkEnd w:id="1770"/>
      <w:r>
        <w:rPr>
          <w:rFonts w:ascii="Arial" w:eastAsia="Arial" w:hAnsi="Arial" w:cs="Arial"/>
          <w:i/>
          <w:color w:val="000000"/>
          <w:sz w:val="18"/>
        </w:rPr>
        <w:t>McCoy v. Texas Dep't of Crim. Justice</w:t>
      </w:r>
      <w:r>
        <w:rPr>
          <w:rFonts w:ascii="Arial" w:eastAsia="Arial" w:hAnsi="Arial" w:cs="Arial"/>
          <w:color w:val="000000"/>
          <w:sz w:val="18"/>
        </w:rPr>
        <w:t>, C.A. No. C-05-370, 2006 U.S. Dist. LEXIS 55403, 2006 WL 2331055, at *7 (S.D. Texas Aug. 9, 2006) (collecting cases showing that a covered entity may need to proactively institute accommodations where the need for accommodation is "obvious").</w:t>
      </w:r>
    </w:p>
  </w:footnote>
  <w:footnote w:id="76">
    <w:p w:rsidR="00E456CD" w:rsidRDefault="00000000">
      <w:pPr>
        <w:pStyle w:val="Normal8"/>
        <w:widowControl w:val="0"/>
        <w:spacing w:before="200" w:line="240" w:lineRule="atLeast"/>
        <w:jc w:val="both"/>
      </w:pPr>
      <w:r>
        <w:rPr>
          <w:rFonts w:ascii="Arial" w:eastAsia="Arial" w:hAnsi="Arial" w:cs="Arial"/>
          <w:color w:val="000000"/>
          <w:sz w:val="18"/>
          <w:vertAlign w:val="superscript"/>
        </w:rPr>
        <w:t>3 </w:t>
      </w:r>
      <w:bookmarkStart w:id="1777" w:name="Bookmark_fnpara_3_5"/>
      <w:bookmarkStart w:id="1778" w:name="Bookmark_I5VT264B28T3W30010000400"/>
      <w:bookmarkEnd w:id="1777"/>
      <w:bookmarkEnd w:id="1778"/>
      <w:r>
        <w:rPr>
          <w:rFonts w:ascii="Arial" w:eastAsia="Arial" w:hAnsi="Arial" w:cs="Arial"/>
          <w:color w:val="000000"/>
          <w:sz w:val="18"/>
        </w:rPr>
        <w:t xml:space="preserve">Some Title I cases reference the "interactive process," a term that derives from Title I's implementing regulations. </w:t>
      </w:r>
      <w:r>
        <w:rPr>
          <w:rFonts w:ascii="Arial" w:eastAsia="Arial" w:hAnsi="Arial" w:cs="Arial"/>
          <w:i/>
          <w:color w:val="000000"/>
          <w:sz w:val="18"/>
        </w:rPr>
        <w:t>See</w:t>
      </w:r>
      <w:r>
        <w:rPr>
          <w:rFonts w:ascii="Arial" w:eastAsia="Arial" w:hAnsi="Arial" w:cs="Arial"/>
          <w:color w:val="000000"/>
          <w:sz w:val="18"/>
        </w:rPr>
        <w:t xml:space="preserve"> 29 C.F.R. § 1630.2(o)(3). This term is a name for the individualized inquiry required in the employment context—"[t]he individualized inquiry is an 'interactive process.'" </w:t>
      </w:r>
      <w:bookmarkStart w:id="1779" w:name="Bookmark_I5VT264B2D6N3J0050000400"/>
      <w:bookmarkEnd w:id="1779"/>
      <w:r>
        <w:rPr>
          <w:rFonts w:ascii="Arial" w:eastAsia="Arial" w:hAnsi="Arial" w:cs="Arial"/>
          <w:i/>
          <w:color w:val="000000"/>
          <w:sz w:val="18"/>
        </w:rPr>
        <w:t>Rorrer v. City of Stow</w:t>
      </w:r>
      <w:r>
        <w:rPr>
          <w:rFonts w:ascii="Arial" w:eastAsia="Arial" w:hAnsi="Arial" w:cs="Arial"/>
          <w:color w:val="000000"/>
          <w:sz w:val="18"/>
        </w:rPr>
        <w:t>, 743 F.3d 1025, 1040 (6th Cir. 2014). Because Marble's case arises under Title II, we use the more general term "individualized inquiry."</w:t>
      </w:r>
    </w:p>
  </w:footnote>
  <w:footnote w:id="77">
    <w:p w:rsidR="00E456CD" w:rsidRDefault="00000000">
      <w:pPr>
        <w:pStyle w:val="Normal8"/>
        <w:widowControl w:val="0"/>
        <w:spacing w:before="200" w:line="240" w:lineRule="atLeast"/>
        <w:jc w:val="both"/>
      </w:pPr>
      <w:r>
        <w:rPr>
          <w:rFonts w:ascii="Arial" w:eastAsia="Arial" w:hAnsi="Arial" w:cs="Arial"/>
          <w:color w:val="000000"/>
          <w:sz w:val="18"/>
          <w:vertAlign w:val="superscript"/>
        </w:rPr>
        <w:t>4 </w:t>
      </w:r>
      <w:bookmarkStart w:id="1787" w:name="Bookmark_fnpara_4_5"/>
      <w:bookmarkEnd w:id="1787"/>
      <w:r>
        <w:rPr>
          <w:rFonts w:ascii="Arial" w:eastAsia="Arial" w:hAnsi="Arial" w:cs="Arial"/>
          <w:color w:val="000000"/>
          <w:sz w:val="18"/>
        </w:rPr>
        <w:t xml:space="preserve">In a 2015 letter regarding another case, the Department of Justice and the Department of Health and Human Services advocated for a similar accommodation under Title II. </w:t>
      </w:r>
      <w:r>
        <w:rPr>
          <w:rFonts w:ascii="Arial" w:eastAsia="Arial" w:hAnsi="Arial" w:cs="Arial"/>
          <w:i/>
          <w:color w:val="000000"/>
          <w:sz w:val="18"/>
        </w:rPr>
        <w:t>See</w:t>
      </w:r>
      <w:r>
        <w:rPr>
          <w:rFonts w:ascii="Arial" w:eastAsia="Arial" w:hAnsi="Arial" w:cs="Arial"/>
          <w:color w:val="000000"/>
          <w:sz w:val="18"/>
        </w:rPr>
        <w:t xml:space="preserve"> DJ No. 204-36-216 or HHS No. 14-182176. The letter faults the Massachusetts Department of Children and Families for removing a child from a disabled woman's care shortly after birth based on "assumptions and stereotypes" about her mental disability, for rejecting a family-supported parenting plan, and for attempting to terminate her parental rights on the basis of her disability.</w:t>
      </w:r>
    </w:p>
  </w:footnote>
  <w:footnote w:id="78">
    <w:p w:rsidR="00E456CD" w:rsidRDefault="00000000">
      <w:pPr>
        <w:pStyle w:val="Normal8"/>
        <w:widowControl w:val="0"/>
        <w:spacing w:before="120" w:line="240" w:lineRule="atLeast"/>
        <w:jc w:val="both"/>
      </w:pPr>
      <w:r>
        <w:rPr>
          <w:rFonts w:ascii="Arial" w:eastAsia="Arial" w:hAnsi="Arial" w:cs="Arial"/>
          <w:color w:val="000000"/>
          <w:sz w:val="18"/>
          <w:vertAlign w:val="superscript"/>
        </w:rPr>
        <w:t>5 </w:t>
      </w:r>
      <w:bookmarkStart w:id="1793" w:name="Bookmark_fnpara_5_5"/>
      <w:bookmarkEnd w:id="1793"/>
      <w:r>
        <w:rPr>
          <w:rFonts w:ascii="Arial" w:eastAsia="Arial" w:hAnsi="Arial" w:cs="Arial"/>
          <w:color w:val="000000"/>
          <w:sz w:val="18"/>
        </w:rPr>
        <w:t>Marble did testify that he told DCS that he had trouble reading, but he did not specify which, if any, requirement of the permanency plan was affected by his partial blindness. As for reading the permanency plan itself, Marble testified that DCS employees provided "quite a bit of help" in understanding the documents.</w:t>
      </w:r>
    </w:p>
  </w:footnote>
  <w:footnote w:id="79">
    <w:p w:rsidR="00E456CD" w:rsidRDefault="00000000">
      <w:pPr>
        <w:pStyle w:val="Normal9"/>
        <w:widowControl w:val="0"/>
        <w:spacing w:before="200" w:line="240" w:lineRule="atLeast"/>
        <w:jc w:val="both"/>
      </w:pPr>
      <w:r>
        <w:rPr>
          <w:rFonts w:ascii="Arial" w:eastAsia="Arial" w:hAnsi="Arial" w:cs="Arial"/>
          <w:color w:val="000000"/>
          <w:sz w:val="18"/>
          <w:vertAlign w:val="superscript"/>
        </w:rPr>
        <w:t>1 </w:t>
      </w:r>
      <w:bookmarkStart w:id="1863" w:name="Bookmark_fnpara_1_6"/>
      <w:bookmarkStart w:id="1864" w:name="Bookmark_LNHNREFclscc4_5"/>
      <w:bookmarkEnd w:id="1863"/>
      <w:bookmarkEnd w:id="1864"/>
      <w:r>
        <w:rPr>
          <w:rFonts w:ascii="Arial" w:eastAsia="Arial" w:hAnsi="Arial" w:cs="Arial"/>
          <w:color w:val="000000"/>
          <w:sz w:val="18"/>
        </w:rPr>
        <w:t xml:space="preserve">"An affirmative defense is one that admits the allegations in the complaint, but avoids liability, in whole or in part, by new allegations of excuse, justification or other negating matters." </w:t>
      </w:r>
      <w:bookmarkStart w:id="1865" w:name="Bookmark_I5VDCGTJ2HM6CC0050000400"/>
      <w:bookmarkEnd w:id="1865"/>
      <w:r>
        <w:rPr>
          <w:rFonts w:ascii="Arial" w:eastAsia="Arial" w:hAnsi="Arial" w:cs="Arial"/>
          <w:i/>
          <w:color w:val="000000"/>
          <w:sz w:val="18"/>
        </w:rPr>
        <w:t>Divine v. Volunteers of America of Illinois</w:t>
      </w:r>
      <w:r>
        <w:rPr>
          <w:rFonts w:ascii="Arial" w:eastAsia="Arial" w:hAnsi="Arial" w:cs="Arial"/>
          <w:color w:val="000000"/>
          <w:sz w:val="18"/>
        </w:rPr>
        <w:t xml:space="preserve">, 319 F. Supp. 3d 994, 1003 (N.D. Ill. 2018), quoting </w:t>
      </w:r>
      <w:bookmarkStart w:id="1866" w:name="Bookmark_I5VDCGTJ2SF8CX0020000400"/>
      <w:bookmarkEnd w:id="1866"/>
      <w:r>
        <w:rPr>
          <w:rFonts w:ascii="Arial" w:eastAsia="Arial" w:hAnsi="Arial" w:cs="Arial"/>
          <w:i/>
          <w:color w:val="000000"/>
          <w:sz w:val="18"/>
        </w:rPr>
        <w:t>Riemer v. Chase Bank USA, N.A.</w:t>
      </w:r>
      <w:r>
        <w:rPr>
          <w:rFonts w:ascii="Arial" w:eastAsia="Arial" w:hAnsi="Arial" w:cs="Arial"/>
          <w:color w:val="000000"/>
          <w:sz w:val="18"/>
        </w:rPr>
        <w:t>, 274 F.R.D. 637, 639 (N.D. Ill. 2011).</w:t>
      </w:r>
    </w:p>
  </w:footnote>
  <w:footnote w:id="80">
    <w:p w:rsidR="00E456CD" w:rsidRDefault="00000000">
      <w:pPr>
        <w:pStyle w:val="Normal9"/>
        <w:widowControl w:val="0"/>
        <w:spacing w:before="120" w:line="240" w:lineRule="atLeast"/>
        <w:jc w:val="both"/>
      </w:pPr>
      <w:r>
        <w:rPr>
          <w:rFonts w:ascii="Arial" w:eastAsia="Arial" w:hAnsi="Arial" w:cs="Arial"/>
          <w:color w:val="000000"/>
          <w:sz w:val="18"/>
          <w:vertAlign w:val="superscript"/>
        </w:rPr>
        <w:t>2 </w:t>
      </w:r>
      <w:bookmarkStart w:id="1970" w:name="Bookmark_fnpara_2_6"/>
      <w:bookmarkEnd w:id="1970"/>
      <w:r>
        <w:rPr>
          <w:rFonts w:ascii="Arial" w:eastAsia="Arial" w:hAnsi="Arial" w:cs="Arial"/>
          <w:color w:val="000000"/>
          <w:sz w:val="18"/>
        </w:rPr>
        <w:t>The record is limited since this defense was sprung on Reed in the motion for summary judgment. Most of the relevant evidence comes from the documents the hospital chose to submit. Even those documents show a complicated corporate legal structure and an ambiguous relationship with the hospital's Catholic affiliates.</w:t>
      </w:r>
    </w:p>
  </w:footnote>
  <w:footnote w:id="81">
    <w:p w:rsidR="00E456CD" w:rsidRDefault="00000000">
      <w:pPr>
        <w:pStyle w:val="Normal9"/>
        <w:widowControl w:val="0"/>
        <w:spacing w:before="120" w:line="240" w:lineRule="atLeast"/>
        <w:jc w:val="both"/>
      </w:pPr>
      <w:r>
        <w:rPr>
          <w:rFonts w:ascii="Arial" w:eastAsia="Arial" w:hAnsi="Arial" w:cs="Arial"/>
          <w:color w:val="000000"/>
          <w:sz w:val="18"/>
          <w:vertAlign w:val="superscript"/>
        </w:rPr>
        <w:t>3 </w:t>
      </w:r>
      <w:bookmarkStart w:id="1972" w:name="Bookmark_fnpara_3_6"/>
      <w:bookmarkEnd w:id="1972"/>
      <w:r>
        <w:rPr>
          <w:rFonts w:ascii="Arial" w:eastAsia="Arial" w:hAnsi="Arial" w:cs="Arial"/>
          <w:color w:val="000000"/>
          <w:sz w:val="18"/>
        </w:rPr>
        <w:t>We are told that these dual lines of control are also detailed in the terms of an Affiliation Agreement, but that document has not been produced to Reed or included in the record.</w:t>
      </w:r>
    </w:p>
  </w:footnote>
  <w:footnote w:id="82">
    <w:p w:rsidR="00E456CD" w:rsidRDefault="00000000">
      <w:pPr>
        <w:pStyle w:val="Normal9"/>
        <w:widowControl w:val="0"/>
        <w:spacing w:before="200" w:line="240" w:lineRule="atLeast"/>
        <w:jc w:val="both"/>
      </w:pPr>
      <w:r>
        <w:rPr>
          <w:rFonts w:ascii="Arial" w:eastAsia="Arial" w:hAnsi="Arial" w:cs="Arial"/>
          <w:color w:val="000000"/>
          <w:sz w:val="18"/>
          <w:vertAlign w:val="superscript"/>
        </w:rPr>
        <w:t>4 </w:t>
      </w:r>
      <w:bookmarkStart w:id="1986" w:name="Bookmark_fnpara_4_6"/>
      <w:bookmarkStart w:id="1987" w:name="Bookmark_I14W2R5HS6J000745BJ000CJ"/>
      <w:bookmarkStart w:id="1988" w:name="Bookmark_I5VDCGTJ2SF8D00010000400"/>
      <w:bookmarkEnd w:id="1986"/>
      <w:bookmarkEnd w:id="1987"/>
      <w:bookmarkEnd w:id="1988"/>
      <w:r>
        <w:rPr>
          <w:rFonts w:ascii="Arial" w:eastAsia="Arial" w:hAnsi="Arial" w:cs="Arial"/>
          <w:color w:val="000000"/>
          <w:sz w:val="18"/>
        </w:rPr>
        <w:t xml:space="preserve">In contrast, we held that a district court did not abuse its discretion in </w:t>
      </w:r>
      <w:r>
        <w:rPr>
          <w:rFonts w:ascii="Arial" w:eastAsia="Arial" w:hAnsi="Arial" w:cs="Arial"/>
          <w:i/>
          <w:color w:val="000000"/>
          <w:sz w:val="18"/>
        </w:rPr>
        <w:t>Robinson v. Sappington</w:t>
      </w:r>
      <w:r>
        <w:rPr>
          <w:rFonts w:ascii="Arial" w:eastAsia="Arial" w:hAnsi="Arial" w:cs="Arial"/>
          <w:color w:val="000000"/>
          <w:sz w:val="18"/>
        </w:rPr>
        <w:t xml:space="preserve"> when it allowed the defendants to amend their pleadings at summary judgment to add affirmative defenses. </w:t>
      </w:r>
      <w:bookmarkStart w:id="1989" w:name="Bookmark_I5VDCGTJ28T4270050000400"/>
      <w:bookmarkEnd w:id="1989"/>
      <w:r>
        <w:rPr>
          <w:rFonts w:ascii="Arial" w:eastAsia="Arial" w:hAnsi="Arial" w:cs="Arial"/>
          <w:color w:val="000000"/>
          <w:sz w:val="18"/>
        </w:rPr>
        <w:t xml:space="preserve">351 F.3d 317, 332-33 (7th Cir. 2003). There, the record showed that the plaintiff had sufficient notice that the defendants might pursue the defenses because defense counsel had explored them in detail during discovery. </w:t>
      </w:r>
      <w:r>
        <w:rPr>
          <w:rFonts w:ascii="Arial" w:eastAsia="Arial" w:hAnsi="Arial" w:cs="Arial"/>
          <w:i/>
          <w:color w:val="000000"/>
          <w:sz w:val="18"/>
        </w:rPr>
        <w:t>Id.</w:t>
      </w:r>
      <w:r>
        <w:rPr>
          <w:rFonts w:ascii="Arial" w:eastAsia="Arial" w:hAnsi="Arial" w:cs="Arial"/>
          <w:color w:val="000000"/>
          <w:sz w:val="18"/>
        </w:rPr>
        <w:t xml:space="preserve"> Further, the plaintiff did not suggest she was prejudiced in any way by the late amendment. </w:t>
      </w:r>
      <w:r>
        <w:rPr>
          <w:rFonts w:ascii="Arial" w:eastAsia="Arial" w:hAnsi="Arial" w:cs="Arial"/>
          <w:i/>
          <w:color w:val="000000"/>
          <w:sz w:val="18"/>
        </w:rPr>
        <w:t>Id.</w:t>
      </w:r>
    </w:p>
  </w:footnote>
  <w:footnote w:id="83">
    <w:p w:rsidR="00E456CD" w:rsidRDefault="00000000">
      <w:pPr>
        <w:pStyle w:val="Normal9"/>
        <w:widowControl w:val="0"/>
        <w:spacing w:before="200" w:line="240" w:lineRule="atLeast"/>
        <w:jc w:val="both"/>
      </w:pPr>
      <w:r>
        <w:rPr>
          <w:rFonts w:ascii="Arial" w:eastAsia="Arial" w:hAnsi="Arial" w:cs="Arial"/>
          <w:color w:val="000000"/>
          <w:sz w:val="18"/>
          <w:vertAlign w:val="superscript"/>
        </w:rPr>
        <w:t>5 </w:t>
      </w:r>
      <w:bookmarkStart w:id="1994" w:name="Bookmark_fnpara_5_6"/>
      <w:bookmarkStart w:id="1995" w:name="Bookmark_I5VDCGTJ2SF8D00050000400"/>
      <w:bookmarkStart w:id="1996" w:name="Bookmark_I5VDCGTJ2N1R260020000400"/>
      <w:bookmarkEnd w:id="1994"/>
      <w:bookmarkEnd w:id="1995"/>
      <w:bookmarkEnd w:id="1996"/>
      <w:r>
        <w:rPr>
          <w:rFonts w:ascii="Arial" w:eastAsia="Arial" w:hAnsi="Arial" w:cs="Arial"/>
          <w:color w:val="000000"/>
          <w:sz w:val="18"/>
        </w:rPr>
        <w:t xml:space="preserve">In </w:t>
      </w:r>
      <w:r>
        <w:rPr>
          <w:rFonts w:ascii="Arial" w:eastAsia="Arial" w:hAnsi="Arial" w:cs="Arial"/>
          <w:i/>
          <w:color w:val="000000"/>
          <w:sz w:val="18"/>
        </w:rPr>
        <w:t>Rose</w:t>
      </w:r>
      <w:r>
        <w:rPr>
          <w:rFonts w:ascii="Arial" w:eastAsia="Arial" w:hAnsi="Arial" w:cs="Arial"/>
          <w:color w:val="000000"/>
          <w:sz w:val="18"/>
        </w:rPr>
        <w:t xml:space="preserve">, the court applied the religious exemption where a Roman Catholic institute sponsored a healthcare corporation and occupied a primary role in the corporation's corporate governance structure, the institute members made up the entirety of one class of corporate membership, and the institute's class members had the sole authority to amend or repeal the corporation's articles of incorporation and bylaws. </w:t>
      </w:r>
      <w:bookmarkStart w:id="1997" w:name="Bookmark_I5VDCGTJ2SF8D00040000400"/>
      <w:bookmarkEnd w:id="1997"/>
      <w:r>
        <w:rPr>
          <w:rFonts w:ascii="Arial" w:eastAsia="Arial" w:hAnsi="Arial" w:cs="Arial"/>
          <w:color w:val="000000"/>
          <w:sz w:val="18"/>
        </w:rPr>
        <w:t xml:space="preserve">727 F. Supp. 2d at 747. As for the other district court cases applying the exemption, Reed correctly points out that in none was the defense raised late, and in all there was greater evidence of religious control. </w:t>
      </w:r>
      <w:bookmarkStart w:id="1998" w:name="Bookmark_I5VDCGTJ2HM6CG0030000400"/>
      <w:bookmarkEnd w:id="1998"/>
      <w:r>
        <w:rPr>
          <w:rFonts w:ascii="Arial" w:eastAsia="Arial" w:hAnsi="Arial" w:cs="Arial"/>
          <w:color w:val="000000"/>
          <w:sz w:val="18"/>
        </w:rPr>
        <w:t xml:space="preserve">See </w:t>
      </w:r>
      <w:bookmarkStart w:id="1999" w:name="Bookmark_I5VDCGTJ2N1R260010000400"/>
      <w:bookmarkEnd w:id="1999"/>
      <w:r>
        <w:rPr>
          <w:rFonts w:ascii="Arial" w:eastAsia="Arial" w:hAnsi="Arial" w:cs="Arial"/>
          <w:i/>
          <w:color w:val="000000"/>
          <w:sz w:val="18"/>
        </w:rPr>
        <w:t>Cole v. St. Francis Med. Ctr.</w:t>
      </w:r>
      <w:r>
        <w:rPr>
          <w:rFonts w:ascii="Arial" w:eastAsia="Arial" w:hAnsi="Arial" w:cs="Arial"/>
          <w:color w:val="000000"/>
          <w:sz w:val="18"/>
        </w:rPr>
        <w:t xml:space="preserve">, No. 1:15-CV-98(ACL), 2016 U.S. Dist. LEXIS 179529, 2016 WL 7474988, at *4-6 (E.D. Mo. Dec. 29, 2016) (exemption was "properly raised by Defendant as an affirmative defense" and hospital was "under the jurisdiction of the Bishop of the Roman Catholic Dioceses[.]"); </w:t>
      </w:r>
      <w:bookmarkStart w:id="2000" w:name="Bookmark_I5VDCGTJ2N1R260030000400"/>
      <w:bookmarkEnd w:id="2000"/>
      <w:r>
        <w:rPr>
          <w:rFonts w:ascii="Arial" w:eastAsia="Arial" w:hAnsi="Arial" w:cs="Arial"/>
          <w:i/>
          <w:color w:val="000000"/>
          <w:sz w:val="18"/>
        </w:rPr>
        <w:t>Marshall v. Sisters of the Holy Family of Nazareth</w:t>
      </w:r>
      <w:r>
        <w:rPr>
          <w:rFonts w:ascii="Arial" w:eastAsia="Arial" w:hAnsi="Arial" w:cs="Arial"/>
          <w:color w:val="000000"/>
          <w:sz w:val="18"/>
        </w:rPr>
        <w:t xml:space="preserve">, 399 F. Supp. 2d 597, 606 (E.D. Pa. 2005) (school "solely operated and controlled by" order of nuns); </w:t>
      </w:r>
      <w:bookmarkStart w:id="2001" w:name="Bookmark_I5VDCGTJ2N1R260050000400"/>
      <w:bookmarkEnd w:id="2001"/>
      <w:r>
        <w:rPr>
          <w:rFonts w:ascii="Arial" w:eastAsia="Arial" w:hAnsi="Arial" w:cs="Arial"/>
          <w:i/>
          <w:color w:val="000000"/>
          <w:sz w:val="18"/>
        </w:rPr>
        <w:t>White v. Denver Seminary</w:t>
      </w:r>
      <w:r>
        <w:rPr>
          <w:rFonts w:ascii="Arial" w:eastAsia="Arial" w:hAnsi="Arial" w:cs="Arial"/>
          <w:color w:val="000000"/>
          <w:sz w:val="18"/>
        </w:rPr>
        <w:t xml:space="preserve">, 157 F. Supp. 2d 1171, 1173-74 (D. Colo. 2001) (seminary was founded by Baptist association and employees were required to be active Christians). </w:t>
      </w:r>
      <w:bookmarkStart w:id="2002" w:name="Bookmark_I5VDCGTJ2HM6CG0030000400_2"/>
      <w:bookmarkEnd w:id="2002"/>
      <w:r>
        <w:rPr>
          <w:rFonts w:ascii="Arial" w:eastAsia="Arial" w:hAnsi="Arial" w:cs="Arial"/>
          <w:color w:val="000000"/>
          <w:sz w:val="18"/>
        </w:rPr>
        <w:t xml:space="preserve">By contrast, in </w:t>
      </w:r>
      <w:r>
        <w:rPr>
          <w:rFonts w:ascii="Arial" w:eastAsia="Arial" w:hAnsi="Arial" w:cs="Arial"/>
          <w:i/>
          <w:color w:val="000000"/>
          <w:sz w:val="18"/>
        </w:rPr>
        <w:t>Sloan v. Community Christian Day School, LLC</w:t>
      </w:r>
      <w:r>
        <w:rPr>
          <w:rFonts w:ascii="Arial" w:eastAsia="Arial" w:hAnsi="Arial" w:cs="Arial"/>
          <w:color w:val="000000"/>
          <w:sz w:val="18"/>
        </w:rPr>
        <w:t xml:space="preserve">, a Christian school was found to not be exempt since the school was not owned, affiliated with, or financially supported by any recognized religious group and was instead owned by two individuals who were not ministers. </w:t>
      </w:r>
      <w:bookmarkStart w:id="2003" w:name="Bookmark_I5VDCGTJ2HM6CG0020000400"/>
      <w:bookmarkEnd w:id="2003"/>
      <w:r>
        <w:rPr>
          <w:rFonts w:ascii="Arial" w:eastAsia="Arial" w:hAnsi="Arial" w:cs="Arial"/>
          <w:color w:val="000000"/>
          <w:sz w:val="18"/>
        </w:rPr>
        <w:t>No. 3-15-0551, 2015 U.S. Dist. LEXIS 166911, 2015 WL 10437824, at * 3, (M.D. Tenn. Dec. 11, 2015).</w:t>
      </w:r>
    </w:p>
  </w:footnote>
  <w:footnote w:id="84">
    <w:p w:rsidR="00E456CD" w:rsidRDefault="00000000">
      <w:pPr>
        <w:pStyle w:val="Normal9"/>
        <w:widowControl w:val="0"/>
        <w:spacing w:before="200" w:line="240" w:lineRule="atLeast"/>
        <w:jc w:val="both"/>
      </w:pPr>
      <w:r>
        <w:rPr>
          <w:rFonts w:ascii="Arial" w:eastAsia="Arial" w:hAnsi="Arial" w:cs="Arial"/>
          <w:color w:val="000000"/>
          <w:sz w:val="18"/>
          <w:vertAlign w:val="superscript"/>
        </w:rPr>
        <w:t>6 </w:t>
      </w:r>
      <w:bookmarkStart w:id="2051" w:name="Bookmark_fnpara_6_3"/>
      <w:bookmarkStart w:id="2052" w:name="Bookmark_I5VDCGTJ2D6N8R0020000400"/>
      <w:bookmarkEnd w:id="2051"/>
      <w:bookmarkEnd w:id="2052"/>
      <w:r>
        <w:rPr>
          <w:rFonts w:ascii="Arial" w:eastAsia="Arial" w:hAnsi="Arial" w:cs="Arial"/>
          <w:color w:val="000000"/>
          <w:sz w:val="18"/>
        </w:rPr>
        <w:t xml:space="preserve">The parties have not addressed another issue that may arise on remand. </w:t>
      </w:r>
      <w:bookmarkStart w:id="2053" w:name="Bookmark_I14W2R5M0PJ000745BJ000CW"/>
      <w:bookmarkStart w:id="2054" w:name="Bookmark_I5VDCGTJ2SF8D20010000400"/>
      <w:bookmarkEnd w:id="2053"/>
      <w:bookmarkEnd w:id="2054"/>
      <w:r>
        <w:rPr>
          <w:rFonts w:ascii="Arial" w:eastAsia="Arial" w:hAnsi="Arial" w:cs="Arial"/>
          <w:color w:val="000000"/>
          <w:sz w:val="18"/>
        </w:rPr>
        <w:t xml:space="preserve">The Rehabilitation Act and the Americans with Disabilities Act do not create a remedy for medical malpractice. See </w:t>
      </w:r>
      <w:bookmarkStart w:id="2055" w:name="Bookmark_I5VDCGTJ2D6N8R0010000400"/>
      <w:bookmarkEnd w:id="2055"/>
      <w:r>
        <w:rPr>
          <w:rFonts w:ascii="Arial" w:eastAsia="Arial" w:hAnsi="Arial" w:cs="Arial"/>
          <w:i/>
          <w:color w:val="000000"/>
          <w:sz w:val="18"/>
        </w:rPr>
        <w:t>Grzan v. Charter Hosp.</w:t>
      </w:r>
      <w:r>
        <w:rPr>
          <w:rFonts w:ascii="Arial" w:eastAsia="Arial" w:hAnsi="Arial" w:cs="Arial"/>
          <w:color w:val="000000"/>
          <w:sz w:val="18"/>
        </w:rPr>
        <w:t xml:space="preserve">, 104 F.3d 116, 122-23 (7th Cir. 1997), abrogated on other grounds as stated in </w:t>
      </w:r>
      <w:bookmarkStart w:id="2056" w:name="Bookmark_I5VDCGTJ2D6N8R0030000400"/>
      <w:bookmarkEnd w:id="2056"/>
      <w:r>
        <w:rPr>
          <w:rFonts w:ascii="Arial" w:eastAsia="Arial" w:hAnsi="Arial" w:cs="Arial"/>
          <w:i/>
          <w:color w:val="000000"/>
          <w:sz w:val="18"/>
        </w:rPr>
        <w:t>Amundson v. Wisc. Dep't of Health Svcs.</w:t>
      </w:r>
      <w:r>
        <w:rPr>
          <w:rFonts w:ascii="Arial" w:eastAsia="Arial" w:hAnsi="Arial" w:cs="Arial"/>
          <w:color w:val="000000"/>
          <w:sz w:val="18"/>
        </w:rPr>
        <w:t xml:space="preserve">, 721 F.3d 871, 874 (7th Cir. 2013); </w:t>
      </w:r>
      <w:bookmarkStart w:id="2057" w:name="Bookmark_I5VDCGTJ2D6N8R0050000400"/>
      <w:bookmarkEnd w:id="2057"/>
      <w:r>
        <w:rPr>
          <w:rFonts w:ascii="Arial" w:eastAsia="Arial" w:hAnsi="Arial" w:cs="Arial"/>
          <w:i/>
          <w:color w:val="000000"/>
          <w:sz w:val="18"/>
        </w:rPr>
        <w:t>Bryant v. Madigan</w:t>
      </w:r>
      <w:r>
        <w:rPr>
          <w:rFonts w:ascii="Arial" w:eastAsia="Arial" w:hAnsi="Arial" w:cs="Arial"/>
          <w:color w:val="000000"/>
          <w:sz w:val="18"/>
        </w:rPr>
        <w:t xml:space="preserve">, 84 F.3d 246, 249 (7th Cir. 1996) (prisoner's claim); accord, e.g., </w:t>
      </w:r>
      <w:bookmarkStart w:id="2058" w:name="Bookmark_I5VDCGTJ2N1R270020000400"/>
      <w:bookmarkEnd w:id="2058"/>
      <w:r>
        <w:rPr>
          <w:rFonts w:ascii="Arial" w:eastAsia="Arial" w:hAnsi="Arial" w:cs="Arial"/>
          <w:i/>
          <w:color w:val="000000"/>
          <w:sz w:val="18"/>
        </w:rPr>
        <w:t>McGugan v. Aldana-Bernier</w:t>
      </w:r>
      <w:r>
        <w:rPr>
          <w:rFonts w:ascii="Arial" w:eastAsia="Arial" w:hAnsi="Arial" w:cs="Arial"/>
          <w:color w:val="000000"/>
          <w:sz w:val="18"/>
        </w:rPr>
        <w:t xml:space="preserve">, 752 F.3d 224, 231-32 (2d Cir. 2014); </w:t>
      </w:r>
      <w:bookmarkStart w:id="2059" w:name="Bookmark_I5VDCGTJ2N1R270040000400"/>
      <w:bookmarkEnd w:id="2059"/>
      <w:r>
        <w:rPr>
          <w:rFonts w:ascii="Arial" w:eastAsia="Arial" w:hAnsi="Arial" w:cs="Arial"/>
          <w:i/>
          <w:color w:val="000000"/>
          <w:sz w:val="18"/>
        </w:rPr>
        <w:t>Burger v. Bloomberg</w:t>
      </w:r>
      <w:r>
        <w:rPr>
          <w:rFonts w:ascii="Arial" w:eastAsia="Arial" w:hAnsi="Arial" w:cs="Arial"/>
          <w:color w:val="000000"/>
          <w:sz w:val="18"/>
        </w:rPr>
        <w:t xml:space="preserve">, 418 F.3d 882, 883 (8th Cir. 2005); </w:t>
      </w:r>
      <w:bookmarkStart w:id="2060" w:name="Bookmark_I5VDCGTJ28T4290010000400"/>
      <w:bookmarkEnd w:id="2060"/>
      <w:r>
        <w:rPr>
          <w:rFonts w:ascii="Arial" w:eastAsia="Arial" w:hAnsi="Arial" w:cs="Arial"/>
          <w:i/>
          <w:color w:val="000000"/>
          <w:sz w:val="18"/>
        </w:rPr>
        <w:t>Schiavo ex rel. Schindler v. Schiavo</w:t>
      </w:r>
      <w:r>
        <w:rPr>
          <w:rFonts w:ascii="Arial" w:eastAsia="Arial" w:hAnsi="Arial" w:cs="Arial"/>
          <w:color w:val="000000"/>
          <w:sz w:val="18"/>
        </w:rPr>
        <w:t xml:space="preserve">, 403 F.3d 1289, 1294 (11th Cir. 2005); </w:t>
      </w:r>
      <w:bookmarkStart w:id="2061" w:name="Bookmark_I5VDCGTJ28T4290030000400"/>
      <w:bookmarkEnd w:id="2061"/>
      <w:r>
        <w:rPr>
          <w:rFonts w:ascii="Arial" w:eastAsia="Arial" w:hAnsi="Arial" w:cs="Arial"/>
          <w:i/>
          <w:color w:val="000000"/>
          <w:sz w:val="18"/>
        </w:rPr>
        <w:t>Fitzgerald v. Corrections Corp. of America</w:t>
      </w:r>
      <w:r>
        <w:rPr>
          <w:rFonts w:ascii="Arial" w:eastAsia="Arial" w:hAnsi="Arial" w:cs="Arial"/>
          <w:color w:val="000000"/>
          <w:sz w:val="18"/>
        </w:rPr>
        <w:t xml:space="preserve">, 403 F.3d 1134, 1144 (10th Cir. 2005). </w:t>
      </w:r>
      <w:bookmarkStart w:id="2062" w:name="Bookmark_I5VDCGTJ2SF8D20010000400_2"/>
      <w:bookmarkEnd w:id="2062"/>
      <w:r>
        <w:rPr>
          <w:rFonts w:ascii="Arial" w:eastAsia="Arial" w:hAnsi="Arial" w:cs="Arial"/>
          <w:color w:val="000000"/>
          <w:sz w:val="18"/>
        </w:rPr>
        <w:t xml:space="preserve">As the Second Circuit explained in </w:t>
      </w:r>
      <w:r>
        <w:rPr>
          <w:rFonts w:ascii="Arial" w:eastAsia="Arial" w:hAnsi="Arial" w:cs="Arial"/>
          <w:i/>
          <w:color w:val="000000"/>
          <w:sz w:val="18"/>
        </w:rPr>
        <w:t>McGugan</w:t>
      </w:r>
      <w:r>
        <w:rPr>
          <w:rFonts w:ascii="Arial" w:eastAsia="Arial" w:hAnsi="Arial" w:cs="Arial"/>
          <w:color w:val="000000"/>
          <w:sz w:val="18"/>
        </w:rPr>
        <w:t xml:space="preserve">, the term "discrimination" can have a benign (and perfectly lawful) sense, in which a health care provider makes a discriminating professional judgment about the type of treatment to provide to a patient, but can also have a pejorative sense that describes actions taken based on irrelevant criteria under the influence of irrational bias. See </w:t>
      </w:r>
      <w:bookmarkStart w:id="2063" w:name="Bookmark_I5VDCGTJ28T4290050000400"/>
      <w:bookmarkEnd w:id="2063"/>
      <w:r>
        <w:rPr>
          <w:rFonts w:ascii="Arial" w:eastAsia="Arial" w:hAnsi="Arial" w:cs="Arial"/>
          <w:color w:val="000000"/>
          <w:sz w:val="18"/>
        </w:rPr>
        <w:t xml:space="preserve">752 F.3d at 231-32, comparing </w:t>
      </w:r>
      <w:bookmarkStart w:id="2064" w:name="Bookmark_I5VDCGTJ2SF8D20020000400"/>
      <w:bookmarkEnd w:id="2064"/>
      <w:r>
        <w:rPr>
          <w:rFonts w:ascii="Arial" w:eastAsia="Arial" w:hAnsi="Arial" w:cs="Arial"/>
          <w:i/>
          <w:color w:val="000000"/>
          <w:sz w:val="18"/>
        </w:rPr>
        <w:t>United States v. University Hosp.</w:t>
      </w:r>
      <w:r>
        <w:rPr>
          <w:rFonts w:ascii="Arial" w:eastAsia="Arial" w:hAnsi="Arial" w:cs="Arial"/>
          <w:color w:val="000000"/>
          <w:sz w:val="18"/>
        </w:rPr>
        <w:t xml:space="preserve">, 729 F.2d 144, 156 (2d Cir. 1984), and </w:t>
      </w:r>
      <w:bookmarkStart w:id="2065" w:name="Bookmark_I5VDCGTJ2SF8D20040000400"/>
      <w:bookmarkEnd w:id="2065"/>
      <w:r>
        <w:rPr>
          <w:rFonts w:ascii="Arial" w:eastAsia="Arial" w:hAnsi="Arial" w:cs="Arial"/>
          <w:i/>
          <w:color w:val="000000"/>
          <w:sz w:val="18"/>
        </w:rPr>
        <w:t>Green v. City of New York</w:t>
      </w:r>
      <w:r>
        <w:rPr>
          <w:rFonts w:ascii="Arial" w:eastAsia="Arial" w:hAnsi="Arial" w:cs="Arial"/>
          <w:color w:val="000000"/>
          <w:sz w:val="18"/>
        </w:rPr>
        <w:t>, 465 F.3d 65, 78 (2d Cir. 2006). In this appeal, the hospital has not argued that it withheld Reed's Dynavox from her as a benign form of discrimination, i.e., as an exercise of medical judgment for her appropriate treatment.</w:t>
      </w:r>
    </w:p>
  </w:footnote>
  <w:footnote w:id="85">
    <w:p w:rsidR="00E456CD" w:rsidRDefault="00000000">
      <w:pPr>
        <w:pStyle w:val="Normal10"/>
        <w:widowControl w:val="0"/>
        <w:spacing w:before="120" w:line="240" w:lineRule="atLeast"/>
        <w:jc w:val="both"/>
      </w:pPr>
      <w:r>
        <w:rPr>
          <w:rFonts w:ascii="Arial" w:eastAsia="Arial" w:hAnsi="Arial" w:cs="Arial"/>
          <w:color w:val="000000"/>
          <w:sz w:val="18"/>
          <w:vertAlign w:val="superscript"/>
        </w:rPr>
        <w:t>1 </w:t>
      </w:r>
      <w:bookmarkStart w:id="2080" w:name="Bookmark_fnpara_1_7"/>
      <w:bookmarkEnd w:id="2080"/>
      <w:r>
        <w:rPr>
          <w:rFonts w:ascii="Arial" w:eastAsia="Arial" w:hAnsi="Arial" w:cs="Arial"/>
          <w:color w:val="000000"/>
          <w:sz w:val="18"/>
        </w:rPr>
        <w:t>The university has since replaced this program with a Clinical Mental Health Counseling Program featuring different requirements and remote access tools.</w:t>
      </w:r>
    </w:p>
  </w:footnote>
  <w:footnote w:id="86">
    <w:p w:rsidR="00E456CD" w:rsidRDefault="00000000">
      <w:pPr>
        <w:pStyle w:val="Normal11"/>
        <w:widowControl w:val="0"/>
        <w:spacing w:before="120" w:line="240" w:lineRule="atLeast"/>
        <w:jc w:val="both"/>
      </w:pPr>
      <w:r>
        <w:rPr>
          <w:rFonts w:ascii="Arial" w:eastAsia="Arial" w:hAnsi="Arial" w:cs="Arial"/>
          <w:color w:val="000000"/>
          <w:sz w:val="18"/>
          <w:vertAlign w:val="superscript"/>
        </w:rPr>
        <w:t>** </w:t>
      </w:r>
      <w:bookmarkStart w:id="2254" w:name="Bookmark_fnpara_1_8"/>
      <w:bookmarkEnd w:id="2254"/>
      <w:r>
        <w:rPr>
          <w:rFonts w:ascii="Arial" w:eastAsia="Arial" w:hAnsi="Arial" w:cs="Arial"/>
          <w:color w:val="000000"/>
          <w:sz w:val="18"/>
        </w:rPr>
        <w:t>This summary constitutes no part of the opinion of the court. It has been prepared by court staff for the convenience of the reader.</w:t>
      </w:r>
    </w:p>
  </w:footnote>
  <w:footnote w:id="87">
    <w:p w:rsidR="00E456CD" w:rsidRDefault="00000000">
      <w:pPr>
        <w:pStyle w:val="Normal11"/>
        <w:widowControl w:val="0"/>
        <w:spacing w:before="120" w:line="240" w:lineRule="atLeast"/>
        <w:jc w:val="both"/>
      </w:pPr>
      <w:r>
        <w:rPr>
          <w:rFonts w:ascii="Arial" w:eastAsia="Arial" w:hAnsi="Arial" w:cs="Arial"/>
          <w:color w:val="000000"/>
          <w:sz w:val="18"/>
          <w:vertAlign w:val="superscript"/>
        </w:rPr>
        <w:t>* </w:t>
      </w:r>
      <w:bookmarkStart w:id="2262" w:name="Bookmark_fnpara_2_7"/>
      <w:bookmarkEnd w:id="2262"/>
      <w:r>
        <w:rPr>
          <w:rFonts w:ascii="Arial" w:eastAsia="Arial" w:hAnsi="Arial" w:cs="Arial"/>
          <w:color w:val="000000"/>
          <w:sz w:val="18"/>
        </w:rPr>
        <w:t>The Honorable Jennifer G. Zipps, United States District Judge for the District of Arizona, sitting by designation.</w:t>
      </w:r>
    </w:p>
  </w:footnote>
  <w:footnote w:id="88">
    <w:p w:rsidR="00E456CD" w:rsidRDefault="00000000">
      <w:pPr>
        <w:pStyle w:val="Normal11"/>
        <w:widowControl w:val="0"/>
        <w:spacing w:before="200" w:line="240" w:lineRule="atLeast"/>
        <w:jc w:val="both"/>
      </w:pPr>
      <w:r>
        <w:rPr>
          <w:rFonts w:ascii="Arial" w:eastAsia="Arial" w:hAnsi="Arial" w:cs="Arial"/>
          <w:color w:val="000000"/>
          <w:sz w:val="18"/>
          <w:vertAlign w:val="superscript"/>
        </w:rPr>
        <w:t>1 </w:t>
      </w:r>
      <w:bookmarkStart w:id="2272" w:name="Bookmark_fnpara_3_7"/>
      <w:bookmarkStart w:id="2273" w:name="Bookmark_LNHNREFclscc1_8"/>
      <w:bookmarkEnd w:id="2272"/>
      <w:bookmarkEnd w:id="2273"/>
      <w:r>
        <w:rPr>
          <w:rFonts w:ascii="Arial" w:eastAsia="Arial" w:hAnsi="Arial" w:cs="Arial"/>
          <w:color w:val="000000"/>
          <w:sz w:val="18"/>
        </w:rPr>
        <w:t xml:space="preserve">WCAG 2.0 guidelines are private industry standards for website accessibility developed by technology and accessibility experts. WCAG 2.0 guidelines have been widely adopted, including by federal agencies, which conform their public-facing, electronic content to WCAG 2.0 level A and level AA Success Criteria. 36 C.F.R. pt. 1194, app. A (2017). In addition, the Department of Transportation requires airline websites to adopt these accessibility standards. </w:t>
      </w:r>
      <w:r>
        <w:rPr>
          <w:rFonts w:ascii="Arial" w:eastAsia="Arial" w:hAnsi="Arial" w:cs="Arial"/>
          <w:i/>
          <w:color w:val="000000"/>
          <w:sz w:val="18"/>
        </w:rPr>
        <w:t>See</w:t>
      </w:r>
      <w:r>
        <w:rPr>
          <w:rFonts w:ascii="Arial" w:eastAsia="Arial" w:hAnsi="Arial" w:cs="Arial"/>
          <w:color w:val="000000"/>
          <w:sz w:val="18"/>
        </w:rPr>
        <w:t xml:space="preserve"> 14 C.F.R. § 382.43 (2013). Notably, the Department of Justice has required ADA-covered entities to comply with WCAG 2.0 level AA (which incorporates level A) in many consent decrees and settlement agreements in which the United States has been a party.</w:t>
      </w:r>
    </w:p>
  </w:footnote>
  <w:footnote w:id="89">
    <w:p w:rsidR="00E456CD" w:rsidRDefault="00000000">
      <w:pPr>
        <w:pStyle w:val="Normal11"/>
        <w:widowControl w:val="0"/>
        <w:spacing w:before="200" w:line="240" w:lineRule="atLeast"/>
        <w:jc w:val="both"/>
      </w:pPr>
      <w:r>
        <w:rPr>
          <w:rFonts w:ascii="Arial" w:eastAsia="Arial" w:hAnsi="Arial" w:cs="Arial"/>
          <w:color w:val="000000"/>
          <w:sz w:val="18"/>
          <w:vertAlign w:val="superscript"/>
        </w:rPr>
        <w:t>2 </w:t>
      </w:r>
      <w:bookmarkStart w:id="2280" w:name="Bookmark_fnpara_4_7"/>
      <w:bookmarkStart w:id="2281" w:name="Bookmark_LNHNREFclscc2_8"/>
      <w:bookmarkEnd w:id="2280"/>
      <w:bookmarkEnd w:id="2281"/>
      <w:r>
        <w:rPr>
          <w:rFonts w:ascii="Arial" w:eastAsia="Arial" w:hAnsi="Arial" w:cs="Arial"/>
          <w:color w:val="000000"/>
          <w:sz w:val="18"/>
        </w:rPr>
        <w:t xml:space="preserve">DOJ is charged with issuing regulations concerning the implementation of the ADA. </w:t>
      </w:r>
      <w:r>
        <w:rPr>
          <w:rFonts w:ascii="Arial" w:eastAsia="Arial" w:hAnsi="Arial" w:cs="Arial"/>
          <w:i/>
          <w:color w:val="000000"/>
          <w:sz w:val="18"/>
        </w:rPr>
        <w:t>See</w:t>
      </w:r>
      <w:r>
        <w:rPr>
          <w:rFonts w:ascii="Arial" w:eastAsia="Arial" w:hAnsi="Arial" w:cs="Arial"/>
          <w:color w:val="000000"/>
          <w:sz w:val="18"/>
        </w:rPr>
        <w:t xml:space="preserve"> 42 U.S.C. § 12186(b) ("[T]he Attorney General shall issue regulations in an accessible format to carry out the provisions of this subchapter . . . ."); </w:t>
      </w:r>
      <w:bookmarkStart w:id="2282" w:name="Bookmark_I5V6V7PD2N1PSX0050000400"/>
      <w:bookmarkEnd w:id="2282"/>
      <w:r>
        <w:rPr>
          <w:rFonts w:ascii="Arial" w:eastAsia="Arial" w:hAnsi="Arial" w:cs="Arial"/>
          <w:i/>
          <w:color w:val="000000"/>
          <w:sz w:val="18"/>
        </w:rPr>
        <w:t>Bragdon v. Abbott</w:t>
      </w:r>
      <w:r>
        <w:rPr>
          <w:rFonts w:ascii="Arial" w:eastAsia="Arial" w:hAnsi="Arial" w:cs="Arial"/>
          <w:color w:val="000000"/>
          <w:sz w:val="18"/>
        </w:rPr>
        <w:t>, 524 U.S. 624, 646, 118 S. Ct. 2196, 141 L. Ed. 2d 540 (1998) (noting that DOJ is "the agency directed by Congress to issue implementing regulations, to render technical assistance explaining the responsibilities of covered individuals and institutions, and to enforce Title III in court") (internal citations omitted).</w:t>
      </w:r>
    </w:p>
  </w:footnote>
  <w:footnote w:id="90">
    <w:p w:rsidR="00E456CD" w:rsidRDefault="00000000">
      <w:pPr>
        <w:pStyle w:val="Normal11"/>
        <w:widowControl w:val="0"/>
        <w:spacing w:before="200" w:line="240" w:lineRule="atLeast"/>
        <w:jc w:val="both"/>
      </w:pPr>
      <w:r>
        <w:rPr>
          <w:rFonts w:ascii="Arial" w:eastAsia="Arial" w:hAnsi="Arial" w:cs="Arial"/>
          <w:color w:val="000000"/>
          <w:sz w:val="18"/>
          <w:vertAlign w:val="superscript"/>
        </w:rPr>
        <w:t>3 </w:t>
      </w:r>
      <w:bookmarkStart w:id="2284" w:name="Bookmark_fnpara_5_7"/>
      <w:bookmarkEnd w:id="2284"/>
      <w:r>
        <w:rPr>
          <w:rFonts w:ascii="Arial" w:eastAsia="Arial" w:hAnsi="Arial" w:cs="Arial"/>
          <w:color w:val="000000"/>
          <w:sz w:val="18"/>
        </w:rPr>
        <w:t xml:space="preserve">We recognize that DOJ withdrew its ANPRM on December 26, 2017, so the district court did not have the benefit of considering this withdrawal when it issued its decision on March 20, 2017. </w:t>
      </w:r>
      <w:r>
        <w:rPr>
          <w:rFonts w:ascii="Arial" w:eastAsia="Arial" w:hAnsi="Arial" w:cs="Arial"/>
          <w:i/>
          <w:color w:val="000000"/>
          <w:sz w:val="18"/>
        </w:rPr>
        <w:t>See</w:t>
      </w:r>
      <w:r>
        <w:rPr>
          <w:rFonts w:ascii="Arial" w:eastAsia="Arial" w:hAnsi="Arial" w:cs="Arial"/>
          <w:color w:val="000000"/>
          <w:sz w:val="18"/>
        </w:rPr>
        <w:t xml:space="preserve"> </w:t>
      </w:r>
      <w:bookmarkStart w:id="2285" w:name="Bookmark_I5V6V7PD2SF84W0020000400"/>
      <w:bookmarkEnd w:id="2285"/>
      <w:r>
        <w:rPr>
          <w:rFonts w:ascii="Arial" w:eastAsia="Arial" w:hAnsi="Arial" w:cs="Arial"/>
          <w:color w:val="000000"/>
          <w:sz w:val="18"/>
        </w:rPr>
        <w:t>Nondiscrimination on the Basis of Disability, 82 Fed. Reg. 60932-01 (Dec. 26, 2017).</w:t>
      </w:r>
    </w:p>
  </w:footnote>
  <w:footnote w:id="91">
    <w:p w:rsidR="00E456CD" w:rsidRDefault="00000000">
      <w:pPr>
        <w:pStyle w:val="Normal11"/>
        <w:widowControl w:val="0"/>
        <w:spacing w:before="120" w:line="240" w:lineRule="atLeast"/>
        <w:jc w:val="both"/>
      </w:pPr>
      <w:r>
        <w:rPr>
          <w:rFonts w:ascii="Arial" w:eastAsia="Arial" w:hAnsi="Arial" w:cs="Arial"/>
          <w:color w:val="000000"/>
          <w:sz w:val="18"/>
          <w:vertAlign w:val="superscript"/>
        </w:rPr>
        <w:t>4 </w:t>
      </w:r>
      <w:bookmarkStart w:id="2289" w:name="Bookmark_fnpara_6_4"/>
      <w:bookmarkEnd w:id="2289"/>
      <w:r>
        <w:rPr>
          <w:rFonts w:ascii="Arial" w:eastAsia="Arial" w:hAnsi="Arial" w:cs="Arial"/>
          <w:color w:val="000000"/>
          <w:sz w:val="18"/>
        </w:rPr>
        <w:t>Only after Robles filed this suit, Domino's website and app began displaying a telephone number that customers using screen-reading software could dial to receive assistance. The district court noted that Robles had "failed to articulate why [Domino's] provision of a telephone hotline for the visually impaired . . . does not fall within the range of permissible options afforded under the ADA." However, the district court did not reach whether a genuine issue of material fact existed as to the telephone hotline's compliance with the ADA, including whether the hotline guaranteed full and equal enjoyment and "protect[ed] the privacy and independence of the individual with a disability." 28 C.F.R. § 36.303(c)(1)(ii) (2017). We believe that the mere presence of the phone number, without discovery on its effectiveness, is insufficient to grant summary judgment in favor of Domino's.</w:t>
      </w:r>
    </w:p>
  </w:footnote>
  <w:footnote w:id="92">
    <w:p w:rsidR="00E456CD" w:rsidRDefault="00000000">
      <w:pPr>
        <w:pStyle w:val="Normal11"/>
        <w:widowControl w:val="0"/>
        <w:spacing w:before="200" w:line="240" w:lineRule="atLeast"/>
        <w:jc w:val="both"/>
      </w:pPr>
      <w:r>
        <w:rPr>
          <w:rFonts w:ascii="Arial" w:eastAsia="Arial" w:hAnsi="Arial" w:cs="Arial"/>
          <w:color w:val="000000"/>
          <w:sz w:val="18"/>
          <w:vertAlign w:val="superscript"/>
        </w:rPr>
        <w:t>5 </w:t>
      </w:r>
      <w:bookmarkStart w:id="2309" w:name="Bookmark_fnpara_7_3"/>
      <w:bookmarkStart w:id="2310" w:name="Bookmark_LNHNREFclscc8_7"/>
      <w:bookmarkEnd w:id="2309"/>
      <w:bookmarkEnd w:id="2310"/>
      <w:r>
        <w:rPr>
          <w:rFonts w:ascii="Arial" w:eastAsia="Arial" w:hAnsi="Arial" w:cs="Arial"/>
          <w:color w:val="000000"/>
          <w:sz w:val="18"/>
        </w:rPr>
        <w:t xml:space="preserve">The ADA exempts covered entities from the requirement to provide auxiliary aids and services where compliance would "fundamentally alter the nature of the good, service, facility, privilege, advantage, or accommodation being offered or would result in an undue burden." 42 U.S.C. § 12182(b)(2)(A)(iii); </w:t>
      </w:r>
      <w:r>
        <w:rPr>
          <w:rFonts w:ascii="Arial" w:eastAsia="Arial" w:hAnsi="Arial" w:cs="Arial"/>
          <w:i/>
          <w:color w:val="000000"/>
          <w:sz w:val="18"/>
        </w:rPr>
        <w:t>see also</w:t>
      </w:r>
      <w:r>
        <w:rPr>
          <w:rFonts w:ascii="Arial" w:eastAsia="Arial" w:hAnsi="Arial" w:cs="Arial"/>
          <w:color w:val="000000"/>
          <w:sz w:val="18"/>
        </w:rPr>
        <w:t xml:space="preserve"> 28 C.F.R. § 36.303(a). At this stage, Domino's does not argue that making its website or app accessible to blind people would fundamentally alter the nature of its offerings or be an undue burden.</w:t>
      </w:r>
    </w:p>
  </w:footnote>
  <w:footnote w:id="93">
    <w:p w:rsidR="00E456CD" w:rsidRDefault="00000000">
      <w:pPr>
        <w:pStyle w:val="Normal11"/>
        <w:widowControl w:val="0"/>
        <w:spacing w:before="120" w:line="240" w:lineRule="atLeast"/>
        <w:jc w:val="both"/>
      </w:pPr>
      <w:r>
        <w:rPr>
          <w:rFonts w:ascii="Arial" w:eastAsia="Arial" w:hAnsi="Arial" w:cs="Arial"/>
          <w:color w:val="000000"/>
          <w:sz w:val="18"/>
          <w:vertAlign w:val="superscript"/>
        </w:rPr>
        <w:t>6 </w:t>
      </w:r>
      <w:bookmarkStart w:id="2319" w:name="Bookmark_fnpara_8_3"/>
      <w:bookmarkEnd w:id="2319"/>
      <w:r>
        <w:rPr>
          <w:rFonts w:ascii="Arial" w:eastAsia="Arial" w:hAnsi="Arial" w:cs="Arial"/>
          <w:color w:val="000000"/>
          <w:sz w:val="18"/>
        </w:rPr>
        <w:t>We need not decide whether the ADA covers the websites or apps of a physical place of public accommodation where their inaccessibility does not impede access to the goods and services of a physical location.</w:t>
      </w:r>
    </w:p>
  </w:footnote>
  <w:footnote w:id="94">
    <w:p w:rsidR="00E456CD" w:rsidRDefault="00000000">
      <w:pPr>
        <w:pStyle w:val="Normal11"/>
        <w:widowControl w:val="0"/>
        <w:spacing w:before="200" w:line="240" w:lineRule="atLeast"/>
        <w:jc w:val="both"/>
      </w:pPr>
      <w:r>
        <w:rPr>
          <w:rFonts w:ascii="Arial" w:eastAsia="Arial" w:hAnsi="Arial" w:cs="Arial"/>
          <w:color w:val="000000"/>
          <w:sz w:val="18"/>
          <w:vertAlign w:val="superscript"/>
        </w:rPr>
        <w:t>7 </w:t>
      </w:r>
      <w:bookmarkStart w:id="2342" w:name="Bookmark_fnpara_9_2"/>
      <w:bookmarkEnd w:id="2342"/>
      <w:r>
        <w:rPr>
          <w:rFonts w:ascii="Arial" w:eastAsia="Arial" w:hAnsi="Arial" w:cs="Arial"/>
          <w:i/>
          <w:color w:val="000000"/>
          <w:sz w:val="18"/>
        </w:rPr>
        <w:t>See, e.g.</w:t>
      </w:r>
      <w:r>
        <w:rPr>
          <w:rFonts w:ascii="Arial" w:eastAsia="Arial" w:hAnsi="Arial" w:cs="Arial"/>
          <w:color w:val="000000"/>
          <w:sz w:val="18"/>
        </w:rPr>
        <w:t xml:space="preserve">, </w:t>
      </w:r>
      <w:bookmarkStart w:id="2343" w:name="Bookmark_I5V6V7PD28T3V80030000400"/>
      <w:bookmarkEnd w:id="2343"/>
      <w:r>
        <w:rPr>
          <w:rFonts w:ascii="Arial" w:eastAsia="Arial" w:hAnsi="Arial" w:cs="Arial"/>
          <w:i/>
          <w:color w:val="000000"/>
          <w:sz w:val="18"/>
        </w:rPr>
        <w:t>Robles v. Yum! Brands, Inc.</w:t>
      </w:r>
      <w:r>
        <w:rPr>
          <w:rFonts w:ascii="Arial" w:eastAsia="Arial" w:hAnsi="Arial" w:cs="Arial"/>
          <w:color w:val="000000"/>
          <w:sz w:val="18"/>
        </w:rPr>
        <w:t xml:space="preserve">, 2018 U.S. Dist. LEXIS 13247, 2018 WL 566781, at *4 (C.D. Cal. Jan. 24, 2018); </w:t>
      </w:r>
      <w:bookmarkStart w:id="2344" w:name="Bookmark_I5V6V7PD28T3V80050000400"/>
      <w:bookmarkEnd w:id="2344"/>
      <w:r>
        <w:rPr>
          <w:rFonts w:ascii="Arial" w:eastAsia="Arial" w:hAnsi="Arial" w:cs="Arial"/>
          <w:i/>
          <w:color w:val="000000"/>
          <w:sz w:val="18"/>
        </w:rPr>
        <w:t>Rios v. N.Y. &amp; Co., Inc.</w:t>
      </w:r>
      <w:r>
        <w:rPr>
          <w:rFonts w:ascii="Arial" w:eastAsia="Arial" w:hAnsi="Arial" w:cs="Arial"/>
          <w:color w:val="000000"/>
          <w:sz w:val="18"/>
        </w:rPr>
        <w:t xml:space="preserve">, 2017 U.S. Dist. LEXIS 190794, 2017 WL 5564530, at *3 (C.D. Cal. Nov. 16, 2017); </w:t>
      </w:r>
      <w:bookmarkStart w:id="2345" w:name="Bookmark_I5V6V7PD28T3V90020000400"/>
      <w:bookmarkEnd w:id="2345"/>
      <w:r>
        <w:rPr>
          <w:rFonts w:ascii="Arial" w:eastAsia="Arial" w:hAnsi="Arial" w:cs="Arial"/>
          <w:i/>
          <w:color w:val="000000"/>
          <w:sz w:val="18"/>
        </w:rPr>
        <w:t>Reed v. CVS Pharmacy, Inc.</w:t>
      </w:r>
      <w:r>
        <w:rPr>
          <w:rFonts w:ascii="Arial" w:eastAsia="Arial" w:hAnsi="Arial" w:cs="Arial"/>
          <w:color w:val="000000"/>
          <w:sz w:val="18"/>
        </w:rPr>
        <w:t xml:space="preserve">, 2017 U.S. Dist. LEXIS 168237, 2017 WL 4457508, at *3 (C.D. Cal. Oct. 3, 2017); </w:t>
      </w:r>
      <w:bookmarkStart w:id="2346" w:name="Bookmark_I5V6V7PD28T3V90040000400"/>
      <w:bookmarkEnd w:id="2346"/>
      <w:r>
        <w:rPr>
          <w:rFonts w:ascii="Arial" w:eastAsia="Arial" w:hAnsi="Arial" w:cs="Arial"/>
          <w:i/>
          <w:color w:val="000000"/>
          <w:sz w:val="18"/>
        </w:rPr>
        <w:t>Gorecki v. Hobby Lobby Stores, Inc.</w:t>
      </w:r>
      <w:r>
        <w:rPr>
          <w:rFonts w:ascii="Arial" w:eastAsia="Arial" w:hAnsi="Arial" w:cs="Arial"/>
          <w:color w:val="000000"/>
          <w:sz w:val="18"/>
        </w:rPr>
        <w:t xml:space="preserve">, 2017 U.S. Dist. LEXIS 109123, 2017 WL 2957736, at *3-4 (C.D. Cal. June 15, 2017); </w:t>
      </w:r>
      <w:bookmarkStart w:id="2347" w:name="Bookmark_I5V6V7PD2N1PT30010000400"/>
      <w:bookmarkEnd w:id="2347"/>
      <w:r>
        <w:rPr>
          <w:rFonts w:ascii="Arial" w:eastAsia="Arial" w:hAnsi="Arial" w:cs="Arial"/>
          <w:i/>
          <w:color w:val="000000"/>
          <w:sz w:val="18"/>
        </w:rPr>
        <w:t>Target</w:t>
      </w:r>
      <w:r>
        <w:rPr>
          <w:rFonts w:ascii="Arial" w:eastAsia="Arial" w:hAnsi="Arial" w:cs="Arial"/>
          <w:color w:val="000000"/>
          <w:sz w:val="18"/>
        </w:rPr>
        <w:t xml:space="preserve">, 452 F. Supp. 2d at 953; </w:t>
      </w:r>
      <w:bookmarkStart w:id="2348" w:name="Bookmark_I5V6V7PD2N1PT30030000400"/>
      <w:bookmarkEnd w:id="2348"/>
      <w:r>
        <w:rPr>
          <w:rFonts w:ascii="Arial" w:eastAsia="Arial" w:hAnsi="Arial" w:cs="Arial"/>
          <w:i/>
          <w:color w:val="000000"/>
          <w:sz w:val="18"/>
        </w:rPr>
        <w:t>Gomez v. Gen. Nutrition Corp.</w:t>
      </w:r>
      <w:r>
        <w:rPr>
          <w:rFonts w:ascii="Arial" w:eastAsia="Arial" w:hAnsi="Arial" w:cs="Arial"/>
          <w:color w:val="000000"/>
          <w:sz w:val="18"/>
        </w:rPr>
        <w:t xml:space="preserve">, 323 F. Supp. 3d 1368, 1375-76 (S.D. Fla. 2018); </w:t>
      </w:r>
      <w:bookmarkStart w:id="2349" w:name="Bookmark_I5V6V7PD2N1PT30050000400"/>
      <w:bookmarkEnd w:id="2349"/>
      <w:r>
        <w:rPr>
          <w:rFonts w:ascii="Arial" w:eastAsia="Arial" w:hAnsi="Arial" w:cs="Arial"/>
          <w:i/>
          <w:color w:val="000000"/>
          <w:sz w:val="18"/>
        </w:rPr>
        <w:t>Castillo v. Jo-Ann Stores, LLC</w:t>
      </w:r>
      <w:r>
        <w:rPr>
          <w:rFonts w:ascii="Arial" w:eastAsia="Arial" w:hAnsi="Arial" w:cs="Arial"/>
          <w:color w:val="000000"/>
          <w:sz w:val="18"/>
        </w:rPr>
        <w:t xml:space="preserve">, 286 F. Supp. 3d 870, 881 (N.D. Ohio 2018); </w:t>
      </w:r>
      <w:bookmarkStart w:id="2350" w:name="Bookmark_I5V6V7PD2SF8520020000400"/>
      <w:bookmarkEnd w:id="2350"/>
      <w:r>
        <w:rPr>
          <w:rFonts w:ascii="Arial" w:eastAsia="Arial" w:hAnsi="Arial" w:cs="Arial"/>
          <w:i/>
          <w:color w:val="000000"/>
          <w:sz w:val="18"/>
        </w:rPr>
        <w:t>Gil v. Winn-Dixie Stores, Inc.</w:t>
      </w:r>
      <w:r>
        <w:rPr>
          <w:rFonts w:ascii="Arial" w:eastAsia="Arial" w:hAnsi="Arial" w:cs="Arial"/>
          <w:color w:val="000000"/>
          <w:sz w:val="18"/>
        </w:rPr>
        <w:t xml:space="preserve">, 257 F. Supp. 3d 1340, 1348-49 (S.D. Fla. 2017), </w:t>
      </w:r>
      <w:r>
        <w:rPr>
          <w:rFonts w:ascii="Arial" w:eastAsia="Arial" w:hAnsi="Arial" w:cs="Arial"/>
          <w:i/>
          <w:color w:val="000000"/>
          <w:sz w:val="18"/>
        </w:rPr>
        <w:t>appeal docketed</w:t>
      </w:r>
      <w:r>
        <w:rPr>
          <w:rFonts w:ascii="Arial" w:eastAsia="Arial" w:hAnsi="Arial" w:cs="Arial"/>
          <w:color w:val="000000"/>
          <w:sz w:val="18"/>
        </w:rPr>
        <w:t>, No. 17-13467 (11th Cir. Aug. 1, 2017).</w:t>
      </w:r>
    </w:p>
  </w:footnote>
  <w:footnote w:id="95">
    <w:p w:rsidR="00E456CD" w:rsidRDefault="00000000">
      <w:pPr>
        <w:pStyle w:val="Normal11"/>
        <w:widowControl w:val="0"/>
        <w:spacing w:before="200" w:line="240" w:lineRule="atLeast"/>
        <w:jc w:val="both"/>
      </w:pPr>
      <w:r>
        <w:rPr>
          <w:rFonts w:ascii="Arial" w:eastAsia="Arial" w:hAnsi="Arial" w:cs="Arial"/>
          <w:color w:val="000000"/>
          <w:sz w:val="18"/>
          <w:vertAlign w:val="superscript"/>
        </w:rPr>
        <w:t>8 </w:t>
      </w:r>
      <w:bookmarkStart w:id="2353" w:name="Bookmark_fnpara_10_2"/>
      <w:bookmarkEnd w:id="2353"/>
      <w:r>
        <w:rPr>
          <w:rFonts w:ascii="Arial" w:eastAsia="Arial" w:hAnsi="Arial" w:cs="Arial"/>
          <w:color w:val="000000"/>
          <w:sz w:val="18"/>
        </w:rPr>
        <w:t xml:space="preserve">The district court also held (in error) that Robles conceded Domino's due process argument by not squarely addressing it at the motion to dismiss stage. </w:t>
      </w:r>
      <w:bookmarkStart w:id="2354" w:name="Bookmark_I5V6V7PD2HM64G0020000400"/>
      <w:bookmarkEnd w:id="2354"/>
      <w:r>
        <w:rPr>
          <w:rFonts w:ascii="Arial" w:eastAsia="Arial" w:hAnsi="Arial" w:cs="Arial"/>
          <w:color w:val="000000"/>
          <w:sz w:val="18"/>
        </w:rPr>
        <w:t xml:space="preserve">The relevant issue here is whether Domino's website and app comply with the ADA. Domino's due process argument is a defense to that issue. Domino's cites no authority holding that a plaintiff's failure to respond to a </w:t>
      </w:r>
      <w:r>
        <w:rPr>
          <w:rFonts w:ascii="Arial" w:eastAsia="Arial" w:hAnsi="Arial" w:cs="Arial"/>
          <w:i/>
          <w:color w:val="000000"/>
          <w:sz w:val="18"/>
        </w:rPr>
        <w:t>defense</w:t>
      </w:r>
      <w:r>
        <w:rPr>
          <w:rFonts w:ascii="Arial" w:eastAsia="Arial" w:hAnsi="Arial" w:cs="Arial"/>
          <w:color w:val="000000"/>
          <w:sz w:val="18"/>
        </w:rPr>
        <w:t xml:space="preserve"> waives the plaintiff's </w:t>
      </w:r>
      <w:r>
        <w:rPr>
          <w:rFonts w:ascii="Arial" w:eastAsia="Arial" w:hAnsi="Arial" w:cs="Arial"/>
          <w:i/>
          <w:color w:val="000000"/>
          <w:sz w:val="18"/>
        </w:rPr>
        <w:t>cause of action</w:t>
      </w:r>
      <w:r>
        <w:rPr>
          <w:rFonts w:ascii="Arial" w:eastAsia="Arial" w:hAnsi="Arial" w:cs="Arial"/>
          <w:color w:val="000000"/>
          <w:sz w:val="18"/>
        </w:rPr>
        <w:t xml:space="preserve"> (here, the ADA). Regardless, </w:t>
      </w:r>
      <w:bookmarkStart w:id="2355" w:name="Bookmark_LNHNREFclscc13_3"/>
      <w:bookmarkEnd w:id="2355"/>
      <w:r>
        <w:rPr>
          <w:rFonts w:ascii="Arial" w:eastAsia="Arial" w:hAnsi="Arial" w:cs="Arial"/>
          <w:color w:val="000000"/>
          <w:sz w:val="18"/>
        </w:rPr>
        <w:t xml:space="preserve">"an issue will generally be deemed waived on appeal if the argument was not raised sufficiently for the trial court to rule on it." </w:t>
      </w:r>
      <w:bookmarkStart w:id="2356" w:name="Bookmark_I5V6V7PD2HM64G0010000400"/>
      <w:bookmarkEnd w:id="2356"/>
      <w:r>
        <w:rPr>
          <w:rFonts w:ascii="Arial" w:eastAsia="Arial" w:hAnsi="Arial" w:cs="Arial"/>
          <w:i/>
          <w:color w:val="000000"/>
          <w:sz w:val="18"/>
        </w:rPr>
        <w:t>In re Mercury Interactive Corp. Sec. Litig.</w:t>
      </w:r>
      <w:r>
        <w:rPr>
          <w:rFonts w:ascii="Arial" w:eastAsia="Arial" w:hAnsi="Arial" w:cs="Arial"/>
          <w:color w:val="000000"/>
          <w:sz w:val="18"/>
        </w:rPr>
        <w:t>, 618 F.3d 988, 992 (9th Cir. 2010) (internal quotation marks omitted). Here, the parties raised the matter sufficiently for the district court to dedicate four pages to this issue, and Robles did not waive his ability to respond to Domino's due process argument.</w:t>
      </w:r>
    </w:p>
  </w:footnote>
  <w:footnote w:id="96">
    <w:p w:rsidR="00E456CD" w:rsidRDefault="00000000">
      <w:pPr>
        <w:pStyle w:val="Normal11"/>
        <w:widowControl w:val="0"/>
        <w:spacing w:before="200" w:line="240" w:lineRule="atLeast"/>
        <w:jc w:val="both"/>
      </w:pPr>
      <w:r>
        <w:rPr>
          <w:rFonts w:ascii="Arial" w:eastAsia="Arial" w:hAnsi="Arial" w:cs="Arial"/>
          <w:color w:val="000000"/>
          <w:sz w:val="18"/>
          <w:vertAlign w:val="superscript"/>
        </w:rPr>
        <w:t>9 </w:t>
      </w:r>
      <w:bookmarkStart w:id="2369" w:name="Bookmark_fnpara_11_1"/>
      <w:bookmarkEnd w:id="2369"/>
      <w:r>
        <w:rPr>
          <w:rFonts w:ascii="Arial" w:eastAsia="Arial" w:hAnsi="Arial" w:cs="Arial"/>
          <w:color w:val="000000"/>
          <w:sz w:val="18"/>
        </w:rPr>
        <w:t xml:space="preserve">In </w:t>
      </w:r>
      <w:r>
        <w:rPr>
          <w:rFonts w:ascii="Arial" w:eastAsia="Arial" w:hAnsi="Arial" w:cs="Arial"/>
          <w:i/>
          <w:color w:val="000000"/>
          <w:sz w:val="18"/>
        </w:rPr>
        <w:t>Village of Hoffman Estates</w:t>
      </w:r>
      <w:r>
        <w:rPr>
          <w:rFonts w:ascii="Arial" w:eastAsia="Arial" w:hAnsi="Arial" w:cs="Arial"/>
          <w:color w:val="000000"/>
          <w:sz w:val="18"/>
        </w:rPr>
        <w:t xml:space="preserve">, the Supreme Court explained: </w:t>
      </w:r>
      <w:bookmarkStart w:id="2370" w:name="Bookmark_LNHNREFclscc15_1"/>
      <w:bookmarkEnd w:id="2370"/>
      <w:r>
        <w:rPr>
          <w:rFonts w:ascii="Arial" w:eastAsia="Arial" w:hAnsi="Arial" w:cs="Arial"/>
          <w:color w:val="000000"/>
          <w:sz w:val="18"/>
        </w:rPr>
        <w:t xml:space="preserve">"The degree of vagueness that the Constitution tolerates—as well as the relative importance of fair notice and fair enforcement—depends in part on the nature of the enactment. Thus, economic regulation is subject to a less strict vagueness test because its subject matter is often more narrow, and because businesses, which face economic demands to plan behavior carefully, can be expected to consult relevant legislation in advance of action." </w:t>
      </w:r>
      <w:bookmarkStart w:id="2371" w:name="Bookmark_I5V6V7PD2N1PT40010000400"/>
      <w:bookmarkEnd w:id="2371"/>
      <w:r>
        <w:rPr>
          <w:rFonts w:ascii="Arial" w:eastAsia="Arial" w:hAnsi="Arial" w:cs="Arial"/>
          <w:color w:val="000000"/>
          <w:sz w:val="18"/>
        </w:rPr>
        <w:t>455 U.S. at 498 (internal footnotes omitted).</w:t>
      </w:r>
    </w:p>
  </w:footnote>
  <w:footnote w:id="97">
    <w:p w:rsidR="00E456CD" w:rsidRDefault="00000000">
      <w:pPr>
        <w:pStyle w:val="Normal11"/>
        <w:widowControl w:val="0"/>
        <w:spacing w:before="200" w:line="240" w:lineRule="atLeast"/>
        <w:jc w:val="both"/>
      </w:pPr>
      <w:r>
        <w:rPr>
          <w:rFonts w:ascii="Arial" w:eastAsia="Arial" w:hAnsi="Arial" w:cs="Arial"/>
          <w:color w:val="000000"/>
          <w:sz w:val="18"/>
          <w:vertAlign w:val="superscript"/>
        </w:rPr>
        <w:t>10 </w:t>
      </w:r>
      <w:bookmarkStart w:id="2406" w:name="Bookmark_fnpara_12_1"/>
      <w:bookmarkEnd w:id="2406"/>
      <w:r>
        <w:rPr>
          <w:rFonts w:ascii="Arial" w:eastAsia="Arial" w:hAnsi="Arial" w:cs="Arial"/>
          <w:i/>
          <w:color w:val="000000"/>
          <w:sz w:val="18"/>
        </w:rPr>
        <w:t>See, e.g.</w:t>
      </w:r>
      <w:r>
        <w:rPr>
          <w:rFonts w:ascii="Arial" w:eastAsia="Arial" w:hAnsi="Arial" w:cs="Arial"/>
          <w:color w:val="000000"/>
          <w:sz w:val="18"/>
        </w:rPr>
        <w:t xml:space="preserve">, </w:t>
      </w:r>
      <w:bookmarkStart w:id="2407" w:name="Bookmark_I5V6V7PD2N1PT60020000400"/>
      <w:bookmarkEnd w:id="2407"/>
      <w:r>
        <w:rPr>
          <w:rFonts w:ascii="Arial" w:eastAsia="Arial" w:hAnsi="Arial" w:cs="Arial"/>
          <w:i/>
          <w:color w:val="000000"/>
          <w:sz w:val="18"/>
        </w:rPr>
        <w:t>Baughman v. Walt Disney World Co.</w:t>
      </w:r>
      <w:r>
        <w:rPr>
          <w:rFonts w:ascii="Arial" w:eastAsia="Arial" w:hAnsi="Arial" w:cs="Arial"/>
          <w:color w:val="000000"/>
          <w:sz w:val="18"/>
        </w:rPr>
        <w:t xml:space="preserve">, 685 F.3d 1131, 1135 (9th Cir. 2012) (holding that, to provide "full and equal enjoyment," public accommodations must "consider[] how their facilities are used by non-disabled guests and then take reasonable steps to provide disabled guests with a like experience"); </w:t>
      </w:r>
      <w:bookmarkStart w:id="2408" w:name="Bookmark_I5V6V7PD2N1PT60040000400"/>
      <w:bookmarkEnd w:id="2408"/>
      <w:r>
        <w:rPr>
          <w:rFonts w:ascii="Arial" w:eastAsia="Arial" w:hAnsi="Arial" w:cs="Arial"/>
          <w:i/>
          <w:color w:val="000000"/>
          <w:sz w:val="18"/>
        </w:rPr>
        <w:t>Fortyune v. American Multi-Cinema</w:t>
      </w:r>
      <w:r>
        <w:rPr>
          <w:rFonts w:ascii="Arial" w:eastAsia="Arial" w:hAnsi="Arial" w:cs="Arial"/>
          <w:color w:val="000000"/>
          <w:sz w:val="18"/>
        </w:rPr>
        <w:t xml:space="preserve">, 364 F.3d 1075, 1085 (9th Cir. 2004) (interpreting "full and equal enjoyment" to require theater to provide wheelchair seating and adjacent seat for plaintiff's wife); </w:t>
      </w:r>
      <w:r>
        <w:rPr>
          <w:rFonts w:ascii="Arial" w:eastAsia="Arial" w:hAnsi="Arial" w:cs="Arial"/>
          <w:i/>
          <w:color w:val="000000"/>
          <w:sz w:val="18"/>
        </w:rPr>
        <w:t>see also, e.g.</w:t>
      </w:r>
      <w:r>
        <w:rPr>
          <w:rFonts w:ascii="Arial" w:eastAsia="Arial" w:hAnsi="Arial" w:cs="Arial"/>
          <w:color w:val="000000"/>
          <w:sz w:val="18"/>
        </w:rPr>
        <w:t xml:space="preserve">, </w:t>
      </w:r>
      <w:bookmarkStart w:id="2409" w:name="Bookmark_I5V6V7PD28T3VF0010000400"/>
      <w:bookmarkEnd w:id="2409"/>
      <w:r>
        <w:rPr>
          <w:rFonts w:ascii="Arial" w:eastAsia="Arial" w:hAnsi="Arial" w:cs="Arial"/>
          <w:i/>
          <w:color w:val="000000"/>
          <w:sz w:val="18"/>
        </w:rPr>
        <w:t>McGann v. Cinemark</w:t>
      </w:r>
      <w:r>
        <w:rPr>
          <w:rFonts w:ascii="Arial" w:eastAsia="Arial" w:hAnsi="Arial" w:cs="Arial"/>
          <w:color w:val="000000"/>
          <w:sz w:val="18"/>
        </w:rPr>
        <w:t xml:space="preserve">, 873 F.3d 218, 223 (3d Cir. 2017) (holding that theater's failure to provide deaf patron with sign language interpreter—an auxiliary aid or service—excluded him from services); </w:t>
      </w:r>
      <w:bookmarkStart w:id="2410" w:name="Bookmark_I5V6V7PD28T3VF0030000400"/>
      <w:bookmarkEnd w:id="2410"/>
      <w:r>
        <w:rPr>
          <w:rFonts w:ascii="Arial" w:eastAsia="Arial" w:hAnsi="Arial" w:cs="Arial"/>
          <w:i/>
          <w:color w:val="000000"/>
          <w:sz w:val="18"/>
        </w:rPr>
        <w:t>Argenyi v. Creighton Univ.</w:t>
      </w:r>
      <w:r>
        <w:rPr>
          <w:rFonts w:ascii="Arial" w:eastAsia="Arial" w:hAnsi="Arial" w:cs="Arial"/>
          <w:color w:val="000000"/>
          <w:sz w:val="18"/>
        </w:rPr>
        <w:t>, 703 F.3d 441, 449 (8th Cir. 2013) (holding that university must provide reasonable auxiliary aids and services to partially deaf medical student to afford him opportunity equal to his nondisabled peers).</w:t>
      </w:r>
    </w:p>
  </w:footnote>
  <w:footnote w:id="98">
    <w:p w:rsidR="00E456CD" w:rsidRDefault="00000000">
      <w:pPr>
        <w:pStyle w:val="Normal11"/>
        <w:widowControl w:val="0"/>
        <w:spacing w:before="120" w:line="240" w:lineRule="atLeast"/>
        <w:jc w:val="both"/>
      </w:pPr>
      <w:r>
        <w:rPr>
          <w:rFonts w:ascii="Arial" w:eastAsia="Arial" w:hAnsi="Arial" w:cs="Arial"/>
          <w:color w:val="000000"/>
          <w:sz w:val="18"/>
          <w:vertAlign w:val="superscript"/>
        </w:rPr>
        <w:t>11 </w:t>
      </w:r>
      <w:bookmarkStart w:id="2505" w:name="Bookmark_fnpara_13_1"/>
      <w:bookmarkEnd w:id="2505"/>
      <w:r>
        <w:rPr>
          <w:rFonts w:ascii="Arial" w:eastAsia="Arial" w:hAnsi="Arial" w:cs="Arial"/>
          <w:color w:val="000000"/>
          <w:sz w:val="18"/>
        </w:rPr>
        <w:t>We also reverse the dismissal of Robles' UCRA claims and remand for proceedings consistent with this opinion.</w:t>
      </w:r>
    </w:p>
  </w:footnote>
  <w:footnote w:id="99">
    <w:p w:rsidR="00E456CD" w:rsidRDefault="00000000">
      <w:pPr>
        <w:pStyle w:val="Normal12"/>
        <w:widowControl w:val="0"/>
        <w:spacing w:before="200" w:line="240" w:lineRule="atLeast"/>
        <w:jc w:val="both"/>
      </w:pPr>
      <w:r>
        <w:rPr>
          <w:rFonts w:ascii="Arial" w:eastAsia="Arial" w:hAnsi="Arial" w:cs="Arial"/>
          <w:color w:val="000000"/>
          <w:sz w:val="18"/>
          <w:vertAlign w:val="superscript"/>
        </w:rPr>
        <w:t>1 </w:t>
      </w:r>
      <w:bookmarkStart w:id="2520" w:name="Bookmark_fnpara_1_9"/>
      <w:bookmarkEnd w:id="2520"/>
      <w:r>
        <w:rPr>
          <w:rFonts w:ascii="Arial" w:eastAsia="Arial" w:hAnsi="Arial" w:cs="Arial"/>
          <w:color w:val="000000"/>
          <w:sz w:val="18"/>
        </w:rPr>
        <w:t xml:space="preserve">The district court refused to use the word "donate" because "individuals are compensated for supplying their plasma" and it was therefore "inaccurate to refer to them as 'donors' or to the process as 'donation.'" We use the term donate and its variants because that term is used in federal regulations covering the process. </w:t>
      </w:r>
      <w:r>
        <w:rPr>
          <w:rFonts w:ascii="Arial" w:eastAsia="Arial" w:hAnsi="Arial" w:cs="Arial"/>
          <w:i/>
          <w:color w:val="000000"/>
          <w:sz w:val="18"/>
        </w:rPr>
        <w:t>See, e.g</w:t>
      </w:r>
      <w:r>
        <w:rPr>
          <w:rFonts w:ascii="Arial" w:eastAsia="Arial" w:hAnsi="Arial" w:cs="Arial"/>
          <w:color w:val="000000"/>
          <w:sz w:val="18"/>
        </w:rPr>
        <w:t>., 21 C.F.R. § 606.100. But, for clarity, CSL Plasma pays any individual who donates plasma.</w:t>
      </w:r>
    </w:p>
  </w:footnote>
  <w:footnote w:id="100">
    <w:p w:rsidR="00E456CD" w:rsidRDefault="00000000">
      <w:pPr>
        <w:pStyle w:val="Normal12"/>
        <w:widowControl w:val="0"/>
        <w:spacing w:before="120" w:line="240" w:lineRule="atLeast"/>
        <w:jc w:val="both"/>
      </w:pPr>
      <w:r>
        <w:rPr>
          <w:rFonts w:ascii="Arial" w:eastAsia="Arial" w:hAnsi="Arial" w:cs="Arial"/>
          <w:color w:val="000000"/>
          <w:sz w:val="18"/>
          <w:vertAlign w:val="superscript"/>
        </w:rPr>
        <w:t>2 </w:t>
      </w:r>
      <w:bookmarkStart w:id="2522" w:name="Bookmark_fnpara_2_8"/>
      <w:bookmarkEnd w:id="2522"/>
      <w:r>
        <w:rPr>
          <w:rFonts w:ascii="Arial" w:eastAsia="Arial" w:hAnsi="Arial" w:cs="Arial"/>
          <w:color w:val="000000"/>
          <w:sz w:val="18"/>
        </w:rPr>
        <w:t>The parties do not dispute the district court's characterization that CSL Plasma sells the plasma. Some of the record evidence indicates that CSL Plasma may keep the plasma within its corporate family rather than selling it to completely unrelated parties. We do not believe the difference is material to the outcome of the case.</w:t>
      </w:r>
    </w:p>
  </w:footnote>
  <w:footnote w:id="101">
    <w:p w:rsidR="00E456CD" w:rsidRDefault="00000000">
      <w:pPr>
        <w:pStyle w:val="Normal12"/>
        <w:widowControl w:val="0"/>
        <w:spacing w:before="120" w:line="240" w:lineRule="atLeast"/>
        <w:jc w:val="both"/>
      </w:pPr>
      <w:r>
        <w:rPr>
          <w:rFonts w:ascii="Arial" w:eastAsia="Arial" w:hAnsi="Arial" w:cs="Arial"/>
          <w:color w:val="000000"/>
          <w:sz w:val="18"/>
          <w:vertAlign w:val="superscript"/>
        </w:rPr>
        <w:t>3 </w:t>
      </w:r>
      <w:bookmarkStart w:id="2524" w:name="Bookmark_fnpara_3_8"/>
      <w:bookmarkEnd w:id="2524"/>
      <w:r>
        <w:rPr>
          <w:rFonts w:ascii="Arial" w:eastAsia="Arial" w:hAnsi="Arial" w:cs="Arial"/>
          <w:color w:val="000000"/>
          <w:sz w:val="18"/>
        </w:rPr>
        <w:t>CSL Plasma argues that it implemented the policies in an effort to comply with the FDA's general regulation that collection centers only allow those in "good health" to donate. 21 C.F.R. § 630.10(a). The parties disagree about the extent to which the particular policies at issue are necessary to comply with the FDA regulations. Obviously, any specific FDA regulations necessary to protect the health of the plasma donors or recipients would override any contrary statutes of general application, such as the ADA. Given our holding in this case, we need not explore this potential dichotomy further.</w:t>
      </w:r>
    </w:p>
  </w:footnote>
  <w:footnote w:id="102">
    <w:p w:rsidR="00E456CD" w:rsidRDefault="00000000">
      <w:pPr>
        <w:pStyle w:val="Normal12"/>
        <w:widowControl w:val="0"/>
        <w:spacing w:before="120" w:line="240" w:lineRule="atLeast"/>
        <w:jc w:val="both"/>
      </w:pPr>
      <w:r>
        <w:rPr>
          <w:rFonts w:ascii="Arial" w:eastAsia="Arial" w:hAnsi="Arial" w:cs="Arial"/>
          <w:color w:val="000000"/>
          <w:sz w:val="18"/>
          <w:vertAlign w:val="superscript"/>
        </w:rPr>
        <w:t>4 </w:t>
      </w:r>
      <w:bookmarkStart w:id="2526" w:name="Bookmark_fnpara_4_8"/>
      <w:bookmarkEnd w:id="2526"/>
      <w:r>
        <w:rPr>
          <w:rFonts w:ascii="Arial" w:eastAsia="Arial" w:hAnsi="Arial" w:cs="Arial"/>
          <w:color w:val="000000"/>
          <w:sz w:val="18"/>
        </w:rPr>
        <w:t>Were we to conclude that the ADA applies here, there would be a fact question as to the reason for his permanent deferral.</w:t>
      </w:r>
    </w:p>
  </w:footnote>
  <w:footnote w:id="103">
    <w:p w:rsidR="00E456CD" w:rsidRDefault="00000000">
      <w:pPr>
        <w:pStyle w:val="Normal12"/>
        <w:widowControl w:val="0"/>
        <w:spacing w:before="120" w:line="240" w:lineRule="atLeast"/>
        <w:jc w:val="both"/>
      </w:pPr>
      <w:r>
        <w:rPr>
          <w:rFonts w:ascii="Arial" w:eastAsia="Arial" w:hAnsi="Arial" w:cs="Arial"/>
          <w:color w:val="000000"/>
          <w:sz w:val="18"/>
          <w:vertAlign w:val="superscript"/>
        </w:rPr>
        <w:t>5 </w:t>
      </w:r>
      <w:bookmarkStart w:id="2528" w:name="Bookmark_fnpara_5_8"/>
      <w:bookmarkEnd w:id="2528"/>
      <w:r>
        <w:rPr>
          <w:rFonts w:ascii="Arial" w:eastAsia="Arial" w:hAnsi="Arial" w:cs="Arial"/>
          <w:color w:val="000000"/>
          <w:sz w:val="18"/>
        </w:rPr>
        <w:t>The record is unclear whether the animal was a "service animal" as that term is used in various statutes and regulations. However, because we view the facts in the light most favorable to the non-moving party and the issue was not specifically briefed by CSL Plasma before the district court, we assume it was a "service animal."</w:t>
      </w:r>
    </w:p>
  </w:footnote>
  <w:footnote w:id="104">
    <w:p w:rsidR="00E456CD" w:rsidRDefault="00000000">
      <w:pPr>
        <w:pStyle w:val="Normal12"/>
        <w:widowControl w:val="0"/>
        <w:spacing w:before="200" w:line="240" w:lineRule="atLeast"/>
        <w:jc w:val="both"/>
      </w:pPr>
      <w:r>
        <w:rPr>
          <w:rFonts w:ascii="Arial" w:eastAsia="Arial" w:hAnsi="Arial" w:cs="Arial"/>
          <w:color w:val="000000"/>
          <w:sz w:val="18"/>
          <w:vertAlign w:val="superscript"/>
        </w:rPr>
        <w:t>6 </w:t>
      </w:r>
      <w:bookmarkStart w:id="2529" w:name="Bookmark_fnpara_6_5"/>
      <w:bookmarkEnd w:id="2529"/>
      <w:r>
        <w:rPr>
          <w:rFonts w:ascii="Arial" w:eastAsia="Arial" w:hAnsi="Arial" w:cs="Arial"/>
          <w:color w:val="000000"/>
          <w:sz w:val="18"/>
        </w:rPr>
        <w:t xml:space="preserve">We offer no opinion here on whether use of a service animal renders a person "disabled" for purposes of the ADA sections in question. </w:t>
      </w:r>
      <w:r>
        <w:rPr>
          <w:rFonts w:ascii="Arial" w:eastAsia="Arial" w:hAnsi="Arial" w:cs="Arial"/>
          <w:i/>
          <w:color w:val="000000"/>
          <w:sz w:val="18"/>
        </w:rPr>
        <w:t>See</w:t>
      </w:r>
      <w:r>
        <w:rPr>
          <w:rFonts w:ascii="Arial" w:eastAsia="Arial" w:hAnsi="Arial" w:cs="Arial"/>
          <w:color w:val="000000"/>
          <w:sz w:val="18"/>
        </w:rPr>
        <w:t xml:space="preserve"> 42 U.S.C. 12102(1) &amp; (3) (defining "disability" and "regarded as" having a disability). We assume arguendo that it does.</w:t>
      </w:r>
    </w:p>
  </w:footnote>
  <w:footnote w:id="105">
    <w:p w:rsidR="00E456CD" w:rsidRDefault="00000000">
      <w:pPr>
        <w:pStyle w:val="Normal12"/>
        <w:widowControl w:val="0"/>
        <w:spacing w:before="120" w:line="240" w:lineRule="atLeast"/>
        <w:jc w:val="both"/>
      </w:pPr>
      <w:r>
        <w:rPr>
          <w:rFonts w:ascii="Arial" w:eastAsia="Arial" w:hAnsi="Arial" w:cs="Arial"/>
          <w:color w:val="000000"/>
          <w:sz w:val="18"/>
          <w:vertAlign w:val="superscript"/>
        </w:rPr>
        <w:t>7 </w:t>
      </w:r>
      <w:bookmarkStart w:id="2541" w:name="Bookmark_fnpara_7_4"/>
      <w:bookmarkEnd w:id="2541"/>
      <w:r>
        <w:rPr>
          <w:rFonts w:ascii="Arial" w:eastAsia="Arial" w:hAnsi="Arial" w:cs="Arial"/>
          <w:color w:val="000000"/>
          <w:sz w:val="18"/>
        </w:rPr>
        <w:t>Of course, this opinion in no way countenances any such discrimination not grounded in safety and health regulations, but our inquiry is limited to the scope of the ADA's coverage here—nothing more, nothing less.</w:t>
      </w:r>
    </w:p>
  </w:footnote>
  <w:footnote w:id="106">
    <w:p w:rsidR="00E456CD" w:rsidRDefault="00000000">
      <w:pPr>
        <w:pStyle w:val="Normal12"/>
        <w:widowControl w:val="0"/>
        <w:spacing w:before="120" w:line="240" w:lineRule="atLeast"/>
        <w:jc w:val="both"/>
      </w:pPr>
      <w:r>
        <w:rPr>
          <w:rFonts w:ascii="Arial" w:eastAsia="Arial" w:hAnsi="Arial" w:cs="Arial"/>
          <w:color w:val="000000"/>
          <w:sz w:val="18"/>
          <w:vertAlign w:val="superscript"/>
        </w:rPr>
        <w:t>8 </w:t>
      </w:r>
      <w:bookmarkStart w:id="2544" w:name="Bookmark_fnpara_8_4"/>
      <w:bookmarkEnd w:id="2544"/>
      <w:r>
        <w:rPr>
          <w:rFonts w:ascii="Arial" w:eastAsia="Arial" w:hAnsi="Arial" w:cs="Arial"/>
          <w:color w:val="000000"/>
          <w:sz w:val="18"/>
        </w:rPr>
        <w:t>The list is as follows: "a laundromat, dry-cleaner, bank, barber shop, beauty shop, travel service, shoe repair service, funeral parlor, gas station, office of an accountant or lawyer, pharmacy, insurance office, professional office of a health care provider, hospital, or other service establishment." 42 U.S.C. § 12181(7)(F).</w:t>
      </w:r>
    </w:p>
  </w:footnote>
  <w:footnote w:id="107">
    <w:p w:rsidR="00E456CD" w:rsidRDefault="00000000">
      <w:pPr>
        <w:pStyle w:val="Normal12"/>
        <w:widowControl w:val="0"/>
        <w:spacing w:before="200" w:line="240" w:lineRule="atLeast"/>
        <w:jc w:val="both"/>
      </w:pPr>
      <w:r>
        <w:rPr>
          <w:rFonts w:ascii="Arial" w:eastAsia="Arial" w:hAnsi="Arial" w:cs="Arial"/>
          <w:color w:val="000000"/>
          <w:sz w:val="18"/>
          <w:vertAlign w:val="superscript"/>
        </w:rPr>
        <w:t>9 </w:t>
      </w:r>
      <w:bookmarkStart w:id="2546" w:name="Bookmark_fnpara_9_3"/>
      <w:bookmarkStart w:id="2547" w:name="Bookmark_I5TK4K2B2SF8970030000400"/>
      <w:bookmarkEnd w:id="2546"/>
      <w:bookmarkEnd w:id="2547"/>
      <w:r>
        <w:rPr>
          <w:rFonts w:ascii="Arial" w:eastAsia="Arial" w:hAnsi="Arial" w:cs="Arial"/>
          <w:color w:val="000000"/>
          <w:sz w:val="18"/>
        </w:rPr>
        <w:t xml:space="preserve">The Department of Justice filed an amicus brief expressing its view that plasma collection centers are "service establishments" under Title III. Neither the DOJ nor the parties contend that the DOJ's views are entitled to </w:t>
      </w:r>
      <w:r>
        <w:rPr>
          <w:rFonts w:ascii="Arial" w:eastAsia="Arial" w:hAnsi="Arial" w:cs="Arial"/>
          <w:i/>
          <w:color w:val="000000"/>
          <w:sz w:val="18"/>
        </w:rPr>
        <w:t>Chevron</w:t>
      </w:r>
      <w:r>
        <w:rPr>
          <w:rFonts w:ascii="Arial" w:eastAsia="Arial" w:hAnsi="Arial" w:cs="Arial"/>
          <w:color w:val="000000"/>
          <w:sz w:val="18"/>
        </w:rPr>
        <w:t xml:space="preserve"> deference. </w:t>
      </w:r>
      <w:bookmarkStart w:id="2548" w:name="Bookmark_I5KTRGC3JGG000558V400001"/>
      <w:bookmarkStart w:id="2549" w:name="Bookmark_I5TK4K2B2SF8980040000400"/>
      <w:bookmarkEnd w:id="2548"/>
      <w:bookmarkEnd w:id="2549"/>
      <w:r>
        <w:rPr>
          <w:rFonts w:ascii="Arial" w:eastAsia="Arial" w:hAnsi="Arial" w:cs="Arial"/>
          <w:color w:val="000000"/>
          <w:sz w:val="18"/>
        </w:rPr>
        <w:t xml:space="preserve">Rightly so, because agencies are not entitled to deference when they assert their statutory interpretations solely through litigation briefs. </w:t>
      </w:r>
      <w:r>
        <w:rPr>
          <w:rFonts w:ascii="Arial" w:eastAsia="Arial" w:hAnsi="Arial" w:cs="Arial"/>
          <w:i/>
          <w:color w:val="000000"/>
          <w:sz w:val="18"/>
        </w:rPr>
        <w:t xml:space="preserve">See </w:t>
      </w:r>
      <w:bookmarkStart w:id="2550" w:name="Bookmark_I5TK4K2B2SF8970020000400"/>
      <w:bookmarkEnd w:id="2550"/>
      <w:r>
        <w:rPr>
          <w:rFonts w:ascii="Arial" w:eastAsia="Arial" w:hAnsi="Arial" w:cs="Arial"/>
          <w:i/>
          <w:color w:val="000000"/>
          <w:sz w:val="18"/>
        </w:rPr>
        <w:t>Christensen v. Harris Cty</w:t>
      </w:r>
      <w:r>
        <w:rPr>
          <w:rFonts w:ascii="Arial" w:eastAsia="Arial" w:hAnsi="Arial" w:cs="Arial"/>
          <w:color w:val="000000"/>
          <w:sz w:val="18"/>
        </w:rPr>
        <w:t xml:space="preserve">., 529 U.S. 576, 587, 120 S. Ct. 1655, 146 L. Ed. 2d 621, (2000); </w:t>
      </w:r>
      <w:bookmarkStart w:id="2551" w:name="Bookmark_I5TK4K2B2SF8970040000400"/>
      <w:bookmarkEnd w:id="2551"/>
      <w:r>
        <w:rPr>
          <w:rFonts w:ascii="Arial" w:eastAsia="Arial" w:hAnsi="Arial" w:cs="Arial"/>
          <w:i/>
          <w:color w:val="000000"/>
          <w:sz w:val="18"/>
        </w:rPr>
        <w:t>Freeman v. Quicken Loans, Inc</w:t>
      </w:r>
      <w:r>
        <w:rPr>
          <w:rFonts w:ascii="Arial" w:eastAsia="Arial" w:hAnsi="Arial" w:cs="Arial"/>
          <w:color w:val="000000"/>
          <w:sz w:val="18"/>
        </w:rPr>
        <w:t xml:space="preserve">., 626 F.3d 799, 805-06 (5th Cir. 2010), </w:t>
      </w:r>
      <w:r>
        <w:rPr>
          <w:rFonts w:ascii="Arial" w:eastAsia="Arial" w:hAnsi="Arial" w:cs="Arial"/>
          <w:i/>
          <w:color w:val="000000"/>
          <w:sz w:val="18"/>
        </w:rPr>
        <w:t>aff'd on other grounds</w:t>
      </w:r>
      <w:r>
        <w:rPr>
          <w:rFonts w:ascii="Arial" w:eastAsia="Arial" w:hAnsi="Arial" w:cs="Arial"/>
          <w:color w:val="000000"/>
          <w:sz w:val="18"/>
        </w:rPr>
        <w:t xml:space="preserve">, 566 U.S. 624, 132 S. Ct. 2034, 182 L. Ed. 2d 955 (2012); </w:t>
      </w:r>
      <w:r>
        <w:rPr>
          <w:rFonts w:ascii="Arial" w:eastAsia="Arial" w:hAnsi="Arial" w:cs="Arial"/>
          <w:i/>
          <w:color w:val="000000"/>
          <w:sz w:val="18"/>
        </w:rPr>
        <w:t xml:space="preserve">see also </w:t>
      </w:r>
      <w:bookmarkStart w:id="2552" w:name="Bookmark_I5TK4K2B2SF8980010000400"/>
      <w:bookmarkEnd w:id="2552"/>
      <w:r>
        <w:rPr>
          <w:rFonts w:ascii="Arial" w:eastAsia="Arial" w:hAnsi="Arial" w:cs="Arial"/>
          <w:i/>
          <w:color w:val="000000"/>
          <w:sz w:val="18"/>
        </w:rPr>
        <w:t>Ball v. Memphis Bar-B-Q Co.</w:t>
      </w:r>
      <w:r>
        <w:rPr>
          <w:rFonts w:ascii="Arial" w:eastAsia="Arial" w:hAnsi="Arial" w:cs="Arial"/>
          <w:color w:val="000000"/>
          <w:sz w:val="18"/>
        </w:rPr>
        <w:t xml:space="preserve">, 228 F.3d 360, 365 (4th Cir. 2000). </w:t>
      </w:r>
      <w:bookmarkStart w:id="2553" w:name="Bookmark_I5TK4K2B2SF8980040000400_2"/>
      <w:bookmarkEnd w:id="2553"/>
      <w:r>
        <w:rPr>
          <w:rFonts w:ascii="Arial" w:eastAsia="Arial" w:hAnsi="Arial" w:cs="Arial"/>
          <w:color w:val="000000"/>
          <w:sz w:val="18"/>
        </w:rPr>
        <w:t xml:space="preserve">At most, the DOJ's views would be entitled to "respect" under </w:t>
      </w:r>
      <w:bookmarkStart w:id="2554" w:name="Bookmark_I5TK4K2B2SF8980030000400"/>
      <w:bookmarkEnd w:id="2554"/>
      <w:r>
        <w:rPr>
          <w:rFonts w:ascii="Arial" w:eastAsia="Arial" w:hAnsi="Arial" w:cs="Arial"/>
          <w:i/>
          <w:color w:val="000000"/>
          <w:sz w:val="18"/>
        </w:rPr>
        <w:t>Skidmore v. Swift &amp; Co.</w:t>
      </w:r>
      <w:r>
        <w:rPr>
          <w:rFonts w:ascii="Arial" w:eastAsia="Arial" w:hAnsi="Arial" w:cs="Arial"/>
          <w:color w:val="000000"/>
          <w:sz w:val="18"/>
        </w:rPr>
        <w:t xml:space="preserve">, 323 U.S. 134, 65 S. Ct. 161, 89 L. Ed. 124 (1944), which is given "only to the extent that [the government's] interpretations have the power to persuade." </w:t>
      </w:r>
      <w:bookmarkStart w:id="2555" w:name="Bookmark_I5TK4K2B2SF8980050000400"/>
      <w:bookmarkEnd w:id="2555"/>
      <w:r>
        <w:rPr>
          <w:rFonts w:ascii="Arial" w:eastAsia="Arial" w:hAnsi="Arial" w:cs="Arial"/>
          <w:i/>
          <w:color w:val="000000"/>
          <w:sz w:val="18"/>
        </w:rPr>
        <w:t>ExxonMobil Pipeline Co. v. United States Dep't of Transp</w:t>
      </w:r>
      <w:r>
        <w:rPr>
          <w:rFonts w:ascii="Arial" w:eastAsia="Arial" w:hAnsi="Arial" w:cs="Arial"/>
          <w:color w:val="000000"/>
          <w:sz w:val="18"/>
        </w:rPr>
        <w:t xml:space="preserve">., 867 F.3d 564, 574 n.4 (5th Cir. 2017) (quoting </w:t>
      </w:r>
      <w:bookmarkStart w:id="2556" w:name="Bookmark_I5TK4K2B28T40K0020000400"/>
      <w:bookmarkEnd w:id="2556"/>
      <w:r>
        <w:rPr>
          <w:rFonts w:ascii="Arial" w:eastAsia="Arial" w:hAnsi="Arial" w:cs="Arial"/>
          <w:i/>
          <w:color w:val="000000"/>
          <w:sz w:val="18"/>
        </w:rPr>
        <w:t>Moore v. Hannon Food Serv., Inc</w:t>
      </w:r>
      <w:r>
        <w:rPr>
          <w:rFonts w:ascii="Arial" w:eastAsia="Arial" w:hAnsi="Arial" w:cs="Arial"/>
          <w:color w:val="000000"/>
          <w:sz w:val="18"/>
        </w:rPr>
        <w:t>., 317 F.3d 489, 497 (5th Cir. 2003)). Because we are unpersuaded by the DOJ's interpretation, we do not defer to it.</w:t>
      </w:r>
    </w:p>
  </w:footnote>
  <w:footnote w:id="108">
    <w:p w:rsidR="00E456CD" w:rsidRDefault="00000000">
      <w:pPr>
        <w:pStyle w:val="Normal12"/>
        <w:widowControl w:val="0"/>
        <w:spacing w:before="120" w:line="240" w:lineRule="atLeast"/>
        <w:jc w:val="both"/>
      </w:pPr>
      <w:r>
        <w:rPr>
          <w:rFonts w:ascii="Arial" w:eastAsia="Arial" w:hAnsi="Arial" w:cs="Arial"/>
          <w:color w:val="000000"/>
          <w:sz w:val="18"/>
          <w:vertAlign w:val="superscript"/>
        </w:rPr>
        <w:t>10 </w:t>
      </w:r>
      <w:bookmarkStart w:id="2557" w:name="Bookmark_fnpara_10_3"/>
      <w:bookmarkEnd w:id="2557"/>
      <w:r>
        <w:rPr>
          <w:rFonts w:ascii="Arial" w:eastAsia="Arial" w:hAnsi="Arial" w:cs="Arial"/>
          <w:color w:val="000000"/>
          <w:sz w:val="18"/>
        </w:rPr>
        <w:t>Silguero and Wolfe argue that CSL Plasma advertises plasma collection as a "service" it gives for customers. How a party advertises the work it performs has no bearing on what Congress meant by the term "service."</w:t>
      </w:r>
    </w:p>
  </w:footnote>
  <w:footnote w:id="109">
    <w:p w:rsidR="00E456CD" w:rsidRDefault="00000000">
      <w:pPr>
        <w:pStyle w:val="Normal12"/>
        <w:widowControl w:val="0"/>
        <w:spacing w:before="200" w:line="240" w:lineRule="atLeast"/>
        <w:jc w:val="both"/>
      </w:pPr>
      <w:r>
        <w:rPr>
          <w:rFonts w:ascii="Arial" w:eastAsia="Arial" w:hAnsi="Arial" w:cs="Arial"/>
          <w:color w:val="000000"/>
          <w:sz w:val="18"/>
          <w:vertAlign w:val="superscript"/>
        </w:rPr>
        <w:t>11 </w:t>
      </w:r>
      <w:bookmarkStart w:id="2559" w:name="Bookmark_fnpara_11_2"/>
      <w:bookmarkEnd w:id="2559"/>
      <w:r>
        <w:rPr>
          <w:rFonts w:ascii="Arial" w:eastAsia="Arial" w:hAnsi="Arial" w:cs="Arial"/>
          <w:color w:val="000000"/>
          <w:sz w:val="18"/>
        </w:rPr>
        <w:t xml:space="preserve">Silguero and Wolfe also rely on Black's Law Dictionary to define "service," but it cuts against their argument. Black's defines "service" to mean work that is usually done in exchange "for a fee," which Silguero and Wolfe concede did not happen here. </w:t>
      </w:r>
      <w:r>
        <w:rPr>
          <w:rFonts w:ascii="Arial" w:eastAsia="Arial" w:hAnsi="Arial" w:cs="Arial"/>
          <w:i/>
          <w:color w:val="000000"/>
          <w:sz w:val="18"/>
        </w:rPr>
        <w:t>Service</w:t>
      </w:r>
      <w:r>
        <w:rPr>
          <w:rFonts w:ascii="Arial" w:eastAsia="Arial" w:hAnsi="Arial" w:cs="Arial"/>
          <w:color w:val="000000"/>
          <w:sz w:val="18"/>
        </w:rPr>
        <w:t xml:space="preserve">, </w:t>
      </w:r>
      <w:r>
        <w:rPr>
          <w:rFonts w:ascii="Arial" w:eastAsia="Arial" w:hAnsi="Arial" w:cs="Arial"/>
          <w:smallCaps/>
          <w:color w:val="000000"/>
          <w:sz w:val="18"/>
        </w:rPr>
        <w:t>Black's Law Dictionary</w:t>
      </w:r>
      <w:r>
        <w:rPr>
          <w:rFonts w:ascii="Arial" w:eastAsia="Arial" w:hAnsi="Arial" w:cs="Arial"/>
          <w:color w:val="000000"/>
          <w:sz w:val="18"/>
        </w:rPr>
        <w:t xml:space="preserve"> (10th ed. 2010).</w:t>
      </w:r>
    </w:p>
  </w:footnote>
  <w:footnote w:id="110">
    <w:p w:rsidR="00E456CD" w:rsidRDefault="00000000">
      <w:pPr>
        <w:pStyle w:val="Normal12"/>
        <w:widowControl w:val="0"/>
        <w:spacing w:before="200" w:line="240" w:lineRule="atLeast"/>
        <w:jc w:val="both"/>
      </w:pPr>
      <w:r>
        <w:rPr>
          <w:rFonts w:ascii="Arial" w:eastAsia="Arial" w:hAnsi="Arial" w:cs="Arial"/>
          <w:color w:val="000000"/>
          <w:sz w:val="18"/>
          <w:vertAlign w:val="superscript"/>
        </w:rPr>
        <w:t>12 </w:t>
      </w:r>
      <w:bookmarkStart w:id="2566" w:name="Bookmark_fnpara_12_2"/>
      <w:bookmarkStart w:id="2567" w:name="Bookmark_I5KTRGC47M6000558V400005"/>
      <w:bookmarkStart w:id="2568" w:name="Bookmark_I5KTRGC4CFB000558V400006"/>
      <w:bookmarkStart w:id="2569" w:name="Bookmark_I5TK4K2B2D6N610040000400"/>
      <w:bookmarkEnd w:id="2566"/>
      <w:bookmarkEnd w:id="2567"/>
      <w:bookmarkEnd w:id="2568"/>
      <w:bookmarkEnd w:id="2569"/>
      <w:r>
        <w:rPr>
          <w:rFonts w:ascii="Arial" w:eastAsia="Arial" w:hAnsi="Arial" w:cs="Arial"/>
          <w:color w:val="000000"/>
          <w:sz w:val="18"/>
        </w:rPr>
        <w:t xml:space="preserve">Silguero and Wolfe emphasize the definition for the word "service" that we have used in other contexts. </w:t>
      </w:r>
      <w:r>
        <w:rPr>
          <w:rFonts w:ascii="Arial" w:eastAsia="Arial" w:hAnsi="Arial" w:cs="Arial"/>
          <w:i/>
          <w:color w:val="000000"/>
          <w:sz w:val="18"/>
        </w:rPr>
        <w:t xml:space="preserve">See </w:t>
      </w:r>
      <w:bookmarkStart w:id="2570" w:name="Bookmark_I5TK4K2B2D6N610030000400"/>
      <w:bookmarkEnd w:id="2570"/>
      <w:r>
        <w:rPr>
          <w:rFonts w:ascii="Arial" w:eastAsia="Arial" w:hAnsi="Arial" w:cs="Arial"/>
          <w:i/>
          <w:color w:val="000000"/>
          <w:sz w:val="18"/>
        </w:rPr>
        <w:t>Frame v. City of Arlington</w:t>
      </w:r>
      <w:r>
        <w:rPr>
          <w:rFonts w:ascii="Arial" w:eastAsia="Arial" w:hAnsi="Arial" w:cs="Arial"/>
          <w:color w:val="000000"/>
          <w:sz w:val="18"/>
        </w:rPr>
        <w:t xml:space="preserve">, 657 F.3d 215, 226 (5th Cir. 2011) (en banc) (noting that "service" under Title II of the ADA generally means "the performance of work commanded or paid for by another," or "an act done for the benefit or at the command of another"); </w:t>
      </w:r>
      <w:bookmarkStart w:id="2571" w:name="Bookmark_I5TK4K2B2D6N610050000400"/>
      <w:bookmarkEnd w:id="2571"/>
      <w:r>
        <w:rPr>
          <w:rFonts w:ascii="Arial" w:eastAsia="Arial" w:hAnsi="Arial" w:cs="Arial"/>
          <w:i/>
          <w:color w:val="000000"/>
          <w:sz w:val="18"/>
        </w:rPr>
        <w:t>Hodges v. Delta Airlines, Inc</w:t>
      </w:r>
      <w:r>
        <w:rPr>
          <w:rFonts w:ascii="Arial" w:eastAsia="Arial" w:hAnsi="Arial" w:cs="Arial"/>
          <w:color w:val="000000"/>
          <w:sz w:val="18"/>
        </w:rPr>
        <w:t>., 44 F.3d 334, 336 (5th Cir. 1995) (en banc) (noting that "service" under a provision of the Airline Deregulation Act generally means "a bargained-for or anticipated provision of labor from one party to another"). We do not rely on the definitions of "service" in other contexts because differing contexts can create different meanings. But we note that even if we were to rely on those definitions, they would reinforce the definition we have identified here.</w:t>
      </w:r>
    </w:p>
  </w:footnote>
  <w:footnote w:id="111">
    <w:p w:rsidR="00E456CD" w:rsidRDefault="00000000">
      <w:pPr>
        <w:pStyle w:val="Normal12"/>
        <w:widowControl w:val="0"/>
        <w:spacing w:before="120" w:line="240" w:lineRule="atLeast"/>
        <w:jc w:val="both"/>
      </w:pPr>
      <w:r>
        <w:rPr>
          <w:rFonts w:ascii="Arial" w:eastAsia="Arial" w:hAnsi="Arial" w:cs="Arial"/>
          <w:color w:val="000000"/>
          <w:sz w:val="18"/>
          <w:vertAlign w:val="superscript"/>
        </w:rPr>
        <w:t>13 </w:t>
      </w:r>
      <w:bookmarkStart w:id="2574" w:name="Bookmark_fnpara_13_2"/>
      <w:bookmarkEnd w:id="2574"/>
      <w:r>
        <w:rPr>
          <w:rFonts w:ascii="Arial" w:eastAsia="Arial" w:hAnsi="Arial" w:cs="Arial"/>
          <w:color w:val="000000"/>
          <w:sz w:val="18"/>
        </w:rPr>
        <w:t>We need not decide whether a "service" cannot produce a tangible good. If anything, it supports our conclusion that plasma collection is not a "service" because the goal of the process is to create marketable plasma. But the parties have not focused their briefing on this point, and we therefore need not address it.</w:t>
      </w:r>
    </w:p>
  </w:footnote>
  <w:footnote w:id="112">
    <w:p w:rsidR="00E456CD" w:rsidRDefault="00000000">
      <w:pPr>
        <w:pStyle w:val="Normal12"/>
        <w:widowControl w:val="0"/>
        <w:spacing w:before="200" w:line="240" w:lineRule="atLeast"/>
        <w:jc w:val="both"/>
      </w:pPr>
      <w:r>
        <w:rPr>
          <w:rFonts w:ascii="Arial" w:eastAsia="Arial" w:hAnsi="Arial" w:cs="Arial"/>
          <w:color w:val="000000"/>
          <w:sz w:val="18"/>
          <w:vertAlign w:val="superscript"/>
        </w:rPr>
        <w:t>14 </w:t>
      </w:r>
      <w:bookmarkStart w:id="2591" w:name="Bookmark_fnpara_14_1"/>
      <w:bookmarkEnd w:id="2591"/>
      <w:r>
        <w:rPr>
          <w:rFonts w:ascii="Arial" w:eastAsia="Arial" w:hAnsi="Arial" w:cs="Arial"/>
          <w:color w:val="000000"/>
          <w:sz w:val="18"/>
        </w:rPr>
        <w:t xml:space="preserve">The legislative history argued by Silguero and Wolfe does not support their conclusion. They point out only that a previous version of the bill wrote the catchall as "other </w:t>
      </w:r>
      <w:r>
        <w:rPr>
          <w:rFonts w:ascii="Arial" w:eastAsia="Arial" w:hAnsi="Arial" w:cs="Arial"/>
          <w:i/>
          <w:color w:val="000000"/>
          <w:sz w:val="18"/>
        </w:rPr>
        <w:t>similar</w:t>
      </w:r>
      <w:r>
        <w:rPr>
          <w:rFonts w:ascii="Arial" w:eastAsia="Arial" w:hAnsi="Arial" w:cs="Arial"/>
          <w:color w:val="000000"/>
          <w:sz w:val="18"/>
        </w:rPr>
        <w:t xml:space="preserve"> places." </w:t>
      </w:r>
      <w:r>
        <w:rPr>
          <w:rFonts w:ascii="Arial" w:eastAsia="Arial" w:hAnsi="Arial" w:cs="Arial"/>
          <w:i/>
          <w:color w:val="000000"/>
          <w:sz w:val="18"/>
        </w:rPr>
        <w:t>See</w:t>
      </w:r>
      <w:r>
        <w:rPr>
          <w:rFonts w:ascii="Arial" w:eastAsia="Arial" w:hAnsi="Arial" w:cs="Arial"/>
          <w:color w:val="000000"/>
          <w:sz w:val="18"/>
        </w:rPr>
        <w:t xml:space="preserve"> H.R. Conf. Rep. No. 101-596, at 75 (1990). The House Report indicates the word "similar" was removed because plaintiffs would "not have to prove that the entity being charged with discrimination is similar to the examples listed." H.R. Rep. No. 101-485, pt. 3, at 54 (1990). Putting a finer point on it, the Report explained that "the person must show that the entity falls within the overall category. For example, it is not necessary to show that a jewelry store is like a clothing store. It is sufficient that the jewelry store sells items to the public." </w:t>
      </w:r>
      <w:r>
        <w:rPr>
          <w:rFonts w:ascii="Arial" w:eastAsia="Arial" w:hAnsi="Arial" w:cs="Arial"/>
          <w:i/>
          <w:color w:val="000000"/>
          <w:sz w:val="18"/>
        </w:rPr>
        <w:t>Id.</w:t>
      </w:r>
      <w:r>
        <w:rPr>
          <w:rFonts w:ascii="Arial" w:eastAsia="Arial" w:hAnsi="Arial" w:cs="Arial"/>
          <w:color w:val="000000"/>
          <w:sz w:val="18"/>
        </w:rPr>
        <w:t xml:space="preserve"> This example shows that Congress was concerned about unduly limiting the catchalls to be limited to variants of the enumerated items. Here, we do not use ejusdem generis to limit "service establishments" to certain types of services; we use it to determine what a "service" is.</w:t>
      </w:r>
    </w:p>
  </w:footnote>
  <w:footnote w:id="113">
    <w:p w:rsidR="00E456CD" w:rsidRDefault="00000000">
      <w:pPr>
        <w:pStyle w:val="Normal12"/>
        <w:widowControl w:val="0"/>
        <w:spacing w:before="120" w:line="240" w:lineRule="atLeast"/>
        <w:jc w:val="both"/>
      </w:pPr>
      <w:r>
        <w:rPr>
          <w:rFonts w:ascii="Arial" w:eastAsia="Arial" w:hAnsi="Arial" w:cs="Arial"/>
          <w:color w:val="000000"/>
          <w:sz w:val="18"/>
          <w:vertAlign w:val="superscript"/>
        </w:rPr>
        <w:t>15 </w:t>
      </w:r>
      <w:bookmarkStart w:id="2602" w:name="Bookmark_fnpara_15_1"/>
      <w:bookmarkEnd w:id="2602"/>
      <w:r>
        <w:rPr>
          <w:rFonts w:ascii="Arial" w:eastAsia="Arial" w:hAnsi="Arial" w:cs="Arial"/>
          <w:color w:val="000000"/>
          <w:sz w:val="18"/>
        </w:rPr>
        <w:t>In passing, Silguero and Wolfe also contend that CSL Plasma "offers discrete medical services even apart from evaluation and medical extraction," including "advice about how to improve hematocrit and protein levels" and "donors' blood pressure." These supposed services do not change the outcome in this case. First, Silguero and Wolfe have not contended that they sought but were denied these supposed services. Indeed, nothing in their complaints suggests that they want to avail themselves of these supposed services rather than donate. Second, these were not services but were instead incidental to the donation process. They are no more "services" than is a background check for a job application.</w:t>
      </w:r>
    </w:p>
  </w:footnote>
  <w:footnote w:id="114">
    <w:p w:rsidR="00E456CD" w:rsidRDefault="00000000">
      <w:pPr>
        <w:pStyle w:val="Normal12"/>
        <w:widowControl w:val="0"/>
        <w:spacing w:before="200" w:line="240" w:lineRule="atLeast"/>
        <w:jc w:val="both"/>
      </w:pPr>
      <w:r>
        <w:rPr>
          <w:rFonts w:ascii="Arial" w:eastAsia="Arial" w:hAnsi="Arial" w:cs="Arial"/>
          <w:color w:val="000000"/>
          <w:sz w:val="18"/>
          <w:vertAlign w:val="superscript"/>
        </w:rPr>
        <w:t>16 </w:t>
      </w:r>
      <w:bookmarkStart w:id="2611" w:name="Bookmark_fnpara_16_1"/>
      <w:bookmarkEnd w:id="2611"/>
      <w:r>
        <w:rPr>
          <w:rFonts w:ascii="Arial" w:eastAsia="Arial" w:hAnsi="Arial" w:cs="Arial"/>
          <w:color w:val="000000"/>
          <w:sz w:val="18"/>
        </w:rPr>
        <w:t xml:space="preserve">This conclusion is consistent with </w:t>
      </w:r>
      <w:r>
        <w:rPr>
          <w:rFonts w:ascii="Arial" w:eastAsia="Arial" w:hAnsi="Arial" w:cs="Arial"/>
          <w:i/>
          <w:color w:val="000000"/>
          <w:sz w:val="18"/>
        </w:rPr>
        <w:t>PGA Tour, Inc</w:t>
      </w:r>
      <w:r>
        <w:rPr>
          <w:rFonts w:ascii="Arial" w:eastAsia="Arial" w:hAnsi="Arial" w:cs="Arial"/>
          <w:color w:val="000000"/>
          <w:sz w:val="18"/>
        </w:rPr>
        <w:t xml:space="preserve">., where the Supreme Court determined that a golfer entering a tournament open to the public was protected by Title III partly because the golfer paid $3,000 to enter the tournament. </w:t>
      </w:r>
      <w:r>
        <w:rPr>
          <w:rFonts w:ascii="Arial" w:eastAsia="Arial" w:hAnsi="Arial" w:cs="Arial"/>
          <w:i/>
          <w:color w:val="000000"/>
          <w:sz w:val="18"/>
        </w:rPr>
        <w:t>See</w:t>
      </w:r>
      <w:r>
        <w:rPr>
          <w:rFonts w:ascii="Arial" w:eastAsia="Arial" w:hAnsi="Arial" w:cs="Arial"/>
          <w:color w:val="000000"/>
          <w:sz w:val="18"/>
        </w:rPr>
        <w:t xml:space="preserve"> </w:t>
      </w:r>
      <w:bookmarkStart w:id="2612" w:name="Bookmark_I5TK4K2B2D6N620030000400"/>
      <w:bookmarkEnd w:id="2612"/>
      <w:r>
        <w:rPr>
          <w:rFonts w:ascii="Arial" w:eastAsia="Arial" w:hAnsi="Arial" w:cs="Arial"/>
          <w:color w:val="000000"/>
          <w:sz w:val="18"/>
        </w:rPr>
        <w:t>532 U.S. at 679.</w:t>
      </w:r>
    </w:p>
  </w:footnote>
  <w:footnote w:id="115">
    <w:p w:rsidR="00E456CD" w:rsidRDefault="00000000">
      <w:pPr>
        <w:pStyle w:val="Normal12"/>
        <w:widowControl w:val="0"/>
        <w:spacing w:before="120" w:line="240" w:lineRule="atLeast"/>
        <w:jc w:val="both"/>
      </w:pPr>
      <w:r>
        <w:rPr>
          <w:rFonts w:ascii="Arial" w:eastAsia="Arial" w:hAnsi="Arial" w:cs="Arial"/>
          <w:color w:val="000000"/>
          <w:sz w:val="18"/>
          <w:vertAlign w:val="superscript"/>
        </w:rPr>
        <w:t>17 </w:t>
      </w:r>
      <w:bookmarkStart w:id="2643" w:name="Bookmark_fnpara_17_1"/>
      <w:bookmarkEnd w:id="2643"/>
      <w:r>
        <w:rPr>
          <w:rFonts w:ascii="Arial" w:eastAsia="Arial" w:hAnsi="Arial" w:cs="Arial"/>
          <w:color w:val="000000"/>
          <w:sz w:val="18"/>
        </w:rPr>
        <w:t>The stipulated facts are set forth in the facts section above, and the style of the case is at the beginning of this opinion.</w:t>
      </w:r>
    </w:p>
  </w:footnote>
  <w:footnote w:id="116">
    <w:p w:rsidR="00E456CD" w:rsidRDefault="00000000">
      <w:pPr>
        <w:pStyle w:val="Normal13"/>
        <w:widowControl w:val="0"/>
        <w:spacing w:before="120" w:line="240" w:lineRule="atLeast"/>
        <w:jc w:val="both"/>
      </w:pPr>
      <w:r>
        <w:rPr>
          <w:rFonts w:ascii="Arial" w:eastAsia="Arial" w:hAnsi="Arial" w:cs="Arial"/>
          <w:color w:val="000000"/>
          <w:sz w:val="18"/>
          <w:vertAlign w:val="superscript"/>
        </w:rPr>
        <w:t>1 </w:t>
      </w:r>
      <w:bookmarkStart w:id="2686" w:name="Bookmark_fnpara_1_10"/>
      <w:bookmarkEnd w:id="2686"/>
      <w:r>
        <w:rPr>
          <w:rFonts w:ascii="Arial" w:eastAsia="Arial" w:hAnsi="Arial" w:cs="Arial"/>
          <w:color w:val="000000"/>
          <w:sz w:val="18"/>
        </w:rPr>
        <w:t>An IPE is a signed agreement between a client and MRS which identifies the client's employment goal and the services required to achieve that goal.</w:t>
      </w:r>
    </w:p>
  </w:footnote>
  <w:footnote w:id="117">
    <w:p w:rsidR="00E456CD" w:rsidRDefault="00000000">
      <w:pPr>
        <w:pStyle w:val="Normal14"/>
        <w:widowControl w:val="0"/>
        <w:spacing w:before="120" w:line="240" w:lineRule="atLeast"/>
        <w:jc w:val="both"/>
      </w:pPr>
      <w:r>
        <w:rPr>
          <w:rFonts w:ascii="Arial" w:eastAsia="Arial" w:hAnsi="Arial" w:cs="Arial"/>
          <w:color w:val="000000"/>
          <w:sz w:val="18"/>
          <w:vertAlign w:val="superscript"/>
        </w:rPr>
        <w:t>1 </w:t>
      </w:r>
      <w:bookmarkStart w:id="2719" w:name="Bookmark_fnpara_1_11"/>
      <w:bookmarkEnd w:id="2719"/>
      <w:r>
        <w:rPr>
          <w:rFonts w:ascii="Arial" w:eastAsia="Arial" w:hAnsi="Arial" w:cs="Arial"/>
          <w:color w:val="000000"/>
          <w:sz w:val="18"/>
        </w:rPr>
        <w:t>The Honorable Richard H. Kyle, United States Judge for the District of Minnesota.</w:t>
      </w:r>
    </w:p>
  </w:footnote>
  <w:footnote w:id="118">
    <w:p w:rsidR="00E456CD" w:rsidRDefault="00000000">
      <w:pPr>
        <w:pStyle w:val="Normal15"/>
        <w:widowControl w:val="0"/>
        <w:spacing w:before="120" w:line="240" w:lineRule="atLeast"/>
        <w:jc w:val="both"/>
      </w:pPr>
      <w:r>
        <w:rPr>
          <w:rFonts w:ascii="Arial" w:eastAsia="Arial" w:hAnsi="Arial" w:cs="Arial"/>
          <w:color w:val="000000"/>
          <w:sz w:val="18"/>
          <w:vertAlign w:val="superscript"/>
        </w:rPr>
        <w:t>1 </w:t>
      </w:r>
      <w:bookmarkStart w:id="2842" w:name="Bookmark_fnpara_1_12"/>
      <w:bookmarkEnd w:id="2842"/>
      <w:r>
        <w:rPr>
          <w:rFonts w:ascii="Arial" w:eastAsia="Arial" w:hAnsi="Arial" w:cs="Arial"/>
          <w:color w:val="000000"/>
          <w:sz w:val="18"/>
        </w:rPr>
        <w:t>Service units are a calculation metric utilized by Grant Road to estimate usage of water in gallons per day for the facility.</w:t>
      </w:r>
    </w:p>
  </w:footnote>
  <w:footnote w:id="119">
    <w:p w:rsidR="00E456CD" w:rsidRDefault="00000000">
      <w:pPr>
        <w:pStyle w:val="Normal15"/>
        <w:widowControl w:val="0"/>
        <w:spacing w:before="200" w:line="240" w:lineRule="atLeast"/>
        <w:jc w:val="both"/>
      </w:pPr>
      <w:r>
        <w:rPr>
          <w:rFonts w:ascii="Arial" w:eastAsia="Arial" w:hAnsi="Arial" w:cs="Arial"/>
          <w:color w:val="000000"/>
          <w:sz w:val="18"/>
          <w:vertAlign w:val="superscript"/>
        </w:rPr>
        <w:t>2 </w:t>
      </w:r>
      <w:bookmarkStart w:id="2851" w:name="Bookmark_fnpara_2_9"/>
      <w:bookmarkStart w:id="2852" w:name="Bookmark_I5T9WS1P2SF89X0020000400"/>
      <w:bookmarkEnd w:id="2851"/>
      <w:bookmarkEnd w:id="2852"/>
      <w:r>
        <w:rPr>
          <w:rFonts w:ascii="Arial" w:eastAsia="Arial" w:hAnsi="Arial" w:cs="Arial"/>
          <w:color w:val="000000"/>
          <w:sz w:val="18"/>
        </w:rPr>
        <w:t xml:space="preserve">On appeal, Providence does not raise any arguments relating to its Fourteenth Amendment claim. Thus, the issue is waived. </w:t>
      </w:r>
      <w:r>
        <w:rPr>
          <w:rFonts w:ascii="Arial" w:eastAsia="Arial" w:hAnsi="Arial" w:cs="Arial"/>
          <w:i/>
          <w:color w:val="000000"/>
          <w:sz w:val="18"/>
        </w:rPr>
        <w:t xml:space="preserve">See </w:t>
      </w:r>
      <w:bookmarkStart w:id="2853" w:name="Bookmark_I5T9WS1P2SF89X0010000400"/>
      <w:bookmarkEnd w:id="2853"/>
      <w:r>
        <w:rPr>
          <w:rFonts w:ascii="Arial" w:eastAsia="Arial" w:hAnsi="Arial" w:cs="Arial"/>
          <w:i/>
          <w:color w:val="000000"/>
          <w:sz w:val="18"/>
        </w:rPr>
        <w:t>Cinel v. Connick</w:t>
      </w:r>
      <w:r>
        <w:rPr>
          <w:rFonts w:ascii="Arial" w:eastAsia="Arial" w:hAnsi="Arial" w:cs="Arial"/>
          <w:color w:val="000000"/>
          <w:sz w:val="18"/>
        </w:rPr>
        <w:t>, 15 F.3d 1338, 1345 (5th Cir. 1994) ("An appellant abandons all issues not raised and argued in its initial brief on appeal . . . A party who inadequately briefs an issue is considered to have abandoned the claim.").</w:t>
      </w:r>
    </w:p>
    <w:p w:rsidR="00E456CD" w:rsidRDefault="00000000">
      <w:pPr>
        <w:pStyle w:val="Normal15"/>
        <w:widowControl w:val="0"/>
        <w:spacing w:before="120" w:line="240" w:lineRule="atLeast"/>
        <w:jc w:val="both"/>
      </w:pPr>
      <w:bookmarkStart w:id="2854" w:name="Bookmark_fnpara_3_9"/>
      <w:bookmarkEnd w:id="2854"/>
      <w:r>
        <w:rPr>
          <w:rFonts w:ascii="Arial" w:eastAsia="Arial" w:hAnsi="Arial" w:cs="Arial"/>
          <w:color w:val="000000"/>
          <w:sz w:val="18"/>
        </w:rPr>
        <w:t>Moreover, because of the similarities between the ADA, FHA, and TFHA, this opinion will address the claims relating to these statutes collectively. The slight differences in the respective statutes do not impact the analysis for this case.</w:t>
      </w:r>
    </w:p>
  </w:footnote>
  <w:footnote w:id="120">
    <w:p w:rsidR="00E456CD" w:rsidRDefault="00000000">
      <w:pPr>
        <w:pStyle w:val="Normal15"/>
        <w:widowControl w:val="0"/>
        <w:spacing w:before="120" w:line="240" w:lineRule="atLeast"/>
        <w:jc w:val="both"/>
      </w:pPr>
      <w:r>
        <w:rPr>
          <w:rFonts w:ascii="Arial" w:eastAsia="Arial" w:hAnsi="Arial" w:cs="Arial"/>
          <w:color w:val="000000"/>
          <w:sz w:val="18"/>
          <w:vertAlign w:val="superscript"/>
        </w:rPr>
        <w:t>3 </w:t>
      </w:r>
      <w:bookmarkStart w:id="2874" w:name="Bookmark_fnpara_4_9"/>
      <w:bookmarkEnd w:id="2874"/>
      <w:r>
        <w:rPr>
          <w:rFonts w:ascii="Arial" w:eastAsia="Arial" w:hAnsi="Arial" w:cs="Arial"/>
          <w:color w:val="000000"/>
          <w:sz w:val="18"/>
        </w:rPr>
        <w:t>Grant Road raised this argument before the district court and, therefore, preserved it on appeal.</w:t>
      </w:r>
    </w:p>
  </w:footnote>
  <w:footnote w:id="121">
    <w:p w:rsidR="00E456CD" w:rsidRDefault="00000000">
      <w:pPr>
        <w:pStyle w:val="Normal16"/>
        <w:widowControl w:val="0"/>
        <w:spacing w:before="120" w:line="240" w:lineRule="atLeast"/>
        <w:jc w:val="both"/>
      </w:pPr>
      <w:r>
        <w:rPr>
          <w:rFonts w:ascii="Arial" w:eastAsia="Arial" w:hAnsi="Arial" w:cs="Arial"/>
          <w:color w:val="000000"/>
          <w:sz w:val="18"/>
          <w:vertAlign w:val="superscript"/>
        </w:rPr>
        <w:t>* </w:t>
      </w:r>
      <w:bookmarkStart w:id="2968" w:name="Bookmark_fnpara_1_13"/>
      <w:bookmarkEnd w:id="2968"/>
      <w:r>
        <w:rPr>
          <w:rFonts w:ascii="Arial" w:eastAsia="Arial" w:hAnsi="Arial" w:cs="Arial"/>
          <w:color w:val="000000"/>
          <w:sz w:val="18"/>
        </w:rPr>
        <w:t>Honorable C. Ashley Royal, Judge for the United States District Court for the Middle District of Georgia, sitting by designation.</w:t>
      </w:r>
    </w:p>
  </w:footnote>
  <w:footnote w:id="122">
    <w:p w:rsidR="00E456CD" w:rsidRDefault="00000000">
      <w:pPr>
        <w:pStyle w:val="Normal16"/>
        <w:widowControl w:val="0"/>
        <w:spacing w:before="200" w:line="240" w:lineRule="atLeast"/>
        <w:jc w:val="both"/>
      </w:pPr>
      <w:r>
        <w:rPr>
          <w:rFonts w:ascii="Arial" w:eastAsia="Arial" w:hAnsi="Arial" w:cs="Arial"/>
          <w:color w:val="000000"/>
          <w:sz w:val="18"/>
          <w:vertAlign w:val="superscript"/>
        </w:rPr>
        <w:t>1 </w:t>
      </w:r>
      <w:bookmarkStart w:id="2979" w:name="Bookmark_fnpara_2_10"/>
      <w:bookmarkEnd w:id="2979"/>
      <w:r>
        <w:rPr>
          <w:rFonts w:ascii="Arial" w:eastAsia="Arial" w:hAnsi="Arial" w:cs="Arial"/>
          <w:color w:val="000000"/>
          <w:sz w:val="18"/>
          <w:u w:val="single"/>
        </w:rPr>
        <w:t>See</w:t>
      </w:r>
      <w:r>
        <w:rPr>
          <w:rFonts w:ascii="Arial" w:eastAsia="Arial" w:hAnsi="Arial" w:cs="Arial"/>
          <w:color w:val="000000"/>
          <w:sz w:val="18"/>
        </w:rPr>
        <w:t xml:space="preserve"> Themed Entm't Ass'n, </w:t>
      </w:r>
      <w:r>
        <w:rPr>
          <w:rFonts w:ascii="Arial" w:eastAsia="Arial" w:hAnsi="Arial" w:cs="Arial"/>
          <w:color w:val="000000"/>
          <w:sz w:val="18"/>
          <w:u w:val="single"/>
        </w:rPr>
        <w:t>Theme Index and Museum Index 2017: Global Attractions Attendance Report</w:t>
      </w:r>
      <w:r>
        <w:rPr>
          <w:rFonts w:ascii="Arial" w:eastAsia="Arial" w:hAnsi="Arial" w:cs="Arial"/>
          <w:color w:val="000000"/>
          <w:sz w:val="18"/>
        </w:rPr>
        <w:t xml:space="preserve"> 10 (2018).</w:t>
      </w:r>
    </w:p>
  </w:footnote>
  <w:footnote w:id="123">
    <w:p w:rsidR="00E456CD" w:rsidRDefault="00000000">
      <w:pPr>
        <w:pStyle w:val="Normal16"/>
        <w:widowControl w:val="0"/>
        <w:spacing w:before="120" w:line="240" w:lineRule="atLeast"/>
        <w:jc w:val="both"/>
      </w:pPr>
      <w:r>
        <w:rPr>
          <w:rFonts w:ascii="Arial" w:eastAsia="Arial" w:hAnsi="Arial" w:cs="Arial"/>
          <w:color w:val="000000"/>
          <w:sz w:val="18"/>
          <w:vertAlign w:val="superscript"/>
        </w:rPr>
        <w:t>2 </w:t>
      </w:r>
      <w:bookmarkStart w:id="2981" w:name="Bookmark_fnpara_3_10"/>
      <w:bookmarkEnd w:id="2981"/>
      <w:r>
        <w:rPr>
          <w:rFonts w:ascii="Arial" w:eastAsia="Arial" w:hAnsi="Arial" w:cs="Arial"/>
          <w:color w:val="000000"/>
          <w:sz w:val="18"/>
        </w:rPr>
        <w:t>Disney's Animal Kingdom, the largest park, spreads across 580 acres; Epcot covers 300 acres; Disney's Hollywood Studios occupies 135 acres; the Magic Kingdom takes up 107 acres; Disneyland packs its attractions into 85 acres; and Disney California Adventure, the smallest park, is 72 acres. Even at the smaller parks with the highest density of rides, guests can expect to walk several miles per day getting around the park. Disney has a robust program for guests with mobility issues, including motorized vehicles.</w:t>
      </w:r>
    </w:p>
  </w:footnote>
  <w:footnote w:id="124">
    <w:p w:rsidR="00E456CD" w:rsidRDefault="00000000">
      <w:pPr>
        <w:pStyle w:val="Normal16"/>
        <w:widowControl w:val="0"/>
        <w:spacing w:before="120" w:line="240" w:lineRule="atLeast"/>
        <w:jc w:val="both"/>
      </w:pPr>
      <w:r>
        <w:rPr>
          <w:rFonts w:ascii="Arial" w:eastAsia="Arial" w:hAnsi="Arial" w:cs="Arial"/>
          <w:color w:val="000000"/>
          <w:sz w:val="18"/>
          <w:vertAlign w:val="superscript"/>
        </w:rPr>
        <w:t>3 </w:t>
      </w:r>
      <w:bookmarkStart w:id="2994" w:name="Bookmark_fnpara_4_10"/>
      <w:bookmarkEnd w:id="2994"/>
      <w:r>
        <w:rPr>
          <w:rFonts w:ascii="Arial" w:eastAsia="Arial" w:hAnsi="Arial" w:cs="Arial"/>
          <w:color w:val="000000"/>
          <w:sz w:val="18"/>
        </w:rPr>
        <w:t>The record does not contain written guidelines of how Guest Relations exercise their discretion when issuing Re-ad Passes. Disney trains Guest Relations cast members to work with disabled guests, determine how long their park visit will be, help with planning, and evaluate whether Re-ad Passes are necessary.</w:t>
      </w:r>
    </w:p>
  </w:footnote>
  <w:footnote w:id="125">
    <w:p w:rsidR="00E456CD" w:rsidRDefault="00000000">
      <w:pPr>
        <w:pStyle w:val="Normal16"/>
        <w:widowControl w:val="0"/>
        <w:spacing w:before="120" w:line="240" w:lineRule="atLeast"/>
        <w:jc w:val="both"/>
      </w:pPr>
      <w:r>
        <w:rPr>
          <w:rFonts w:ascii="Arial" w:eastAsia="Arial" w:hAnsi="Arial" w:cs="Arial"/>
          <w:color w:val="000000"/>
          <w:sz w:val="18"/>
          <w:vertAlign w:val="superscript"/>
        </w:rPr>
        <w:t>4 </w:t>
      </w:r>
      <w:bookmarkStart w:id="3017" w:name="Bookmark_fnpara_5_9"/>
      <w:bookmarkEnd w:id="3017"/>
      <w:r>
        <w:rPr>
          <w:rFonts w:ascii="Arial" w:eastAsia="Arial" w:hAnsi="Arial" w:cs="Arial"/>
          <w:color w:val="000000"/>
          <w:sz w:val="18"/>
        </w:rPr>
        <w:t>The 36 plaintiffs are in 30 families, hence 30 lawsuits. At oral argument, plaintiffs' counsel made clear that no plaintiff is high functioning and no plaintiff could be described as moderately autistic. Four individual plaintiffs do not have an autism diagnosis but are "severely challenged in other ways." Plaintiffs in the separate lawsuits who were more high functioning did not appeal.</w:t>
      </w:r>
    </w:p>
  </w:footnote>
  <w:footnote w:id="126">
    <w:p w:rsidR="00E456CD" w:rsidRDefault="00000000">
      <w:pPr>
        <w:pStyle w:val="Normal16"/>
        <w:widowControl w:val="0"/>
        <w:spacing w:before="120" w:line="240" w:lineRule="atLeast"/>
        <w:jc w:val="both"/>
      </w:pPr>
      <w:r>
        <w:rPr>
          <w:rFonts w:ascii="Arial" w:eastAsia="Arial" w:hAnsi="Arial" w:cs="Arial"/>
          <w:color w:val="000000"/>
          <w:sz w:val="18"/>
          <w:vertAlign w:val="superscript"/>
        </w:rPr>
        <w:t>5 </w:t>
      </w:r>
      <w:bookmarkStart w:id="3042" w:name="Bookmark_fnpara_6_6"/>
      <w:bookmarkEnd w:id="3042"/>
      <w:r>
        <w:rPr>
          <w:rFonts w:ascii="Arial" w:eastAsia="Arial" w:hAnsi="Arial" w:cs="Arial"/>
          <w:color w:val="000000"/>
          <w:sz w:val="18"/>
        </w:rPr>
        <w:t>While Disney initially moved to exclude the testimony and report of plaintiffs' expert, there was no motion to strike the affidavits or deposition testimony of plaintiffs' parents. The district court referred to that evidence, as does Disney in its appellate briefs. The dispute is over whether that testimony, along with plaintiffs' expert, creates an issue of material fact.</w:t>
      </w:r>
    </w:p>
  </w:footnote>
  <w:footnote w:id="127">
    <w:p w:rsidR="00E456CD" w:rsidRDefault="00000000">
      <w:pPr>
        <w:pStyle w:val="Normal16"/>
        <w:widowControl w:val="0"/>
        <w:spacing w:before="120" w:line="240" w:lineRule="atLeast"/>
        <w:jc w:val="both"/>
      </w:pPr>
      <w:r>
        <w:rPr>
          <w:rFonts w:ascii="Arial" w:eastAsia="Arial" w:hAnsi="Arial" w:cs="Arial"/>
          <w:color w:val="000000"/>
          <w:sz w:val="18"/>
          <w:vertAlign w:val="superscript"/>
        </w:rPr>
        <w:t>6 </w:t>
      </w:r>
      <w:bookmarkStart w:id="3044" w:name="Bookmark_fnpara_7_5"/>
      <w:bookmarkEnd w:id="3044"/>
      <w:r>
        <w:rPr>
          <w:rFonts w:ascii="Arial" w:eastAsia="Arial" w:hAnsi="Arial" w:cs="Arial"/>
          <w:color w:val="000000"/>
          <w:sz w:val="18"/>
        </w:rPr>
        <w:t>At oral argument, plaintiffs' counsel stated that "[n]early all" plaintiffs "have the need for routine," and "[a]ll have the inability to defer gratification." In this regard, seven plaintiffs testified they have no pre-set order or routine.</w:t>
      </w:r>
    </w:p>
  </w:footnote>
  <w:footnote w:id="128">
    <w:p w:rsidR="00E456CD" w:rsidRDefault="00000000">
      <w:pPr>
        <w:pStyle w:val="Normal16"/>
        <w:widowControl w:val="0"/>
        <w:spacing w:before="120" w:line="240" w:lineRule="atLeast"/>
        <w:jc w:val="both"/>
      </w:pPr>
      <w:r>
        <w:rPr>
          <w:rFonts w:ascii="Arial" w:eastAsia="Arial" w:hAnsi="Arial" w:cs="Arial"/>
          <w:color w:val="000000"/>
          <w:sz w:val="18"/>
          <w:vertAlign w:val="superscript"/>
        </w:rPr>
        <w:t>7 </w:t>
      </w:r>
      <w:bookmarkStart w:id="3056" w:name="Bookmark_fnpara_8_5"/>
      <w:bookmarkEnd w:id="3056"/>
      <w:r>
        <w:rPr>
          <w:rFonts w:ascii="Arial" w:eastAsia="Arial" w:hAnsi="Arial" w:cs="Arial"/>
          <w:color w:val="000000"/>
          <w:sz w:val="18"/>
        </w:rPr>
        <w:t>All ages are as alleged when the individual plaintiffs filed their complaints.</w:t>
      </w:r>
    </w:p>
  </w:footnote>
  <w:footnote w:id="129">
    <w:p w:rsidR="00E456CD" w:rsidRDefault="00000000">
      <w:pPr>
        <w:pStyle w:val="Normal16"/>
        <w:widowControl w:val="0"/>
        <w:spacing w:before="200" w:line="240" w:lineRule="atLeast"/>
        <w:jc w:val="both"/>
      </w:pPr>
      <w:r>
        <w:rPr>
          <w:rFonts w:ascii="Arial" w:eastAsia="Arial" w:hAnsi="Arial" w:cs="Arial"/>
          <w:color w:val="000000"/>
          <w:sz w:val="18"/>
          <w:vertAlign w:val="superscript"/>
        </w:rPr>
        <w:t>8 </w:t>
      </w:r>
      <w:bookmarkStart w:id="3069" w:name="Bookmark_fnpara_9_4"/>
      <w:bookmarkStart w:id="3070" w:name="Bookmark_I5T7HWT828T4BJ0030000400"/>
      <w:bookmarkEnd w:id="3069"/>
      <w:bookmarkEnd w:id="3070"/>
      <w:r>
        <w:rPr>
          <w:rFonts w:ascii="Arial" w:eastAsia="Arial" w:hAnsi="Arial" w:cs="Arial"/>
          <w:color w:val="000000"/>
          <w:sz w:val="18"/>
        </w:rPr>
        <w:t xml:space="preserve">The parties each filed motions to exclude certain expert reports or portions of them based on, </w:t>
      </w:r>
      <w:r>
        <w:rPr>
          <w:rFonts w:ascii="Arial" w:eastAsia="Arial" w:hAnsi="Arial" w:cs="Arial"/>
          <w:color w:val="000000"/>
          <w:sz w:val="18"/>
          <w:u w:val="single"/>
        </w:rPr>
        <w:t xml:space="preserve">inter alia, </w:t>
      </w:r>
      <w:bookmarkStart w:id="3071" w:name="Bookmark_I5T7HWT828T4BJ0020000400"/>
      <w:bookmarkEnd w:id="3071"/>
      <w:r>
        <w:rPr>
          <w:rFonts w:ascii="Arial" w:eastAsia="Arial" w:hAnsi="Arial" w:cs="Arial"/>
          <w:color w:val="000000"/>
          <w:sz w:val="18"/>
          <w:u w:val="single"/>
        </w:rPr>
        <w:t>Daubert v. Merrell Dow Pharma., Inc.</w:t>
      </w:r>
      <w:r>
        <w:rPr>
          <w:rFonts w:ascii="Arial" w:eastAsia="Arial" w:hAnsi="Arial" w:cs="Arial"/>
          <w:color w:val="000000"/>
          <w:sz w:val="18"/>
        </w:rPr>
        <w:t>, 509 U.S. 579, 113 S. Ct. 2786, 125 L. Ed. 2d 469 (1993). The district court granted summary judgment in favor of Disney and did not rule on those motions. At this juncture, we consider these expert reports as part of the record on appeal.</w:t>
      </w:r>
    </w:p>
  </w:footnote>
  <w:footnote w:id="130">
    <w:p w:rsidR="00E456CD" w:rsidRDefault="00000000">
      <w:pPr>
        <w:pStyle w:val="Normal16"/>
        <w:widowControl w:val="0"/>
        <w:spacing w:before="120" w:line="240" w:lineRule="atLeast"/>
        <w:jc w:val="both"/>
      </w:pPr>
      <w:r>
        <w:rPr>
          <w:rFonts w:ascii="Arial" w:eastAsia="Arial" w:hAnsi="Arial" w:cs="Arial"/>
          <w:color w:val="000000"/>
          <w:sz w:val="18"/>
          <w:vertAlign w:val="superscript"/>
        </w:rPr>
        <w:t>9 </w:t>
      </w:r>
      <w:bookmarkStart w:id="3079" w:name="Bookmark_fnpara_10_4"/>
      <w:bookmarkEnd w:id="3079"/>
      <w:r>
        <w:rPr>
          <w:rFonts w:ascii="Arial" w:eastAsia="Arial" w:hAnsi="Arial" w:cs="Arial"/>
          <w:color w:val="000000"/>
          <w:sz w:val="18"/>
        </w:rPr>
        <w:t>Plaintiffs submit that "[t]he Faja-Dawson study specifically examined children with ASD who did not have significant intellectual impairment—they had IQs similar to those of the control group of typically-developing children. Nor did the ASD children have diminished verbal skills in comparison to the typically-developing children. Even with comparable intellectual and verbal skills, the ASD children showed a diminished capacity to wait for delayed gratification." (citations omitted).</w:t>
      </w:r>
    </w:p>
  </w:footnote>
  <w:footnote w:id="131">
    <w:p w:rsidR="00E456CD" w:rsidRDefault="00000000">
      <w:pPr>
        <w:pStyle w:val="Normal16"/>
        <w:widowControl w:val="0"/>
        <w:spacing w:before="200" w:line="240" w:lineRule="atLeast"/>
        <w:jc w:val="both"/>
      </w:pPr>
      <w:r>
        <w:rPr>
          <w:rFonts w:ascii="Arial" w:eastAsia="Arial" w:hAnsi="Arial" w:cs="Arial"/>
          <w:color w:val="000000"/>
          <w:sz w:val="18"/>
          <w:vertAlign w:val="superscript"/>
        </w:rPr>
        <w:t>10 </w:t>
      </w:r>
      <w:bookmarkStart w:id="3099" w:name="Bookmark_fnpara_11_3"/>
      <w:bookmarkEnd w:id="3099"/>
      <w:r>
        <w:rPr>
          <w:rFonts w:ascii="Arial" w:eastAsia="Arial" w:hAnsi="Arial" w:cs="Arial"/>
          <w:color w:val="000000"/>
          <w:sz w:val="18"/>
        </w:rPr>
        <w:t xml:space="preserve">While the district court also concluded that plaintiffs lack standing, Disney now agrees that plaintiffs have standing, and independently we agree too. </w:t>
      </w:r>
      <w:r>
        <w:rPr>
          <w:rFonts w:ascii="Arial" w:eastAsia="Arial" w:hAnsi="Arial" w:cs="Arial"/>
          <w:color w:val="000000"/>
          <w:sz w:val="18"/>
          <w:u w:val="single"/>
        </w:rPr>
        <w:t xml:space="preserve">See </w:t>
      </w:r>
      <w:bookmarkStart w:id="3100" w:name="Bookmark_I5T7HWT828T4BJ0040000400"/>
      <w:bookmarkEnd w:id="3100"/>
      <w:r>
        <w:rPr>
          <w:rFonts w:ascii="Arial" w:eastAsia="Arial" w:hAnsi="Arial" w:cs="Arial"/>
          <w:color w:val="000000"/>
          <w:sz w:val="18"/>
          <w:u w:val="single"/>
        </w:rPr>
        <w:t>White's Place, Inc. v. Glover</w:t>
      </w:r>
      <w:r>
        <w:rPr>
          <w:rFonts w:ascii="Arial" w:eastAsia="Arial" w:hAnsi="Arial" w:cs="Arial"/>
          <w:color w:val="000000"/>
          <w:sz w:val="18"/>
        </w:rPr>
        <w:t>, 222 F.3d 1327, 1328 (11th Cir. 2000) ("We cannot proceed without determining that standing exists, even if both parties concede jurisdiction.").</w:t>
      </w:r>
    </w:p>
  </w:footnote>
  <w:footnote w:id="132">
    <w:p w:rsidR="00E456CD" w:rsidRDefault="00000000">
      <w:pPr>
        <w:pStyle w:val="Normal16"/>
        <w:widowControl w:val="0"/>
        <w:spacing w:before="200" w:line="240" w:lineRule="atLeast"/>
        <w:jc w:val="both"/>
      </w:pPr>
      <w:r>
        <w:rPr>
          <w:rFonts w:ascii="Arial" w:eastAsia="Arial" w:hAnsi="Arial" w:cs="Arial"/>
          <w:color w:val="000000"/>
          <w:sz w:val="18"/>
          <w:vertAlign w:val="superscript"/>
        </w:rPr>
        <w:t>11 </w:t>
      </w:r>
      <w:bookmarkStart w:id="3140" w:name="Bookmark_fnpara_12_3"/>
      <w:bookmarkEnd w:id="3140"/>
      <w:r>
        <w:rPr>
          <w:rFonts w:ascii="Arial" w:eastAsia="Arial" w:hAnsi="Arial" w:cs="Arial"/>
          <w:color w:val="000000"/>
          <w:sz w:val="18"/>
        </w:rPr>
        <w:t xml:space="preserve">Themed Entm't Ass'n, </w:t>
      </w:r>
      <w:r>
        <w:rPr>
          <w:rFonts w:ascii="Arial" w:eastAsia="Arial" w:hAnsi="Arial" w:cs="Arial"/>
          <w:color w:val="000000"/>
          <w:sz w:val="18"/>
          <w:u w:val="single"/>
        </w:rPr>
        <w:t>Theme Index and Museum Index 2017: Global Attractions Attendance Report</w:t>
      </w:r>
      <w:r>
        <w:rPr>
          <w:rFonts w:ascii="Arial" w:eastAsia="Arial" w:hAnsi="Arial" w:cs="Arial"/>
          <w:color w:val="000000"/>
          <w:sz w:val="18"/>
        </w:rPr>
        <w:t xml:space="preserve"> 10 (2018).</w:t>
      </w:r>
    </w:p>
  </w:footnote>
  <w:footnote w:id="133">
    <w:p w:rsidR="00E456CD" w:rsidRDefault="00000000">
      <w:pPr>
        <w:pStyle w:val="Normal16"/>
        <w:widowControl w:val="0"/>
        <w:spacing w:before="120" w:line="240" w:lineRule="atLeast"/>
        <w:jc w:val="both"/>
      </w:pPr>
      <w:r>
        <w:rPr>
          <w:rFonts w:ascii="Arial" w:eastAsia="Arial" w:hAnsi="Arial" w:cs="Arial"/>
          <w:color w:val="000000"/>
          <w:sz w:val="18"/>
          <w:vertAlign w:val="superscript"/>
        </w:rPr>
        <w:t>12 </w:t>
      </w:r>
      <w:bookmarkStart w:id="3144" w:name="Bookmark_fnpara_13_3"/>
      <w:bookmarkEnd w:id="3144"/>
      <w:r>
        <w:rPr>
          <w:rFonts w:ascii="Arial" w:eastAsia="Arial" w:hAnsi="Arial" w:cs="Arial"/>
          <w:color w:val="000000"/>
          <w:sz w:val="18"/>
        </w:rPr>
        <w:t>Plaintiffs' request for a standardized pass is consistent with other blanket policies—such as wheelchair ramps and video captioning devices—that offer a single, complete accommodation for everyone regardless of how mild or severe the disability.</w:t>
      </w:r>
    </w:p>
  </w:footnote>
  <w:footnote w:id="134">
    <w:p w:rsidR="00E456CD" w:rsidRDefault="00000000">
      <w:pPr>
        <w:pStyle w:val="Normal16"/>
        <w:widowControl w:val="0"/>
        <w:spacing w:before="200" w:line="240" w:lineRule="atLeast"/>
        <w:jc w:val="both"/>
      </w:pPr>
      <w:r>
        <w:rPr>
          <w:rFonts w:ascii="Arial" w:eastAsia="Arial" w:hAnsi="Arial" w:cs="Arial"/>
          <w:color w:val="000000"/>
          <w:sz w:val="18"/>
          <w:vertAlign w:val="superscript"/>
        </w:rPr>
        <w:t>13 </w:t>
      </w:r>
      <w:bookmarkStart w:id="3177" w:name="Bookmark_fnpara_14_2"/>
      <w:bookmarkStart w:id="3178" w:name="Bookmark_I5T7HWT928T4BM0020000400"/>
      <w:bookmarkStart w:id="3179" w:name="Bookmark_I5T7HWT928T4BM0040000400"/>
      <w:bookmarkEnd w:id="3177"/>
      <w:bookmarkEnd w:id="3178"/>
      <w:bookmarkEnd w:id="3179"/>
      <w:r>
        <w:rPr>
          <w:rFonts w:ascii="Arial" w:eastAsia="Arial" w:hAnsi="Arial" w:cs="Arial"/>
          <w:color w:val="000000"/>
          <w:sz w:val="18"/>
        </w:rPr>
        <w:t xml:space="preserve">The plaintiff in </w:t>
      </w:r>
      <w:r>
        <w:rPr>
          <w:rFonts w:ascii="Arial" w:eastAsia="Arial" w:hAnsi="Arial" w:cs="Arial"/>
          <w:color w:val="000000"/>
          <w:sz w:val="18"/>
          <w:u w:val="single"/>
        </w:rPr>
        <w:t>Martin</w:t>
      </w:r>
      <w:r>
        <w:rPr>
          <w:rFonts w:ascii="Arial" w:eastAsia="Arial" w:hAnsi="Arial" w:cs="Arial"/>
          <w:color w:val="000000"/>
          <w:sz w:val="18"/>
        </w:rPr>
        <w:t xml:space="preserve"> could not walk the entire 18-hole course or compete without a golf cart. </w:t>
      </w:r>
      <w:bookmarkStart w:id="3180" w:name="Bookmark_I5T7HWT928T4BM0010000400"/>
      <w:bookmarkEnd w:id="3180"/>
      <w:r>
        <w:rPr>
          <w:rFonts w:ascii="Arial" w:eastAsia="Arial" w:hAnsi="Arial" w:cs="Arial"/>
          <w:color w:val="000000"/>
          <w:sz w:val="18"/>
          <w:u w:val="single"/>
        </w:rPr>
        <w:t>Id.</w:t>
      </w:r>
      <w:r>
        <w:rPr>
          <w:rFonts w:ascii="Arial" w:eastAsia="Arial" w:hAnsi="Arial" w:cs="Arial"/>
          <w:color w:val="000000"/>
          <w:sz w:val="18"/>
        </w:rPr>
        <w:t xml:space="preserve"> at 668-70, 121 S. Ct. at 1885-86. Even with a cart, the plaintiff had to get in and out of the cart, walk over a mile during an 18-hole round, and suffered fatigue "undeniably greater" than that endured by able-bodied competitors from walking even that limited amount. </w:t>
      </w:r>
      <w:bookmarkStart w:id="3181" w:name="Bookmark_I5T7HWT92HM6N40010000400"/>
      <w:bookmarkStart w:id="3182" w:name="Bookmark_I5T7HWT928T4BM0030000400"/>
      <w:bookmarkEnd w:id="3181"/>
      <w:bookmarkEnd w:id="3182"/>
      <w:r>
        <w:rPr>
          <w:rFonts w:ascii="Arial" w:eastAsia="Arial" w:hAnsi="Arial" w:cs="Arial"/>
          <w:color w:val="000000"/>
          <w:sz w:val="18"/>
          <w:u w:val="single"/>
        </w:rPr>
        <w:t>Id.</w:t>
      </w:r>
      <w:r>
        <w:rPr>
          <w:rFonts w:ascii="Arial" w:eastAsia="Arial" w:hAnsi="Arial" w:cs="Arial"/>
          <w:color w:val="000000"/>
          <w:sz w:val="18"/>
        </w:rPr>
        <w:t xml:space="preserve"> at 671-72, 121 S. Ct. at 1887. </w:t>
      </w:r>
      <w:bookmarkStart w:id="3183" w:name="Bookmark_I5T7HWT92HM6N40010000400_2"/>
      <w:bookmarkEnd w:id="3183"/>
      <w:r>
        <w:rPr>
          <w:rFonts w:ascii="Arial" w:eastAsia="Arial" w:hAnsi="Arial" w:cs="Arial"/>
          <w:color w:val="000000"/>
          <w:sz w:val="18"/>
        </w:rPr>
        <w:t xml:space="preserve">It was undisputed that the plaintiff was disabled and that the cart did not put him at a competitive advantage. </w:t>
      </w:r>
      <w:bookmarkStart w:id="3184" w:name="Bookmark_I5T7HWT928T4BM0050000400"/>
      <w:bookmarkEnd w:id="3184"/>
      <w:r>
        <w:rPr>
          <w:rFonts w:ascii="Arial" w:eastAsia="Arial" w:hAnsi="Arial" w:cs="Arial"/>
          <w:color w:val="000000"/>
          <w:sz w:val="18"/>
          <w:u w:val="single"/>
        </w:rPr>
        <w:t>Id.</w:t>
      </w:r>
      <w:r>
        <w:rPr>
          <w:rFonts w:ascii="Arial" w:eastAsia="Arial" w:hAnsi="Arial" w:cs="Arial"/>
          <w:color w:val="000000"/>
          <w:sz w:val="18"/>
        </w:rPr>
        <w:t xml:space="preserve"> at 670-74, 121 S. Ct. at 1886-87.</w:t>
      </w:r>
    </w:p>
  </w:footnote>
  <w:footnote w:id="135">
    <w:p w:rsidR="00E456CD" w:rsidRDefault="00000000">
      <w:pPr>
        <w:pStyle w:val="Normal16"/>
        <w:widowControl w:val="0"/>
        <w:spacing w:before="200" w:line="240" w:lineRule="atLeast"/>
        <w:jc w:val="both"/>
      </w:pPr>
      <w:r>
        <w:rPr>
          <w:rFonts w:ascii="Arial" w:eastAsia="Arial" w:hAnsi="Arial" w:cs="Arial"/>
          <w:color w:val="000000"/>
          <w:sz w:val="18"/>
          <w:vertAlign w:val="superscript"/>
        </w:rPr>
        <w:t>14 </w:t>
      </w:r>
      <w:bookmarkStart w:id="3208" w:name="Bookmark_fnpara_15_2"/>
      <w:bookmarkStart w:id="3209" w:name="Bookmark_I5T7HWT92N1RP40050000400"/>
      <w:bookmarkStart w:id="3210" w:name="Bookmark_I5T7HWT92SF8N70020000400"/>
      <w:bookmarkEnd w:id="3208"/>
      <w:bookmarkEnd w:id="3209"/>
      <w:bookmarkEnd w:id="3210"/>
      <w:r>
        <w:rPr>
          <w:rFonts w:ascii="Arial" w:eastAsia="Arial" w:hAnsi="Arial" w:cs="Arial"/>
          <w:color w:val="000000"/>
          <w:sz w:val="18"/>
          <w:u w:val="single"/>
        </w:rPr>
        <w:t>Baughman</w:t>
      </w:r>
      <w:r>
        <w:rPr>
          <w:rFonts w:ascii="Arial" w:eastAsia="Arial" w:hAnsi="Arial" w:cs="Arial"/>
          <w:color w:val="000000"/>
          <w:sz w:val="18"/>
        </w:rPr>
        <w:t xml:space="preserve"> involved a plaintiff who suffered from muscular dystrophy and wished to use a Segway at Disneyland. </w:t>
      </w:r>
      <w:bookmarkStart w:id="3211" w:name="Bookmark_I5T7HWT92N1RP40040000400"/>
      <w:bookmarkEnd w:id="3211"/>
      <w:r>
        <w:rPr>
          <w:rFonts w:ascii="Arial" w:eastAsia="Arial" w:hAnsi="Arial" w:cs="Arial"/>
          <w:color w:val="000000"/>
          <w:sz w:val="18"/>
        </w:rPr>
        <w:t xml:space="preserve">685 F.3d at 1132. Although reversing the district court's grant of summary judgment for Disney, the Ninth Circuit stressed that "[w]e do not hold that Disney must permit Segways at its theme parks" and that Disney "might be able to exclude them if it can prove that Segways can't be operated safely in its parks." </w:t>
      </w:r>
      <w:bookmarkStart w:id="3212" w:name="Bookmark_I5T7HWT92SF8N70010000400"/>
      <w:bookmarkEnd w:id="3212"/>
      <w:r>
        <w:rPr>
          <w:rFonts w:ascii="Arial" w:eastAsia="Arial" w:hAnsi="Arial" w:cs="Arial"/>
          <w:color w:val="000000"/>
          <w:sz w:val="18"/>
          <w:u w:val="single"/>
        </w:rPr>
        <w:t>Id.</w:t>
      </w:r>
      <w:r>
        <w:rPr>
          <w:rFonts w:ascii="Arial" w:eastAsia="Arial" w:hAnsi="Arial" w:cs="Arial"/>
          <w:color w:val="000000"/>
          <w:sz w:val="18"/>
        </w:rPr>
        <w:t xml:space="preserve"> at 1137. But any safety regulation Disney imposes "must be based on actual risks and not on mere speculation, stereotypes, or generalizations about individuals with disabilities." </w:t>
      </w:r>
      <w:r>
        <w:rPr>
          <w:rFonts w:ascii="Arial" w:eastAsia="Arial" w:hAnsi="Arial" w:cs="Arial"/>
          <w:color w:val="000000"/>
          <w:sz w:val="18"/>
          <w:u w:val="single"/>
        </w:rPr>
        <w:t>Id.</w:t>
      </w:r>
      <w:r>
        <w:rPr>
          <w:rFonts w:ascii="Arial" w:eastAsia="Arial" w:hAnsi="Arial" w:cs="Arial"/>
          <w:color w:val="000000"/>
          <w:sz w:val="18"/>
        </w:rPr>
        <w:t xml:space="preserve"> (quoting 28 C.F.R. § 36.301(b)).</w:t>
      </w:r>
    </w:p>
  </w:footnote>
  <w:footnote w:id="136">
    <w:p w:rsidR="00E456CD" w:rsidRDefault="00000000">
      <w:pPr>
        <w:pStyle w:val="Normal16"/>
        <w:widowControl w:val="0"/>
        <w:spacing w:before="120" w:line="240" w:lineRule="atLeast"/>
        <w:jc w:val="both"/>
      </w:pPr>
      <w:r>
        <w:rPr>
          <w:rFonts w:ascii="Arial" w:eastAsia="Arial" w:hAnsi="Arial" w:cs="Arial"/>
          <w:color w:val="000000"/>
          <w:sz w:val="18"/>
          <w:vertAlign w:val="superscript"/>
        </w:rPr>
        <w:t>15 </w:t>
      </w:r>
      <w:bookmarkStart w:id="3297" w:name="Bookmark_fnpara_16_2"/>
      <w:bookmarkEnd w:id="3297"/>
      <w:r>
        <w:rPr>
          <w:rFonts w:ascii="Arial" w:eastAsia="Arial" w:hAnsi="Arial" w:cs="Arial"/>
          <w:color w:val="000000"/>
          <w:sz w:val="18"/>
        </w:rPr>
        <w:t>Disney also argues that Title III of the ADA provides only a statutory discrimination claim for failure to make reasonable and necessary modifications, not a statutory claim for intentional or disparate-impact discrimination. Given that the complaints do not include intentional or disparate-impact discrimination claims, we also do not decide that legal issue.</w:t>
      </w:r>
    </w:p>
  </w:footnote>
  <w:footnote w:id="137">
    <w:p w:rsidR="00E456CD" w:rsidRDefault="00000000">
      <w:pPr>
        <w:pStyle w:val="Normal16"/>
        <w:widowControl w:val="0"/>
        <w:spacing w:before="200" w:line="240" w:lineRule="atLeast"/>
        <w:jc w:val="both"/>
      </w:pPr>
      <w:r>
        <w:rPr>
          <w:rFonts w:ascii="Arial" w:eastAsia="Arial" w:hAnsi="Arial" w:cs="Arial"/>
          <w:color w:val="000000"/>
          <w:sz w:val="18"/>
          <w:vertAlign w:val="superscript"/>
        </w:rPr>
        <w:t>16 </w:t>
      </w:r>
      <w:bookmarkStart w:id="3299" w:name="Bookmark_fnpara_17_2"/>
      <w:bookmarkEnd w:id="3299"/>
      <w:r>
        <w:rPr>
          <w:rFonts w:ascii="Arial" w:eastAsia="Arial" w:hAnsi="Arial" w:cs="Arial"/>
          <w:color w:val="000000"/>
          <w:sz w:val="18"/>
        </w:rPr>
        <w:t xml:space="preserve">Many plaintiffs also asserted common law claims under Florida or California law, and nine plaintiffs brought claims under California's Unruh Civil Rights Act, Cal. Civ. Code §§ 51-52. In a consolidated order entered in each case, the district court </w:t>
      </w:r>
      <w:r>
        <w:rPr>
          <w:rFonts w:ascii="Arial" w:eastAsia="Arial" w:hAnsi="Arial" w:cs="Arial"/>
          <w:color w:val="000000"/>
          <w:sz w:val="18"/>
          <w:u w:val="single"/>
        </w:rPr>
        <w:t>sua sponte</w:t>
      </w:r>
      <w:r>
        <w:rPr>
          <w:rFonts w:ascii="Arial" w:eastAsia="Arial" w:hAnsi="Arial" w:cs="Arial"/>
          <w:color w:val="000000"/>
          <w:sz w:val="18"/>
        </w:rPr>
        <w:t xml:space="preserve"> dismissed plaintiffs' common law claims, reasoning that those claims were not sufficiently related to the ADA claims to justify the exercise of supplemental jurisdiction. Plaintiffs' briefs do not argue that this was error.</w:t>
      </w:r>
    </w:p>
    <w:p w:rsidR="00E456CD" w:rsidRDefault="00000000">
      <w:pPr>
        <w:pStyle w:val="Normal16"/>
        <w:widowControl w:val="0"/>
        <w:spacing w:before="120" w:line="240" w:lineRule="atLeast"/>
        <w:jc w:val="both"/>
      </w:pPr>
      <w:bookmarkStart w:id="3300" w:name="Bookmark_fnpara_18_0"/>
      <w:bookmarkEnd w:id="3300"/>
      <w:r>
        <w:rPr>
          <w:rFonts w:ascii="Arial" w:eastAsia="Arial" w:hAnsi="Arial" w:cs="Arial"/>
          <w:color w:val="000000"/>
          <w:sz w:val="18"/>
        </w:rPr>
        <w:t>As to the nine plaintiffs with California Unruh Act claims, the district court concluded that Unruh Act liability is coextensive with ADA liability. Because summary judgment was granted on the ADA claims, the district court granted summary judgment on the Unruh Act claims. On appeal, plaintiffs argue that the district court erred as to their Unruh Act claims. Because we reverse as to the ADA claims, we reverse as to the Unruh Act claims and remand them for consideration by the district court in the first instance. We do not address the type of relief available under those Unruh Act claims.</w:t>
      </w:r>
    </w:p>
  </w:footnote>
  <w:footnote w:id="138">
    <w:p w:rsidR="00E456CD" w:rsidRDefault="00000000">
      <w:pPr>
        <w:pStyle w:val="Normal17"/>
        <w:widowControl w:val="0"/>
        <w:spacing w:before="200" w:line="240" w:lineRule="atLeast"/>
        <w:jc w:val="both"/>
      </w:pPr>
      <w:r>
        <w:rPr>
          <w:rFonts w:ascii="Arial" w:eastAsia="Arial" w:hAnsi="Arial" w:cs="Arial"/>
          <w:color w:val="000000"/>
          <w:sz w:val="18"/>
          <w:vertAlign w:val="superscript"/>
        </w:rPr>
        <w:t>1 </w:t>
      </w:r>
      <w:bookmarkStart w:id="3322" w:name="Bookmark_fnpara_1_14"/>
      <w:bookmarkEnd w:id="3322"/>
      <w:r>
        <w:rPr>
          <w:rFonts w:ascii="Arial" w:eastAsia="Arial" w:hAnsi="Arial" w:cs="Arial"/>
          <w:color w:val="000000"/>
          <w:sz w:val="18"/>
        </w:rPr>
        <w:t xml:space="preserve">People with epilepsy commonly rely on the functional assistance of service dogs to provide care and support and to maintain their independence. Service dogs can be trained to detect and respond to seizures, such as by barking to alert the family when a child has a seizure while playing in another room, and to provide assistance throughout the seizure's duration, such as by lying next to the child to prevent injury. </w:t>
      </w:r>
      <w:r>
        <w:rPr>
          <w:rFonts w:ascii="Arial" w:eastAsia="Arial" w:hAnsi="Arial" w:cs="Arial"/>
          <w:i/>
          <w:color w:val="000000"/>
          <w:sz w:val="18"/>
        </w:rPr>
        <w:t>See</w:t>
      </w:r>
      <w:r>
        <w:rPr>
          <w:rFonts w:ascii="Arial" w:eastAsia="Arial" w:hAnsi="Arial" w:cs="Arial"/>
          <w:color w:val="000000"/>
          <w:sz w:val="18"/>
        </w:rPr>
        <w:t xml:space="preserve"> Pub. Interest Law Ctr. Amicus Br. 4.</w:t>
      </w:r>
    </w:p>
  </w:footnote>
  <w:footnote w:id="139">
    <w:p w:rsidR="00E456CD" w:rsidRDefault="00000000">
      <w:pPr>
        <w:pStyle w:val="Normal17"/>
        <w:widowControl w:val="0"/>
        <w:spacing w:before="120" w:line="240" w:lineRule="atLeast"/>
        <w:jc w:val="both"/>
      </w:pPr>
      <w:r>
        <w:rPr>
          <w:rFonts w:ascii="Arial" w:eastAsia="Arial" w:hAnsi="Arial" w:cs="Arial"/>
          <w:color w:val="000000"/>
          <w:sz w:val="18"/>
          <w:vertAlign w:val="superscript"/>
        </w:rPr>
        <w:t>2 </w:t>
      </w:r>
      <w:bookmarkStart w:id="3324" w:name="Bookmark_fnpara_2_11"/>
      <w:bookmarkEnd w:id="3324"/>
      <w:r>
        <w:rPr>
          <w:rFonts w:ascii="Arial" w:eastAsia="Arial" w:hAnsi="Arial" w:cs="Arial"/>
          <w:color w:val="000000"/>
          <w:sz w:val="18"/>
        </w:rPr>
        <w:t>Appellee Allied Services Institute of Rehabilitation Medicine operates the dePaul School. We will refer to these entities collectively as "the School."</w:t>
      </w:r>
    </w:p>
  </w:footnote>
  <w:footnote w:id="140">
    <w:p w:rsidR="00E456CD" w:rsidRDefault="00000000">
      <w:pPr>
        <w:pStyle w:val="Normal17"/>
        <w:widowControl w:val="0"/>
        <w:spacing w:before="120" w:line="240" w:lineRule="atLeast"/>
        <w:jc w:val="both"/>
      </w:pPr>
      <w:r>
        <w:rPr>
          <w:rFonts w:ascii="Arial" w:eastAsia="Arial" w:hAnsi="Arial" w:cs="Arial"/>
          <w:color w:val="000000"/>
          <w:sz w:val="18"/>
          <w:vertAlign w:val="superscript"/>
        </w:rPr>
        <w:t>3 </w:t>
      </w:r>
      <w:bookmarkStart w:id="3333" w:name="Bookmark_fnpara_3_11"/>
      <w:bookmarkEnd w:id="3333"/>
      <w:r>
        <w:rPr>
          <w:rFonts w:ascii="Arial" w:eastAsia="Arial" w:hAnsi="Arial" w:cs="Arial"/>
          <w:color w:val="000000"/>
          <w:sz w:val="18"/>
        </w:rPr>
        <w:t>M.B.'s parents brought additional state law claims, but they do not challenge the District Court's dismissal of those claims on appeal.</w:t>
      </w:r>
    </w:p>
  </w:footnote>
  <w:footnote w:id="141">
    <w:p w:rsidR="00E456CD" w:rsidRDefault="00000000">
      <w:pPr>
        <w:pStyle w:val="Normal17"/>
        <w:widowControl w:val="0"/>
        <w:spacing w:before="200" w:line="240" w:lineRule="atLeast"/>
        <w:jc w:val="both"/>
      </w:pPr>
      <w:r>
        <w:rPr>
          <w:rFonts w:ascii="Arial" w:eastAsia="Arial" w:hAnsi="Arial" w:cs="Arial"/>
          <w:color w:val="000000"/>
          <w:sz w:val="18"/>
          <w:vertAlign w:val="superscript"/>
        </w:rPr>
        <w:t>4 </w:t>
      </w:r>
      <w:bookmarkStart w:id="3336" w:name="Bookmark_fnpara_4_11"/>
      <w:bookmarkEnd w:id="3336"/>
      <w:r>
        <w:rPr>
          <w:rFonts w:ascii="Arial" w:eastAsia="Arial" w:hAnsi="Arial" w:cs="Arial"/>
          <w:color w:val="000000"/>
          <w:sz w:val="18"/>
        </w:rPr>
        <w:t xml:space="preserve">Under Title II of the ADA, "public entities" include all programs of state and local governments. </w:t>
      </w:r>
      <w:r>
        <w:rPr>
          <w:rFonts w:ascii="Arial" w:eastAsia="Arial" w:hAnsi="Arial" w:cs="Arial"/>
          <w:i/>
          <w:color w:val="000000"/>
          <w:sz w:val="18"/>
        </w:rPr>
        <w:t>See</w:t>
      </w:r>
      <w:r>
        <w:rPr>
          <w:rFonts w:ascii="Arial" w:eastAsia="Arial" w:hAnsi="Arial" w:cs="Arial"/>
          <w:color w:val="000000"/>
          <w:sz w:val="18"/>
        </w:rPr>
        <w:t xml:space="preserve"> 42 U.S.C. § 12131(1). Under Title III, "public accommodations" include most places that are generally open to the public, including schools. </w:t>
      </w:r>
      <w:r>
        <w:rPr>
          <w:rFonts w:ascii="Arial" w:eastAsia="Arial" w:hAnsi="Arial" w:cs="Arial"/>
          <w:i/>
          <w:color w:val="000000"/>
          <w:sz w:val="18"/>
        </w:rPr>
        <w:t>See id.</w:t>
      </w:r>
      <w:r>
        <w:rPr>
          <w:rFonts w:ascii="Arial" w:eastAsia="Arial" w:hAnsi="Arial" w:cs="Arial"/>
          <w:color w:val="000000"/>
          <w:sz w:val="18"/>
        </w:rPr>
        <w:t xml:space="preserve"> § 12181(7). The School concedes that it is a public accommodation subject to Title III of the ADA and its implementing regulations.</w:t>
      </w:r>
    </w:p>
  </w:footnote>
  <w:footnote w:id="142">
    <w:p w:rsidR="00E456CD" w:rsidRDefault="00000000">
      <w:pPr>
        <w:pStyle w:val="Normal17"/>
        <w:widowControl w:val="0"/>
        <w:spacing w:before="120" w:line="240" w:lineRule="atLeast"/>
        <w:jc w:val="both"/>
      </w:pPr>
      <w:r>
        <w:rPr>
          <w:rFonts w:ascii="Arial" w:eastAsia="Arial" w:hAnsi="Arial" w:cs="Arial"/>
          <w:color w:val="000000"/>
          <w:sz w:val="18"/>
          <w:vertAlign w:val="superscript"/>
        </w:rPr>
        <w:t>5 </w:t>
      </w:r>
      <w:bookmarkStart w:id="3338" w:name="Bookmark_fnpara_5_10"/>
      <w:bookmarkEnd w:id="3338"/>
      <w:r>
        <w:rPr>
          <w:rFonts w:ascii="Arial" w:eastAsia="Arial" w:hAnsi="Arial" w:cs="Arial"/>
          <w:color w:val="000000"/>
          <w:sz w:val="18"/>
        </w:rPr>
        <w:t>The "Denial of Use of Service Animal" instruction would have read: "The law provides that generally [the School] must modify its policies, practices, or procedures to permit the use of [M.B.]'s service dog, and [M.B.] must be permitted to be accompanied by Buddy in all areas of the [School] where students are allowed to go." JA 210.</w:t>
      </w:r>
    </w:p>
  </w:footnote>
  <w:footnote w:id="143">
    <w:p w:rsidR="00E456CD" w:rsidRDefault="00000000">
      <w:pPr>
        <w:pStyle w:val="Normal17"/>
        <w:widowControl w:val="0"/>
        <w:spacing w:before="120" w:line="240" w:lineRule="atLeast"/>
        <w:jc w:val="both"/>
      </w:pPr>
      <w:r>
        <w:rPr>
          <w:rFonts w:ascii="Arial" w:eastAsia="Arial" w:hAnsi="Arial" w:cs="Arial"/>
          <w:color w:val="000000"/>
          <w:sz w:val="18"/>
          <w:vertAlign w:val="superscript"/>
        </w:rPr>
        <w:t>6 </w:t>
      </w:r>
      <w:bookmarkStart w:id="3339" w:name="Bookmark_fnpara_6_7"/>
      <w:bookmarkEnd w:id="3339"/>
      <w:r>
        <w:rPr>
          <w:rFonts w:ascii="Arial" w:eastAsia="Arial" w:hAnsi="Arial" w:cs="Arial"/>
          <w:color w:val="000000"/>
          <w:sz w:val="18"/>
        </w:rPr>
        <w:t>In rejecting the instruction, the District Court also took issue with counsel's mistaken citation to the ADA public entity regulation, 28 C.F.R. § 35.136—which does not apply to the School—instead of the materially identical ADA public accommodation regulation, 28 C.F.R. § 36.302—which does. But as the Court was aware of both regulations and we are confident that it sought to advise the jury as to the proper standard under the law, we interpret its rejection of the proposed instruction to mean that it believed, at that point, that the ADA service animal regulations did not bear on the interpretation of "reasonable accommodations" under the RA.</w:t>
      </w:r>
    </w:p>
  </w:footnote>
  <w:footnote w:id="144">
    <w:p w:rsidR="00E456CD" w:rsidRDefault="00000000">
      <w:pPr>
        <w:pStyle w:val="Normal17"/>
        <w:widowControl w:val="0"/>
        <w:spacing w:before="200" w:line="240" w:lineRule="atLeast"/>
        <w:jc w:val="both"/>
      </w:pPr>
      <w:r>
        <w:rPr>
          <w:rFonts w:ascii="Arial" w:eastAsia="Arial" w:hAnsi="Arial" w:cs="Arial"/>
          <w:color w:val="000000"/>
          <w:sz w:val="18"/>
          <w:vertAlign w:val="superscript"/>
        </w:rPr>
        <w:t>7 </w:t>
      </w:r>
      <w:bookmarkStart w:id="3372" w:name="Bookmark_fnpara_7_6"/>
      <w:bookmarkEnd w:id="3372"/>
      <w:r>
        <w:rPr>
          <w:rFonts w:ascii="Arial" w:eastAsia="Arial" w:hAnsi="Arial" w:cs="Arial"/>
          <w:color w:val="000000"/>
          <w:sz w:val="18"/>
        </w:rPr>
        <w:t xml:space="preserve">Title III also extended to such publicly accessible entities as hotels, restaurants, retail stores, movie theaters, parks, and gymnasiums. </w:t>
      </w:r>
      <w:r>
        <w:rPr>
          <w:rFonts w:ascii="Arial" w:eastAsia="Arial" w:hAnsi="Arial" w:cs="Arial"/>
          <w:i/>
          <w:color w:val="000000"/>
          <w:sz w:val="18"/>
        </w:rPr>
        <w:t>See</w:t>
      </w:r>
      <w:r>
        <w:rPr>
          <w:rFonts w:ascii="Arial" w:eastAsia="Arial" w:hAnsi="Arial" w:cs="Arial"/>
          <w:color w:val="000000"/>
          <w:sz w:val="18"/>
        </w:rPr>
        <w:t xml:space="preserve"> 42 U.S.C. § 12181(7).</w:t>
      </w:r>
    </w:p>
  </w:footnote>
  <w:footnote w:id="145">
    <w:p w:rsidR="00E456CD" w:rsidRDefault="00000000">
      <w:pPr>
        <w:pStyle w:val="Normal17"/>
        <w:widowControl w:val="0"/>
        <w:spacing w:before="200" w:line="240" w:lineRule="atLeast"/>
        <w:jc w:val="both"/>
      </w:pPr>
      <w:r>
        <w:rPr>
          <w:rFonts w:ascii="Arial" w:eastAsia="Arial" w:hAnsi="Arial" w:cs="Arial"/>
          <w:color w:val="000000"/>
          <w:sz w:val="18"/>
          <w:vertAlign w:val="superscript"/>
        </w:rPr>
        <w:t>8 </w:t>
      </w:r>
      <w:bookmarkStart w:id="3391" w:name="Bookmark_fnpara_8_6"/>
      <w:bookmarkEnd w:id="3391"/>
      <w:r>
        <w:rPr>
          <w:rFonts w:ascii="Arial" w:eastAsia="Arial" w:hAnsi="Arial" w:cs="Arial"/>
          <w:color w:val="000000"/>
          <w:sz w:val="18"/>
        </w:rPr>
        <w:t xml:space="preserve">Although the Supreme Court in </w:t>
      </w:r>
      <w:r>
        <w:rPr>
          <w:rFonts w:ascii="Arial" w:eastAsia="Arial" w:hAnsi="Arial" w:cs="Arial"/>
          <w:i/>
          <w:color w:val="000000"/>
          <w:sz w:val="18"/>
        </w:rPr>
        <w:t>Fry</w:t>
      </w:r>
      <w:r>
        <w:rPr>
          <w:rFonts w:ascii="Arial" w:eastAsia="Arial" w:hAnsi="Arial" w:cs="Arial"/>
          <w:color w:val="000000"/>
          <w:sz w:val="18"/>
        </w:rPr>
        <w:t xml:space="preserve"> was comparing the RA to Title II of the ADA, applicable to public entities, </w:t>
      </w:r>
      <w:bookmarkStart w:id="3392" w:name="Bookmark_I5T6WYM02D6N7C0020000400"/>
      <w:bookmarkEnd w:id="3392"/>
      <w:r>
        <w:rPr>
          <w:rFonts w:ascii="Arial" w:eastAsia="Arial" w:hAnsi="Arial" w:cs="Arial"/>
          <w:color w:val="000000"/>
          <w:sz w:val="18"/>
        </w:rPr>
        <w:t xml:space="preserve">137 S. Ct. at 756, "all three titles [of the ADA] have similar purposes, that is, to eliminate discrimination in the sphere each one covers," </w:t>
      </w:r>
      <w:bookmarkStart w:id="3393" w:name="Bookmark_I5T6WYM02D6N7C0040000400"/>
      <w:bookmarkEnd w:id="3393"/>
      <w:r>
        <w:rPr>
          <w:rFonts w:ascii="Arial" w:eastAsia="Arial" w:hAnsi="Arial" w:cs="Arial"/>
          <w:i/>
          <w:color w:val="000000"/>
          <w:sz w:val="18"/>
        </w:rPr>
        <w:t>Bowers v. Nat'l Collegiate Athletic Ass'n</w:t>
      </w:r>
      <w:r>
        <w:rPr>
          <w:rFonts w:ascii="Arial" w:eastAsia="Arial" w:hAnsi="Arial" w:cs="Arial"/>
          <w:color w:val="000000"/>
          <w:sz w:val="18"/>
        </w:rPr>
        <w:t>, 346 F.3d 402, 433 (3d Cir. 2003).</w:t>
      </w:r>
    </w:p>
  </w:footnote>
  <w:footnote w:id="146">
    <w:p w:rsidR="00E456CD" w:rsidRDefault="00000000">
      <w:pPr>
        <w:pStyle w:val="Normal17"/>
        <w:widowControl w:val="0"/>
        <w:spacing w:before="200" w:line="240" w:lineRule="atLeast"/>
        <w:jc w:val="both"/>
      </w:pPr>
      <w:r>
        <w:rPr>
          <w:rFonts w:ascii="Arial" w:eastAsia="Arial" w:hAnsi="Arial" w:cs="Arial"/>
          <w:color w:val="000000"/>
          <w:sz w:val="18"/>
          <w:vertAlign w:val="superscript"/>
        </w:rPr>
        <w:t>9 </w:t>
      </w:r>
      <w:bookmarkStart w:id="3397" w:name="Bookmark_fnpara_9_5"/>
      <w:bookmarkEnd w:id="3397"/>
      <w:r>
        <w:rPr>
          <w:rFonts w:ascii="Arial" w:eastAsia="Arial" w:hAnsi="Arial" w:cs="Arial"/>
          <w:i/>
          <w:color w:val="000000"/>
          <w:sz w:val="18"/>
        </w:rPr>
        <w:t>See</w:t>
      </w:r>
      <w:r>
        <w:rPr>
          <w:rFonts w:ascii="Arial" w:eastAsia="Arial" w:hAnsi="Arial" w:cs="Arial"/>
          <w:color w:val="000000"/>
          <w:sz w:val="18"/>
        </w:rPr>
        <w:t xml:space="preserve"> Katie Eyer, </w:t>
      </w:r>
      <w:r>
        <w:rPr>
          <w:rFonts w:ascii="Arial" w:eastAsia="Arial" w:hAnsi="Arial" w:cs="Arial"/>
          <w:i/>
          <w:color w:val="000000"/>
          <w:sz w:val="18"/>
        </w:rPr>
        <w:t>Rehabilitation Act Redux</w:t>
      </w:r>
      <w:r>
        <w:rPr>
          <w:rFonts w:ascii="Arial" w:eastAsia="Arial" w:hAnsi="Arial" w:cs="Arial"/>
          <w:color w:val="000000"/>
          <w:sz w:val="18"/>
        </w:rPr>
        <w:t xml:space="preserve">, 23 Yale L. &amp; Pol'y Rev. 271, 304 (2005) (describing the "reasonable modification" requirement as "a component of the requirements of § 504 [of the RA] that was well established by case law prior to the passage of the ADA"); </w:t>
      </w:r>
      <w:r>
        <w:rPr>
          <w:rFonts w:ascii="Arial" w:eastAsia="Arial" w:hAnsi="Arial" w:cs="Arial"/>
          <w:i/>
          <w:color w:val="000000"/>
          <w:sz w:val="18"/>
        </w:rPr>
        <w:t xml:space="preserve">see also </w:t>
      </w:r>
      <w:bookmarkStart w:id="3398" w:name="Bookmark_I5T6WYM02SF8BH0010000400"/>
      <w:bookmarkEnd w:id="3398"/>
      <w:r>
        <w:rPr>
          <w:rFonts w:ascii="Arial" w:eastAsia="Arial" w:hAnsi="Arial" w:cs="Arial"/>
          <w:i/>
          <w:color w:val="000000"/>
          <w:sz w:val="18"/>
        </w:rPr>
        <w:t>Wis. Corr. Serv. v. City of Milwaukee</w:t>
      </w:r>
      <w:r>
        <w:rPr>
          <w:rFonts w:ascii="Arial" w:eastAsia="Arial" w:hAnsi="Arial" w:cs="Arial"/>
          <w:color w:val="000000"/>
          <w:sz w:val="18"/>
        </w:rPr>
        <w:t>, 173 F. Supp. 2d 842, 849 (E.D. Wis. 2001) (recognizing that the ADA's "reasonable modification" requirement is "[c]onsistent with case law under the [RA]").</w:t>
      </w:r>
    </w:p>
  </w:footnote>
  <w:footnote w:id="147">
    <w:p w:rsidR="00E456CD" w:rsidRDefault="00000000">
      <w:pPr>
        <w:pStyle w:val="Normal17"/>
        <w:widowControl w:val="0"/>
        <w:spacing w:before="200" w:line="240" w:lineRule="atLeast"/>
        <w:jc w:val="both"/>
      </w:pPr>
      <w:r>
        <w:rPr>
          <w:rFonts w:ascii="Arial" w:eastAsia="Arial" w:hAnsi="Arial" w:cs="Arial"/>
          <w:color w:val="000000"/>
          <w:sz w:val="18"/>
          <w:vertAlign w:val="superscript"/>
        </w:rPr>
        <w:t>10 </w:t>
      </w:r>
      <w:bookmarkStart w:id="3441" w:name="Bookmark_fnpara_10_5"/>
      <w:bookmarkStart w:id="3442" w:name="Bookmark_I5T6WYM02SF8BK0030000400"/>
      <w:bookmarkStart w:id="3443" w:name="Bookmark_I5T6WYM02SF8BK0050000400"/>
      <w:bookmarkEnd w:id="3441"/>
      <w:bookmarkEnd w:id="3442"/>
      <w:bookmarkEnd w:id="3443"/>
      <w:r>
        <w:rPr>
          <w:rFonts w:ascii="Arial" w:eastAsia="Arial" w:hAnsi="Arial" w:cs="Arial"/>
          <w:color w:val="000000"/>
          <w:sz w:val="18"/>
        </w:rPr>
        <w:t xml:space="preserve">In the context of the Fair Housing Act (FHA), courts do distinguish between "reasonable accommodations" and "reasonable modifications." </w:t>
      </w:r>
      <w:r>
        <w:rPr>
          <w:rFonts w:ascii="Arial" w:eastAsia="Arial" w:hAnsi="Arial" w:cs="Arial"/>
          <w:i/>
          <w:color w:val="000000"/>
          <w:sz w:val="18"/>
        </w:rPr>
        <w:t xml:space="preserve">See </w:t>
      </w:r>
      <w:bookmarkStart w:id="3444" w:name="Bookmark_I5T6WYM02SF8BK0020000400"/>
      <w:bookmarkEnd w:id="3444"/>
      <w:r>
        <w:rPr>
          <w:rFonts w:ascii="Arial" w:eastAsia="Arial" w:hAnsi="Arial" w:cs="Arial"/>
          <w:i/>
          <w:color w:val="000000"/>
          <w:sz w:val="18"/>
        </w:rPr>
        <w:t>Hollis v. Chestnut Bend Homeowners Ass'n</w:t>
      </w:r>
      <w:r>
        <w:rPr>
          <w:rFonts w:ascii="Arial" w:eastAsia="Arial" w:hAnsi="Arial" w:cs="Arial"/>
          <w:color w:val="000000"/>
          <w:sz w:val="18"/>
        </w:rPr>
        <w:t xml:space="preserve">, 760 F.3d 531, 538 (6th Cir. 2014) (holding that a "disabled individual alleging unlawful housing discrimination" can rely on either "failure to make a reasonable accommodation . . . or failure to permit a reasonable modification"). But that is because the FHA specifically defines discrimination to include both "a refusal to permit, at the expense of the handicapped person, reasonable modifications of existing premises," 42 U.S.C. § 3604(f)(3)(A), and, separately, "a refusal to make reasonable accommodations in rules, policies, practices, or services," </w:t>
      </w:r>
      <w:r>
        <w:rPr>
          <w:rFonts w:ascii="Arial" w:eastAsia="Arial" w:hAnsi="Arial" w:cs="Arial"/>
          <w:i/>
          <w:color w:val="000000"/>
          <w:sz w:val="18"/>
        </w:rPr>
        <w:t>id.</w:t>
      </w:r>
      <w:r>
        <w:rPr>
          <w:rFonts w:ascii="Arial" w:eastAsia="Arial" w:hAnsi="Arial" w:cs="Arial"/>
          <w:color w:val="000000"/>
          <w:sz w:val="18"/>
        </w:rPr>
        <w:t xml:space="preserve"> § 3604(f)(3)(B). The FHA thus uses "modification" and "accommodation" as terms of art, in sharp contrast to the provisions of the ADA applicable here, where "use of the term 'reasonable modifications' is essentially equivalent to . . . use of the term 'reasonable accommodation[s].'" </w:t>
      </w:r>
      <w:bookmarkStart w:id="3445" w:name="Bookmark_I5T6WYM02SF8BK0040000400"/>
      <w:bookmarkEnd w:id="3445"/>
      <w:r>
        <w:rPr>
          <w:rFonts w:ascii="Arial" w:eastAsia="Arial" w:hAnsi="Arial" w:cs="Arial"/>
          <w:i/>
          <w:color w:val="000000"/>
          <w:sz w:val="18"/>
        </w:rPr>
        <w:t>Robertson</w:t>
      </w:r>
      <w:r>
        <w:rPr>
          <w:rFonts w:ascii="Arial" w:eastAsia="Arial" w:hAnsi="Arial" w:cs="Arial"/>
          <w:color w:val="000000"/>
          <w:sz w:val="18"/>
        </w:rPr>
        <w:t>, 500 F.3d at 1195 n.8.</w:t>
      </w:r>
    </w:p>
  </w:footnote>
  <w:footnote w:id="148">
    <w:p w:rsidR="00E456CD" w:rsidRDefault="00000000">
      <w:pPr>
        <w:pStyle w:val="Normal17"/>
        <w:widowControl w:val="0"/>
        <w:spacing w:before="120" w:line="240" w:lineRule="atLeast"/>
        <w:jc w:val="both"/>
      </w:pPr>
      <w:r>
        <w:rPr>
          <w:rFonts w:ascii="Arial" w:eastAsia="Arial" w:hAnsi="Arial" w:cs="Arial"/>
          <w:color w:val="000000"/>
          <w:sz w:val="18"/>
          <w:vertAlign w:val="superscript"/>
        </w:rPr>
        <w:t>11 </w:t>
      </w:r>
      <w:bookmarkStart w:id="3468" w:name="Bookmark_fnpara_11_4"/>
      <w:bookmarkEnd w:id="3468"/>
      <w:r>
        <w:rPr>
          <w:rFonts w:ascii="Arial" w:eastAsia="Arial" w:hAnsi="Arial" w:cs="Arial"/>
          <w:color w:val="000000"/>
          <w:sz w:val="18"/>
        </w:rPr>
        <w:t>The definition of a "service animal" also incorporates certain limitations, as it means "any dog that is individually trained to do work or perform tasks for the benefit of an individual with a disability," such as by "assisting an individual during a seizure." 28 C.F.R §§ 35.104, 36.104.</w:t>
      </w:r>
    </w:p>
  </w:footnote>
  <w:footnote w:id="149">
    <w:p w:rsidR="00E456CD" w:rsidRDefault="00000000">
      <w:pPr>
        <w:pStyle w:val="Normal17"/>
        <w:widowControl w:val="0"/>
        <w:spacing w:before="200" w:line="240" w:lineRule="atLeast"/>
        <w:jc w:val="both"/>
      </w:pPr>
      <w:r>
        <w:rPr>
          <w:rFonts w:ascii="Arial" w:eastAsia="Arial" w:hAnsi="Arial" w:cs="Arial"/>
          <w:color w:val="000000"/>
          <w:sz w:val="18"/>
          <w:vertAlign w:val="superscript"/>
        </w:rPr>
        <w:t>12 </w:t>
      </w:r>
      <w:bookmarkStart w:id="3495" w:name="Bookmark_fnpara_12_4"/>
      <w:bookmarkEnd w:id="3495"/>
      <w:r>
        <w:rPr>
          <w:rFonts w:ascii="Arial" w:eastAsia="Arial" w:hAnsi="Arial" w:cs="Arial"/>
          <w:color w:val="000000"/>
          <w:sz w:val="18"/>
        </w:rPr>
        <w:t xml:space="preserve">The DOE has promulgated a general regulation providing that federally funded schools may not deny individuals with disabilities "the opportunity to participate in or benefit from the[ir] aid, benefit, or service." 34 C.F.R. § 104.4(b)(1)(i). It has also advised informally that such schools have an obligation to make "reasonable modifications," which "applies under both Section 504 and [the ADA]," and that it views the terms "reasonable accommodation and reasonable modification interchangeably." U.S. Dep't of Educ., Office for Civil Rights, </w:t>
      </w:r>
      <w:r>
        <w:rPr>
          <w:rFonts w:ascii="Arial" w:eastAsia="Arial" w:hAnsi="Arial" w:cs="Arial"/>
          <w:i/>
          <w:color w:val="000000"/>
          <w:sz w:val="18"/>
        </w:rPr>
        <w:t>Frequently Asked Questions About the Rights of Students with Disabilities in Public Charter Schools Under Section 504 of the Rehabilitation Act of 1973</w:t>
      </w:r>
      <w:r>
        <w:rPr>
          <w:rFonts w:ascii="Arial" w:eastAsia="Arial" w:hAnsi="Arial" w:cs="Arial"/>
          <w:color w:val="000000"/>
          <w:sz w:val="18"/>
        </w:rPr>
        <w:t>, at 14 n.53, 19 &amp; n.65 (2016) (emphasis omitted), https://www2.ed.gov/about/offices/list/ocr/docs/dcl-faq-201612-504-charter-school.pdf .</w:t>
      </w:r>
    </w:p>
  </w:footnote>
  <w:footnote w:id="150">
    <w:p w:rsidR="00E456CD" w:rsidRDefault="00000000">
      <w:pPr>
        <w:pStyle w:val="Normal17"/>
        <w:widowControl w:val="0"/>
        <w:spacing w:before="200" w:line="240" w:lineRule="atLeast"/>
        <w:jc w:val="both"/>
      </w:pPr>
      <w:r>
        <w:rPr>
          <w:rFonts w:ascii="Arial" w:eastAsia="Arial" w:hAnsi="Arial" w:cs="Arial"/>
          <w:color w:val="000000"/>
          <w:sz w:val="18"/>
          <w:vertAlign w:val="superscript"/>
        </w:rPr>
        <w:t>13 </w:t>
      </w:r>
      <w:bookmarkStart w:id="3496" w:name="Bookmark_fnpara_13_4"/>
      <w:bookmarkEnd w:id="3496"/>
      <w:r>
        <w:rPr>
          <w:rFonts w:ascii="Arial" w:eastAsia="Arial" w:hAnsi="Arial" w:cs="Arial"/>
          <w:i/>
          <w:color w:val="000000"/>
          <w:sz w:val="18"/>
        </w:rPr>
        <w:t>See, e.g., Ketchum Pub. Sch.</w:t>
      </w:r>
      <w:r>
        <w:rPr>
          <w:rFonts w:ascii="Arial" w:eastAsia="Arial" w:hAnsi="Arial" w:cs="Arial"/>
          <w:color w:val="000000"/>
          <w:sz w:val="18"/>
        </w:rPr>
        <w:t>, Case No. 07-17-1250 (U.S. Dep't of Educ. Feb. 12, 2018) (resolution agreement), https://www2.ed.gov/about/offices/list/ocr/docs/investigations/more/07171250-b.pdf (requiring a school district to revise its service animal policy to comply with both statutes); Letter from Melanie Velez, Reg'l Dir., U.S. Dep't of Educ., Office for Civil Rights, to Shane Barnett, Superintendent, Cullman Cty. Sch. (Sept. 19, 2017), https://www2.ed.gov/about/offices/list/ocr/docs/investigations/more/04171114-a.pdf (finding that evidence of a school district's noncompliance with the service animal regulations was also sufficient evidence to support a finding of noncompliance with the RA).</w:t>
      </w:r>
    </w:p>
  </w:footnote>
  <w:footnote w:id="151">
    <w:p w:rsidR="00E456CD" w:rsidRDefault="00000000">
      <w:pPr>
        <w:pStyle w:val="Normal17"/>
        <w:widowControl w:val="0"/>
        <w:spacing w:before="200" w:line="240" w:lineRule="atLeast"/>
        <w:jc w:val="both"/>
      </w:pPr>
      <w:r>
        <w:rPr>
          <w:rFonts w:ascii="Arial" w:eastAsia="Arial" w:hAnsi="Arial" w:cs="Arial"/>
          <w:color w:val="000000"/>
          <w:sz w:val="18"/>
          <w:vertAlign w:val="superscript"/>
        </w:rPr>
        <w:t>14 </w:t>
      </w:r>
      <w:bookmarkStart w:id="3498" w:name="Bookmark_fnpara_14_3"/>
      <w:bookmarkEnd w:id="3498"/>
      <w:r>
        <w:rPr>
          <w:rFonts w:ascii="Arial" w:eastAsia="Arial" w:hAnsi="Arial" w:cs="Arial"/>
          <w:i/>
          <w:color w:val="000000"/>
          <w:sz w:val="18"/>
        </w:rPr>
        <w:t>See supra</w:t>
      </w:r>
      <w:r>
        <w:rPr>
          <w:rFonts w:ascii="Arial" w:eastAsia="Arial" w:hAnsi="Arial" w:cs="Arial"/>
          <w:color w:val="000000"/>
          <w:sz w:val="18"/>
        </w:rPr>
        <w:t xml:space="preserve"> note 11.</w:t>
      </w:r>
    </w:p>
  </w:footnote>
  <w:footnote w:id="152">
    <w:p w:rsidR="00E456CD" w:rsidRDefault="00000000">
      <w:pPr>
        <w:pStyle w:val="Normal17"/>
        <w:widowControl w:val="0"/>
        <w:spacing w:before="120" w:line="240" w:lineRule="atLeast"/>
        <w:jc w:val="both"/>
      </w:pPr>
      <w:r>
        <w:rPr>
          <w:rFonts w:ascii="Arial" w:eastAsia="Arial" w:hAnsi="Arial" w:cs="Arial"/>
          <w:color w:val="000000"/>
          <w:sz w:val="18"/>
          <w:vertAlign w:val="superscript"/>
        </w:rPr>
        <w:t>15 </w:t>
      </w:r>
      <w:bookmarkStart w:id="3501" w:name="Bookmark_fnpara_15_3"/>
      <w:bookmarkEnd w:id="3501"/>
      <w:r>
        <w:rPr>
          <w:rFonts w:ascii="Arial" w:eastAsia="Arial" w:hAnsi="Arial" w:cs="Arial"/>
          <w:color w:val="000000"/>
          <w:sz w:val="18"/>
        </w:rPr>
        <w:t xml:space="preserve">This regulation was promulgated pursuant to the Workforce Innovation and Opportunity Act, which requires that the DOL ensure federal funds are disbursed consistent with various anti-discrimination statutes, including the RA. The agency's responses to comments in the rule-making process also reflect its view that "[t]he final rule [requiring reasonable modifications] creates no new obligations for recipients regarding reasonable accommodations and modifications that were not already required by existing laws. Accommodations in the rule parallel those already required under the ADA and Section 504 of the [RA], as well as those that were required under the [previous] rules." </w:t>
      </w:r>
      <w:bookmarkStart w:id="3502" w:name="Bookmark_I5T6WYM02SF8BP0040000400"/>
      <w:bookmarkEnd w:id="3502"/>
      <w:r>
        <w:rPr>
          <w:rFonts w:ascii="Arial" w:eastAsia="Arial" w:hAnsi="Arial" w:cs="Arial"/>
          <w:color w:val="000000"/>
          <w:sz w:val="18"/>
        </w:rPr>
        <w:t>81 Fed. Reg. 87,130, 87,171 (Dec. 2, 2016).</w:t>
      </w:r>
    </w:p>
  </w:footnote>
  <w:footnote w:id="153">
    <w:p w:rsidR="00E456CD" w:rsidRDefault="00000000">
      <w:pPr>
        <w:pStyle w:val="Normal17"/>
        <w:widowControl w:val="0"/>
        <w:spacing w:before="200" w:line="240" w:lineRule="atLeast"/>
        <w:jc w:val="both"/>
      </w:pPr>
      <w:r>
        <w:rPr>
          <w:rFonts w:ascii="Arial" w:eastAsia="Arial" w:hAnsi="Arial" w:cs="Arial"/>
          <w:color w:val="000000"/>
          <w:sz w:val="18"/>
          <w:vertAlign w:val="superscript"/>
        </w:rPr>
        <w:t>16 </w:t>
      </w:r>
      <w:bookmarkStart w:id="3540" w:name="Bookmark_fnpara_16_3"/>
      <w:bookmarkEnd w:id="3540"/>
      <w:r>
        <w:rPr>
          <w:rFonts w:ascii="Arial" w:eastAsia="Arial" w:hAnsi="Arial" w:cs="Arial"/>
          <w:color w:val="000000"/>
          <w:sz w:val="18"/>
        </w:rPr>
        <w:t xml:space="preserve">The School did not suggest, for example, that allowing Buddy to accompany M.B. would "fundamentally alter the nature of the . . . program," 28 C.F.R. § 36.302(a), or that Buddy was "out of control" or "not housebroken," </w:t>
      </w:r>
      <w:r>
        <w:rPr>
          <w:rFonts w:ascii="Arial" w:eastAsia="Arial" w:hAnsi="Arial" w:cs="Arial"/>
          <w:i/>
          <w:color w:val="000000"/>
          <w:sz w:val="18"/>
        </w:rPr>
        <w:t>id.</w:t>
      </w:r>
      <w:r>
        <w:rPr>
          <w:rFonts w:ascii="Arial" w:eastAsia="Arial" w:hAnsi="Arial" w:cs="Arial"/>
          <w:color w:val="000000"/>
          <w:sz w:val="18"/>
        </w:rPr>
        <w:t xml:space="preserve"> § 36.302(c)(2)(i)-(ii). Indeed, the only explanations it offered for refusing to make that accommodation were perplexing and evolving, including the possibility that students would find Buddy distracting, when it would seem the prospect of their classmate seizing without advance warning would be far more of a distraction, and the allergies of another student, when that student's parents disavowed the need for Buddy's exclusion and that very ground—in guidance applicable to the School as a "public accommodation" under the ADA—had been deemed "not valid" as a reason for "denying access . . . to people using service animals," U.S. Dep't of Justice, Civil Rights Div., </w:t>
      </w:r>
      <w:r>
        <w:rPr>
          <w:rFonts w:ascii="Arial" w:eastAsia="Arial" w:hAnsi="Arial" w:cs="Arial"/>
          <w:i/>
          <w:color w:val="000000"/>
          <w:sz w:val="18"/>
        </w:rPr>
        <w:t>Service Animals</w:t>
      </w:r>
      <w:r>
        <w:rPr>
          <w:rFonts w:ascii="Arial" w:eastAsia="Arial" w:hAnsi="Arial" w:cs="Arial"/>
          <w:color w:val="000000"/>
          <w:sz w:val="18"/>
        </w:rPr>
        <w:t xml:space="preserve"> (July 12, 2011), https://www.ada.gov/service_animals_2010.htm .</w:t>
      </w:r>
    </w:p>
  </w:footnote>
  <w:footnote w:id="154">
    <w:p w:rsidR="00E456CD" w:rsidRDefault="00000000">
      <w:pPr>
        <w:pStyle w:val="Normal17"/>
        <w:widowControl w:val="0"/>
        <w:spacing w:before="200" w:line="240" w:lineRule="atLeast"/>
        <w:jc w:val="both"/>
      </w:pPr>
      <w:r>
        <w:rPr>
          <w:rFonts w:ascii="Arial" w:eastAsia="Arial" w:hAnsi="Arial" w:cs="Arial"/>
          <w:color w:val="000000"/>
          <w:sz w:val="18"/>
          <w:vertAlign w:val="superscript"/>
        </w:rPr>
        <w:t>17 </w:t>
      </w:r>
      <w:bookmarkStart w:id="3560" w:name="Bookmark_fnpara_17_3"/>
      <w:bookmarkStart w:id="3561" w:name="Bookmark_I5T6WYM02HM6BT0020000400"/>
      <w:bookmarkEnd w:id="3560"/>
      <w:bookmarkEnd w:id="3561"/>
      <w:r>
        <w:rPr>
          <w:rFonts w:ascii="Arial" w:eastAsia="Arial" w:hAnsi="Arial" w:cs="Arial"/>
          <w:color w:val="000000"/>
          <w:sz w:val="18"/>
        </w:rPr>
        <w:t xml:space="preserve">We also note that where, as here, a trial judge rules early in litigation that a rule of law applies to the facts of the case, and that ruling shapes the course of trial and the parties' strategy, but then the judge reverses course at the jury instruction stage, there may be a risk of prejudice to the parties under the law of the case doctrine. </w:t>
      </w:r>
      <w:r>
        <w:rPr>
          <w:rFonts w:ascii="Arial" w:eastAsia="Arial" w:hAnsi="Arial" w:cs="Arial"/>
          <w:i/>
          <w:color w:val="000000"/>
          <w:sz w:val="18"/>
        </w:rPr>
        <w:t xml:space="preserve">See </w:t>
      </w:r>
      <w:bookmarkStart w:id="3562" w:name="Bookmark_I5T6WYM02HM6BT0010000400"/>
      <w:bookmarkEnd w:id="3562"/>
      <w:r>
        <w:rPr>
          <w:rFonts w:ascii="Arial" w:eastAsia="Arial" w:hAnsi="Arial" w:cs="Arial"/>
          <w:i/>
          <w:color w:val="000000"/>
          <w:sz w:val="18"/>
        </w:rPr>
        <w:t>In re Pharmacy Benefit Managers Antitrust Litig.</w:t>
      </w:r>
      <w:r>
        <w:rPr>
          <w:rFonts w:ascii="Arial" w:eastAsia="Arial" w:hAnsi="Arial" w:cs="Arial"/>
          <w:color w:val="000000"/>
          <w:sz w:val="18"/>
        </w:rPr>
        <w:t>, 582 F.3d 432, 439 (3d Cir. 2009). We need not consider whether M.B. suffered such prejudice here, however, because our conclusions that the jury instructions were erroneous and that the error was not harmless dictate our disposition.</w:t>
      </w:r>
    </w:p>
  </w:footnote>
  <w:footnote w:id="155">
    <w:p w:rsidR="00E456CD" w:rsidRDefault="00000000">
      <w:pPr>
        <w:pStyle w:val="Normal18"/>
        <w:widowControl w:val="0"/>
        <w:spacing w:before="120" w:line="240" w:lineRule="atLeast"/>
        <w:jc w:val="both"/>
      </w:pPr>
      <w:r>
        <w:rPr>
          <w:rFonts w:ascii="Arial" w:eastAsia="Arial" w:hAnsi="Arial" w:cs="Arial"/>
          <w:color w:val="000000"/>
          <w:sz w:val="18"/>
          <w:vertAlign w:val="superscript"/>
        </w:rPr>
        <w:t>1 </w:t>
      </w:r>
      <w:bookmarkStart w:id="3588" w:name="Bookmark_fnpara_1_15"/>
      <w:bookmarkEnd w:id="3588"/>
      <w:r>
        <w:rPr>
          <w:rFonts w:ascii="Arial" w:eastAsia="Arial" w:hAnsi="Arial" w:cs="Arial"/>
          <w:color w:val="000000"/>
          <w:sz w:val="18"/>
        </w:rPr>
        <w:t>Along with Dunkin' Donuts, Haynes sued DD IP Holder LLC and Cashstar, Inc. Those three companies operated www.dunkindonuts.com and its associated websites. We'll refer to them collectively as Dunkin' Donuts.</w:t>
      </w:r>
    </w:p>
  </w:footnote>
  <w:footnote w:id="156">
    <w:p w:rsidR="00E456CD" w:rsidRDefault="00000000">
      <w:pPr>
        <w:pStyle w:val="Normal18"/>
        <w:widowControl w:val="0"/>
        <w:spacing w:before="200" w:line="240" w:lineRule="atLeast"/>
        <w:jc w:val="both"/>
      </w:pPr>
      <w:r>
        <w:rPr>
          <w:rFonts w:ascii="Arial" w:eastAsia="Arial" w:hAnsi="Arial" w:cs="Arial"/>
          <w:color w:val="000000"/>
          <w:sz w:val="18"/>
          <w:vertAlign w:val="superscript"/>
        </w:rPr>
        <w:t>2 </w:t>
      </w:r>
      <w:bookmarkStart w:id="3600" w:name="Bookmark_fnpara_2_12"/>
      <w:bookmarkEnd w:id="3600"/>
      <w:r>
        <w:rPr>
          <w:rFonts w:ascii="Arial" w:eastAsia="Arial" w:hAnsi="Arial" w:cs="Arial"/>
          <w:color w:val="000000"/>
          <w:sz w:val="18"/>
        </w:rPr>
        <w:t xml:space="preserve">Dunkin' Donuts does argue that even if the website is a service, privilege, advantage, or accommodation, it is not a service, privilege, advantage, or accommodation of </w:t>
      </w:r>
      <w:r>
        <w:rPr>
          <w:rFonts w:ascii="Arial" w:eastAsia="Arial" w:hAnsi="Arial" w:cs="Arial"/>
          <w:color w:val="000000"/>
          <w:sz w:val="18"/>
          <w:u w:val="single"/>
        </w:rPr>
        <w:t>its</w:t>
      </w:r>
      <w:r>
        <w:rPr>
          <w:rFonts w:ascii="Arial" w:eastAsia="Arial" w:hAnsi="Arial" w:cs="Arial"/>
          <w:color w:val="000000"/>
          <w:sz w:val="18"/>
        </w:rPr>
        <w:t xml:space="preserve"> physical place of public accommodation because, according to Dunkin' Donuts, it is merely the franchisor of Dunkin' Donuts shops. But the complaint doesn't allege anything about Dunkin' Donuts being a franchisor; it alleges that Dunkin' Donuts owns and operates shops all around the country and near Haynes. </w:t>
      </w:r>
      <w:bookmarkStart w:id="3601" w:name="Bookmark_I5T3XBHJ28T4PC0030000400"/>
      <w:bookmarkEnd w:id="3601"/>
      <w:r>
        <w:rPr>
          <w:rFonts w:ascii="Arial" w:eastAsia="Arial" w:hAnsi="Arial" w:cs="Arial"/>
          <w:color w:val="000000"/>
          <w:sz w:val="18"/>
        </w:rPr>
        <w:t xml:space="preserve">At this stage it would be inappropriate to consider Dunkin' Donuts' factual assertions that it is merely a franchisor. The district court did not convert the motion to dismiss into a motion for summary judgment, which would have allowed it to consider materials outside the complaint. </w:t>
      </w:r>
      <w:r>
        <w:rPr>
          <w:rFonts w:ascii="Arial" w:eastAsia="Arial" w:hAnsi="Arial" w:cs="Arial"/>
          <w:color w:val="000000"/>
          <w:sz w:val="18"/>
          <w:u w:val="single"/>
        </w:rPr>
        <w:t xml:space="preserve">See </w:t>
      </w:r>
      <w:bookmarkStart w:id="3602" w:name="Bookmark_I5T3XBHJ28T4PC0020000400"/>
      <w:bookmarkEnd w:id="3602"/>
      <w:r>
        <w:rPr>
          <w:rFonts w:ascii="Arial" w:eastAsia="Arial" w:hAnsi="Arial" w:cs="Arial"/>
          <w:color w:val="000000"/>
          <w:sz w:val="18"/>
          <w:u w:val="single"/>
        </w:rPr>
        <w:t>Day v. Taylor</w:t>
      </w:r>
      <w:r>
        <w:rPr>
          <w:rFonts w:ascii="Arial" w:eastAsia="Arial" w:hAnsi="Arial" w:cs="Arial"/>
          <w:color w:val="000000"/>
          <w:sz w:val="18"/>
        </w:rPr>
        <w:t>, 400 F.3d 1272, 1275-76 (11th Cir. 2005) ("The district court generally must convert a motion to dismiss into a motion for summary judgment if it considers materials outside the complaint.").</w:t>
      </w:r>
    </w:p>
  </w:footnote>
  <w:footnote w:id="157">
    <w:p w:rsidR="00E456CD" w:rsidRDefault="00000000">
      <w:pPr>
        <w:pStyle w:val="Normal19"/>
        <w:widowControl w:val="0"/>
        <w:spacing w:before="200" w:line="240" w:lineRule="atLeast"/>
        <w:jc w:val="both"/>
      </w:pPr>
      <w:r>
        <w:rPr>
          <w:rFonts w:ascii="Arial" w:eastAsia="Arial" w:hAnsi="Arial" w:cs="Arial"/>
          <w:color w:val="000000"/>
          <w:sz w:val="18"/>
          <w:vertAlign w:val="superscript"/>
        </w:rPr>
        <w:t>1 </w:t>
      </w:r>
      <w:bookmarkStart w:id="3632" w:name="Bookmark_fnpara_1_16"/>
      <w:bookmarkEnd w:id="3632"/>
      <w:r>
        <w:rPr>
          <w:rFonts w:ascii="Arial" w:eastAsia="Arial" w:hAnsi="Arial" w:cs="Arial"/>
          <w:color w:val="000000"/>
          <w:sz w:val="18"/>
        </w:rPr>
        <w:t xml:space="preserve">"[T]he MHRA parallels the ADA." </w:t>
      </w:r>
      <w:bookmarkStart w:id="3633" w:name="Bookmark_I5T32F3V2HM6CW0030000400"/>
      <w:bookmarkEnd w:id="3633"/>
      <w:r>
        <w:rPr>
          <w:rFonts w:ascii="Arial" w:eastAsia="Arial" w:hAnsi="Arial" w:cs="Arial"/>
          <w:b/>
          <w:i/>
          <w:color w:val="000000"/>
          <w:sz w:val="18"/>
        </w:rPr>
        <w:t>Fenney v. Dakota, Minnesota &amp; E. R. Co.</w:t>
      </w:r>
      <w:r>
        <w:rPr>
          <w:rFonts w:ascii="Arial" w:eastAsia="Arial" w:hAnsi="Arial" w:cs="Arial"/>
          <w:color w:val="000000"/>
          <w:sz w:val="18"/>
        </w:rPr>
        <w:t>, 327 F.3d 707, 711 n.5 (8th Cir. 2003).</w:t>
      </w:r>
    </w:p>
  </w:footnote>
  <w:footnote w:id="158">
    <w:p w:rsidR="00E456CD" w:rsidRDefault="00000000">
      <w:pPr>
        <w:pStyle w:val="Normal19"/>
        <w:widowControl w:val="0"/>
        <w:spacing w:before="200" w:line="240" w:lineRule="atLeast"/>
        <w:jc w:val="both"/>
      </w:pPr>
      <w:r>
        <w:rPr>
          <w:rFonts w:ascii="Arial" w:eastAsia="Arial" w:hAnsi="Arial" w:cs="Arial"/>
          <w:color w:val="000000"/>
          <w:sz w:val="18"/>
          <w:vertAlign w:val="superscript"/>
        </w:rPr>
        <w:t>2 </w:t>
      </w:r>
      <w:bookmarkStart w:id="3711" w:name="Bookmark_fnpara_2_13"/>
      <w:bookmarkStart w:id="3712" w:name="Bookmark_I5T32F3W2HM6CY0050000400"/>
      <w:bookmarkEnd w:id="3711"/>
      <w:bookmarkEnd w:id="3712"/>
      <w:r>
        <w:rPr>
          <w:rFonts w:ascii="Arial" w:eastAsia="Arial" w:hAnsi="Arial" w:cs="Arial"/>
          <w:color w:val="000000"/>
          <w:sz w:val="18"/>
        </w:rPr>
        <w:t xml:space="preserve">Myron's cites an affidavit to argue that this case is moot, an issue the district court may consider on remand. </w:t>
      </w:r>
      <w:r>
        <w:rPr>
          <w:rFonts w:ascii="Arial" w:eastAsia="Arial" w:hAnsi="Arial" w:cs="Arial"/>
          <w:i/>
          <w:color w:val="000000"/>
          <w:sz w:val="18"/>
        </w:rPr>
        <w:t xml:space="preserve">See </w:t>
      </w:r>
      <w:bookmarkStart w:id="3713" w:name="Bookmark_I5T32F3W2HM6CY0040000400"/>
      <w:bookmarkEnd w:id="3713"/>
      <w:r>
        <w:rPr>
          <w:rFonts w:ascii="Arial" w:eastAsia="Arial" w:hAnsi="Arial" w:cs="Arial"/>
          <w:b/>
          <w:i/>
          <w:color w:val="000000"/>
          <w:sz w:val="18"/>
        </w:rPr>
        <w:t>Sellner v. MAT Holdings, Inc.</w:t>
      </w:r>
      <w:r>
        <w:rPr>
          <w:rFonts w:ascii="Arial" w:eastAsia="Arial" w:hAnsi="Arial" w:cs="Arial"/>
          <w:color w:val="000000"/>
          <w:sz w:val="18"/>
        </w:rPr>
        <w:t>, 859 F.3d 610, 616 (8th Cir. 2017) ("Because the district court did not rule on this fact-intensive issue, this court leaves it for remand.").</w:t>
      </w:r>
    </w:p>
  </w:footnote>
  <w:footnote w:id="159">
    <w:p w:rsidR="00E456CD" w:rsidRDefault="00000000">
      <w:pPr>
        <w:pStyle w:val="Normal20"/>
        <w:widowControl w:val="0"/>
        <w:spacing w:before="120" w:line="240" w:lineRule="atLeast"/>
        <w:jc w:val="both"/>
      </w:pPr>
      <w:r>
        <w:rPr>
          <w:rFonts w:ascii="Arial" w:eastAsia="Arial" w:hAnsi="Arial" w:cs="Arial"/>
          <w:color w:val="000000"/>
          <w:sz w:val="18"/>
          <w:vertAlign w:val="superscript"/>
        </w:rPr>
        <w:t>1 </w:t>
      </w:r>
      <w:bookmarkStart w:id="3732" w:name="Bookmark_fnpara_1_17"/>
      <w:bookmarkEnd w:id="3732"/>
      <w:r>
        <w:rPr>
          <w:rFonts w:ascii="Arial" w:eastAsia="Arial" w:hAnsi="Arial" w:cs="Arial"/>
          <w:color w:val="000000"/>
          <w:sz w:val="18"/>
        </w:rPr>
        <w:t>An "access aisle" is a designated area located adjacent to an accessible parking space. As Mielo helpfully explains in his deposition, an "access aisle is that dash line that people love to park in when they shouldn't . . . it's that area, you know, for ramps or for doors to open, things like that." JA 445.</w:t>
      </w:r>
    </w:p>
  </w:footnote>
  <w:footnote w:id="160">
    <w:p w:rsidR="00E456CD" w:rsidRDefault="00000000">
      <w:pPr>
        <w:pStyle w:val="Normal20"/>
        <w:widowControl w:val="0"/>
        <w:spacing w:before="120" w:line="240" w:lineRule="atLeast"/>
        <w:jc w:val="both"/>
      </w:pPr>
      <w:r>
        <w:rPr>
          <w:rFonts w:ascii="Arial" w:eastAsia="Arial" w:hAnsi="Arial" w:cs="Arial"/>
          <w:color w:val="000000"/>
          <w:sz w:val="18"/>
          <w:vertAlign w:val="superscript"/>
        </w:rPr>
        <w:t>2 </w:t>
      </w:r>
      <w:bookmarkStart w:id="3734" w:name="Bookmark_fnpara_2_14"/>
      <w:bookmarkEnd w:id="3734"/>
      <w:r>
        <w:rPr>
          <w:rFonts w:ascii="Arial" w:eastAsia="Arial" w:hAnsi="Arial" w:cs="Arial"/>
          <w:color w:val="000000"/>
          <w:sz w:val="18"/>
        </w:rPr>
        <w:t>Mielo and Heinzl have visited other Steak 'n Shake locations in the past, but each alleges to have personally experienced ADA violations at only one restaurant location. JA 411, 446-51.</w:t>
      </w:r>
    </w:p>
  </w:footnote>
  <w:footnote w:id="161">
    <w:p w:rsidR="00E456CD" w:rsidRDefault="00000000">
      <w:pPr>
        <w:pStyle w:val="Normal20"/>
        <w:widowControl w:val="0"/>
        <w:spacing w:before="200" w:line="240" w:lineRule="atLeast"/>
        <w:jc w:val="both"/>
      </w:pPr>
      <w:r>
        <w:rPr>
          <w:rFonts w:ascii="Arial" w:eastAsia="Arial" w:hAnsi="Arial" w:cs="Arial"/>
          <w:color w:val="000000"/>
          <w:sz w:val="18"/>
          <w:vertAlign w:val="superscript"/>
        </w:rPr>
        <w:t>3 </w:t>
      </w:r>
      <w:bookmarkStart w:id="3735" w:name="Bookmark_fnpara_3_12"/>
      <w:bookmarkEnd w:id="3735"/>
      <w:r>
        <w:rPr>
          <w:rFonts w:ascii="Arial" w:eastAsia="Arial" w:hAnsi="Arial" w:cs="Arial"/>
          <w:color w:val="000000"/>
          <w:sz w:val="18"/>
        </w:rPr>
        <w:t xml:space="preserve">Specifically, there are "approximately 562 Steak 'n Shake locations in 33 states." Appellant Br. 6. Of those locations, 144 are franchised restaurants. Because Steak 'n Shake does not build or maintain the parking facilities at franchised locations, that leaves approximately 417 at issue in this appeal involving a proposed class limited to restaurant locations where Steak 'n Shake "owns, controls and/or operates the parking facilities." JA 75; </w:t>
      </w:r>
      <w:r>
        <w:rPr>
          <w:rFonts w:ascii="Arial" w:eastAsia="Arial" w:hAnsi="Arial" w:cs="Arial"/>
          <w:i/>
          <w:color w:val="000000"/>
          <w:sz w:val="18"/>
        </w:rPr>
        <w:t>see also</w:t>
      </w:r>
      <w:r>
        <w:rPr>
          <w:rFonts w:ascii="Arial" w:eastAsia="Arial" w:hAnsi="Arial" w:cs="Arial"/>
          <w:color w:val="000000"/>
          <w:sz w:val="18"/>
        </w:rPr>
        <w:t xml:space="preserve"> Appellee Br. 41 ("This case seeks to challenge the same policies and practices that are applied uniformly to approximately 417 restaurants.").</w:t>
      </w:r>
    </w:p>
  </w:footnote>
  <w:footnote w:id="162">
    <w:p w:rsidR="00E456CD" w:rsidRDefault="00000000">
      <w:pPr>
        <w:pStyle w:val="Normal20"/>
        <w:widowControl w:val="0"/>
        <w:spacing w:before="120" w:line="240" w:lineRule="atLeast"/>
        <w:jc w:val="both"/>
      </w:pPr>
      <w:r>
        <w:rPr>
          <w:rFonts w:ascii="Arial" w:eastAsia="Arial" w:hAnsi="Arial" w:cs="Arial"/>
          <w:color w:val="000000"/>
          <w:sz w:val="18"/>
          <w:vertAlign w:val="superscript"/>
        </w:rPr>
        <w:t>4 </w:t>
      </w:r>
      <w:bookmarkStart w:id="3748" w:name="Bookmark_fnpara_4_12"/>
      <w:bookmarkEnd w:id="3748"/>
      <w:r>
        <w:rPr>
          <w:rFonts w:ascii="Arial" w:eastAsia="Arial" w:hAnsi="Arial" w:cs="Arial"/>
          <w:color w:val="000000"/>
          <w:sz w:val="18"/>
        </w:rPr>
        <w:t>Steak 'n Shake restaurants qualify as places of public accommodation. 42 U.S.C. § 12181(7)(B) (referring to "a restaurant, bar, or other establishment serving food or drink").</w:t>
      </w:r>
    </w:p>
  </w:footnote>
  <w:footnote w:id="163">
    <w:p w:rsidR="00E456CD" w:rsidRDefault="00000000">
      <w:pPr>
        <w:pStyle w:val="Normal20"/>
        <w:widowControl w:val="0"/>
        <w:spacing w:before="120" w:line="240" w:lineRule="atLeast"/>
        <w:jc w:val="both"/>
      </w:pPr>
      <w:r>
        <w:rPr>
          <w:rFonts w:ascii="Arial" w:eastAsia="Arial" w:hAnsi="Arial" w:cs="Arial"/>
          <w:color w:val="000000"/>
          <w:sz w:val="18"/>
          <w:vertAlign w:val="superscript"/>
        </w:rPr>
        <w:t>5 </w:t>
      </w:r>
      <w:bookmarkStart w:id="3751" w:name="Bookmark_fnpara_5_11"/>
      <w:bookmarkStart w:id="3752" w:name="Bookmark_LNHNREFclscc4_16"/>
      <w:bookmarkEnd w:id="3751"/>
      <w:bookmarkEnd w:id="3752"/>
      <w:r>
        <w:rPr>
          <w:rFonts w:ascii="Arial" w:eastAsia="Arial" w:hAnsi="Arial" w:cs="Arial"/>
          <w:color w:val="000000"/>
          <w:sz w:val="18"/>
        </w:rPr>
        <w:t>Section 2000a-3(a) provides a private right of action. 42 U.S.C. § 2000a-3 ("Whenever any person has engaged or there are reasonable grounds to believe that any person is about to engage in any act or practice prohibited by section 2000a-2 of this title, a civil action for preventive relief, including an application for a permanent or temporary injunction, restraining order, or other order, may be instituted by the person aggrieved. . . ."). Section 2000a-2 prohibits any person from "withhold[ing], deny[ing], or attempt[ing] to withhold or deny, or deprive or attempt to deprive any person of any right or privilege secured by section 2000a or 2000a-1 of this title." 42 U.S.C. § 2000a-2. Section 2000a provides, in part, that "[a]ll persons shall be entitled to the full and equal enjoyment of the goods, services, facilities, privileges, advantages, and accommodations of any place of public accommodation." 42 U.S.C. § 2000a(a). Section 2000a-1 provides, in part, that "[a]ll persons shall be entitled to be free, at any establishment or place, from discrimination." 42 U.S.C. § 2000a-1.</w:t>
      </w:r>
    </w:p>
  </w:footnote>
  <w:footnote w:id="164">
    <w:p w:rsidR="00E456CD" w:rsidRDefault="00000000">
      <w:pPr>
        <w:pStyle w:val="Normal20"/>
        <w:widowControl w:val="0"/>
        <w:spacing w:before="120" w:line="240" w:lineRule="atLeast"/>
        <w:jc w:val="both"/>
      </w:pPr>
      <w:r>
        <w:rPr>
          <w:rFonts w:ascii="Arial" w:eastAsia="Arial" w:hAnsi="Arial" w:cs="Arial"/>
          <w:color w:val="000000"/>
          <w:sz w:val="18"/>
          <w:vertAlign w:val="superscript"/>
        </w:rPr>
        <w:t>6 </w:t>
      </w:r>
      <w:bookmarkStart w:id="3754" w:name="Bookmark_fnpara_6_8"/>
      <w:bookmarkStart w:id="3755" w:name="Bookmark_LNHNREFclscc5_15"/>
      <w:bookmarkEnd w:id="3754"/>
      <w:bookmarkEnd w:id="3755"/>
      <w:r>
        <w:rPr>
          <w:rFonts w:ascii="Arial" w:eastAsia="Arial" w:hAnsi="Arial" w:cs="Arial"/>
          <w:color w:val="000000"/>
          <w:sz w:val="18"/>
        </w:rPr>
        <w:t>Section 12182(b)(2)(A)(iv) defines discrimination to include "a failure to remove architectural barriers, and communication barriers that are structural in nature, in existing facilities . . . where such removal is readily achievable." 42 U.S.C. § 12182(b)(2)(A)(iv).</w:t>
      </w:r>
    </w:p>
  </w:footnote>
  <w:footnote w:id="165">
    <w:p w:rsidR="00E456CD" w:rsidRDefault="00000000">
      <w:pPr>
        <w:pStyle w:val="Normal20"/>
        <w:widowControl w:val="0"/>
        <w:spacing w:before="120" w:line="240" w:lineRule="atLeast"/>
        <w:jc w:val="both"/>
      </w:pPr>
      <w:r>
        <w:rPr>
          <w:rFonts w:ascii="Arial" w:eastAsia="Arial" w:hAnsi="Arial" w:cs="Arial"/>
          <w:color w:val="000000"/>
          <w:sz w:val="18"/>
          <w:vertAlign w:val="superscript"/>
        </w:rPr>
        <w:t>7 </w:t>
      </w:r>
      <w:bookmarkStart w:id="3756" w:name="Bookmark_fnpara_7_7"/>
      <w:bookmarkEnd w:id="3756"/>
      <w:r>
        <w:rPr>
          <w:rFonts w:ascii="Arial" w:eastAsia="Arial" w:hAnsi="Arial" w:cs="Arial"/>
          <w:color w:val="000000"/>
          <w:sz w:val="18"/>
        </w:rPr>
        <w:t>Section 12183(a) defines discrimination to include both "a failure to design and construct facilities for first occupancy later than 30 months after July 26, 1990, that are readily accessible to and usable by individuals with disabilities, except where an entity can demonstrate that it is structurally impracticable," 42 U.S.C. § 12183(a)(1), as well as older buildings that are altered after July 26, 1990. 42 U.S.C. § 12183(a)(2).</w:t>
      </w:r>
    </w:p>
  </w:footnote>
  <w:footnote w:id="166">
    <w:p w:rsidR="00E456CD" w:rsidRDefault="00000000">
      <w:pPr>
        <w:pStyle w:val="Normal20"/>
        <w:widowControl w:val="0"/>
        <w:spacing w:before="200" w:line="240" w:lineRule="atLeast"/>
        <w:jc w:val="both"/>
      </w:pPr>
      <w:r>
        <w:rPr>
          <w:rFonts w:ascii="Arial" w:eastAsia="Arial" w:hAnsi="Arial" w:cs="Arial"/>
          <w:color w:val="000000"/>
          <w:sz w:val="18"/>
          <w:vertAlign w:val="superscript"/>
        </w:rPr>
        <w:t>8 </w:t>
      </w:r>
      <w:bookmarkStart w:id="3757" w:name="Bookmark_fnpara_8_7"/>
      <w:bookmarkEnd w:id="3757"/>
      <w:r>
        <w:rPr>
          <w:rFonts w:ascii="Arial" w:eastAsia="Arial" w:hAnsi="Arial" w:cs="Arial"/>
          <w:color w:val="000000"/>
          <w:sz w:val="18"/>
        </w:rPr>
        <w:t xml:space="preserve">Section 12182(b)(2)(A)(iv) is particularly important to our Rule 23(a)(2) inquiry. Section 12182(b)(2)(A)(iv) refers to the term "architectural barriers," which, as outlined in the ADA's corresponding regulations, is a broad term that covers a large swath of restaurant features from parking spaces to bathroom mirrors. </w:t>
      </w:r>
      <w:r>
        <w:rPr>
          <w:rFonts w:ascii="Arial" w:eastAsia="Arial" w:hAnsi="Arial" w:cs="Arial"/>
          <w:i/>
          <w:color w:val="000000"/>
          <w:sz w:val="18"/>
        </w:rPr>
        <w:t>See</w:t>
      </w:r>
      <w:r>
        <w:rPr>
          <w:rFonts w:ascii="Arial" w:eastAsia="Arial" w:hAnsi="Arial" w:cs="Arial"/>
          <w:color w:val="000000"/>
          <w:sz w:val="18"/>
        </w:rPr>
        <w:t xml:space="preserve"> 28 C.F.R. § 36.304(b) (listing "[e]xamples of steps to remove barriers"). As Part III.B. will explain, this presents a Rule 23(a)(2) commonality issue since class members may have been injured by different types of architectural barriers.</w:t>
      </w:r>
    </w:p>
  </w:footnote>
  <w:footnote w:id="167">
    <w:p w:rsidR="00E456CD" w:rsidRDefault="00000000">
      <w:pPr>
        <w:pStyle w:val="Normal20"/>
        <w:widowControl w:val="0"/>
        <w:spacing w:before="120" w:line="240" w:lineRule="atLeast"/>
        <w:jc w:val="both"/>
      </w:pPr>
      <w:r>
        <w:rPr>
          <w:rFonts w:ascii="Arial" w:eastAsia="Arial" w:hAnsi="Arial" w:cs="Arial"/>
          <w:color w:val="000000"/>
          <w:sz w:val="18"/>
          <w:vertAlign w:val="superscript"/>
        </w:rPr>
        <w:t>9 </w:t>
      </w:r>
      <w:bookmarkStart w:id="3760" w:name="Bookmark_fnpara_9_6"/>
      <w:bookmarkEnd w:id="3760"/>
      <w:r>
        <w:rPr>
          <w:rFonts w:ascii="Arial" w:eastAsia="Arial" w:hAnsi="Arial" w:cs="Arial"/>
          <w:color w:val="000000"/>
          <w:sz w:val="18"/>
        </w:rPr>
        <w:t>42 U.S.C. § 12182(a) ("General rule.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footnote>
  <w:footnote w:id="168">
    <w:p w:rsidR="00E456CD" w:rsidRDefault="00000000">
      <w:pPr>
        <w:pStyle w:val="Normal20"/>
        <w:widowControl w:val="0"/>
        <w:spacing w:before="120" w:line="240" w:lineRule="atLeast"/>
        <w:jc w:val="both"/>
      </w:pPr>
      <w:r>
        <w:rPr>
          <w:rFonts w:ascii="Arial" w:eastAsia="Arial" w:hAnsi="Arial" w:cs="Arial"/>
          <w:color w:val="000000"/>
          <w:sz w:val="18"/>
          <w:vertAlign w:val="superscript"/>
        </w:rPr>
        <w:t>10 </w:t>
      </w:r>
      <w:bookmarkStart w:id="3767" w:name="Bookmark_fnpara_10_6"/>
      <w:bookmarkEnd w:id="3767"/>
      <w:r>
        <w:rPr>
          <w:rFonts w:ascii="Arial" w:eastAsia="Arial" w:hAnsi="Arial" w:cs="Arial"/>
          <w:color w:val="000000"/>
          <w:sz w:val="18"/>
        </w:rPr>
        <w:t>Referring to the "gravamen" of their lawsuit, Plaintiffs contend that "liability is premised on the fact that [Steak 'n Shake's] current policies and practices directly result in unidentified access violations that are addressed only when individuals with disabilities complain . . . ." Appellee Br. 22. As Plaintiffs elaborate, "[a]fter construction, [Steak 'n Shake] does not conduct ADA-specific assessments at any of its restaurants to ensure that the restaurants remain ADA compliant." Appellee Br. 6. Further, Plaintiffs complain that Steak 'n Shake's "established maintenance procedures similarly ignore the ADA," and that the company's "maintenance employees do not receive any training with regard to ADA compliance issues, thus making it unlikely that ADA-related issues would be identified on an ad hoc basis." Appellee Br. 7.</w:t>
      </w:r>
    </w:p>
    <w:p w:rsidR="00E456CD" w:rsidRDefault="00000000">
      <w:pPr>
        <w:pStyle w:val="Normal20"/>
        <w:widowControl w:val="0"/>
        <w:spacing w:before="200" w:line="240" w:lineRule="atLeast"/>
        <w:jc w:val="both"/>
      </w:pPr>
      <w:bookmarkStart w:id="3768" w:name="Bookmark_fnpara_11_5"/>
      <w:bookmarkEnd w:id="3768"/>
      <w:r>
        <w:rPr>
          <w:rFonts w:ascii="Arial" w:eastAsia="Arial" w:hAnsi="Arial" w:cs="Arial"/>
          <w:color w:val="000000"/>
          <w:sz w:val="18"/>
        </w:rPr>
        <w:t xml:space="preserve">Plaintiffs implicitly argue that it would be good policy to interpret Section 211 to require places of public accommodation to actively </w:t>
      </w:r>
      <w:r>
        <w:rPr>
          <w:rFonts w:ascii="Arial" w:eastAsia="Arial" w:hAnsi="Arial" w:cs="Arial"/>
          <w:i/>
          <w:color w:val="000000"/>
          <w:sz w:val="18"/>
        </w:rPr>
        <w:t>seek out</w:t>
      </w:r>
      <w:r>
        <w:rPr>
          <w:rFonts w:ascii="Arial" w:eastAsia="Arial" w:hAnsi="Arial" w:cs="Arial"/>
          <w:color w:val="000000"/>
          <w:sz w:val="18"/>
        </w:rPr>
        <w:t xml:space="preserve"> access violations, as compared to correcting access violations as they are discovered. </w:t>
      </w:r>
      <w:r>
        <w:rPr>
          <w:rFonts w:ascii="Arial" w:eastAsia="Arial" w:hAnsi="Arial" w:cs="Arial"/>
          <w:i/>
          <w:color w:val="000000"/>
          <w:sz w:val="18"/>
        </w:rPr>
        <w:t>See</w:t>
      </w:r>
      <w:r>
        <w:rPr>
          <w:rFonts w:ascii="Arial" w:eastAsia="Arial" w:hAnsi="Arial" w:cs="Arial"/>
          <w:color w:val="000000"/>
          <w:sz w:val="18"/>
        </w:rPr>
        <w:t xml:space="preserve"> Appellee Br. 37 (arguing that Steak 'n Shake "effectively . . . push[es] its obligation to maintain the accessibility of its restaurants onto customers"). But while relieving customers of the burden of bringing access violations to the attention of restaurants might be good policy, it appears to be in tension with the very policy which Congress codified in the text of the ADA.</w:t>
      </w:r>
    </w:p>
    <w:p w:rsidR="00E456CD" w:rsidRDefault="00000000">
      <w:pPr>
        <w:pStyle w:val="Normal20"/>
        <w:widowControl w:val="0"/>
        <w:spacing w:before="120" w:line="240" w:lineRule="atLeast"/>
        <w:jc w:val="both"/>
      </w:pPr>
      <w:bookmarkStart w:id="3769" w:name="Bookmark_fnpara_12_5"/>
      <w:bookmarkEnd w:id="3769"/>
      <w:r>
        <w:rPr>
          <w:rFonts w:ascii="Arial" w:eastAsia="Arial" w:hAnsi="Arial" w:cs="Arial"/>
          <w:color w:val="000000"/>
          <w:sz w:val="18"/>
        </w:rPr>
        <w:t>In enacting the ADA, Congress made clear that "the nature and cost" of a particular action, as well as "the overall financial resources of the facility or facilities involved in the action," must be taken into account when determining whether a particular access violation constitutes ADA "discrimination" that must be corrected. 42 U.S.C. § 12181(9). In doing so, Congress heeded the obvious: places of public accommodation have finite resources to allocate to correcting access violations.</w:t>
      </w:r>
    </w:p>
    <w:p w:rsidR="00E456CD" w:rsidRDefault="00000000">
      <w:pPr>
        <w:pStyle w:val="Normal20"/>
        <w:widowControl w:val="0"/>
        <w:spacing w:before="120" w:line="240" w:lineRule="atLeast"/>
        <w:jc w:val="both"/>
      </w:pPr>
      <w:bookmarkStart w:id="3770" w:name="Bookmark_fnpara_13_5"/>
      <w:bookmarkEnd w:id="3770"/>
      <w:r>
        <w:rPr>
          <w:rFonts w:ascii="Arial" w:eastAsia="Arial" w:hAnsi="Arial" w:cs="Arial"/>
          <w:color w:val="000000"/>
          <w:sz w:val="18"/>
        </w:rPr>
        <w:t>The text of the ADA seems to suggest, then, that disabled patrons like Mielo and Heinzl are better served when restaurants are required to spend their limited financial resources on correcting only the access violations that disabled patrons have actually brought to the restaurant's attention—rather than requiring those establishments to expend their limited resources in an ongoing search for potential violations that may not exist.</w:t>
      </w:r>
    </w:p>
  </w:footnote>
  <w:footnote w:id="169">
    <w:p w:rsidR="00E456CD" w:rsidRDefault="00000000">
      <w:pPr>
        <w:pStyle w:val="Normal20"/>
        <w:widowControl w:val="0"/>
        <w:spacing w:before="200" w:line="240" w:lineRule="atLeast"/>
        <w:jc w:val="both"/>
      </w:pPr>
      <w:r>
        <w:rPr>
          <w:rFonts w:ascii="Arial" w:eastAsia="Arial" w:hAnsi="Arial" w:cs="Arial"/>
          <w:color w:val="000000"/>
          <w:sz w:val="18"/>
          <w:vertAlign w:val="superscript"/>
        </w:rPr>
        <w:t>11 </w:t>
      </w:r>
      <w:bookmarkStart w:id="3793" w:name="Bookmark_fnpara_14_4"/>
      <w:bookmarkStart w:id="3794" w:name="Bookmark_I5T2VJ0P28T4K80030000400"/>
      <w:bookmarkStart w:id="3795" w:name="Bookmark_I5T2VJ0P28T4K80050000400"/>
      <w:bookmarkStart w:id="3796" w:name="Bookmark_I5T2VJ0P28T4K90020000400"/>
      <w:bookmarkEnd w:id="3793"/>
      <w:bookmarkEnd w:id="3794"/>
      <w:bookmarkEnd w:id="3795"/>
      <w:bookmarkEnd w:id="3796"/>
      <w:r>
        <w:rPr>
          <w:rFonts w:ascii="Arial" w:eastAsia="Arial" w:hAnsi="Arial" w:cs="Arial"/>
          <w:color w:val="000000"/>
          <w:sz w:val="18"/>
        </w:rPr>
        <w:t xml:space="preserve">In </w:t>
      </w:r>
      <w:r>
        <w:rPr>
          <w:rFonts w:ascii="Arial" w:eastAsia="Arial" w:hAnsi="Arial" w:cs="Arial"/>
          <w:i/>
          <w:color w:val="000000"/>
          <w:sz w:val="18"/>
        </w:rPr>
        <w:t>Cottrell</w:t>
      </w:r>
      <w:r>
        <w:rPr>
          <w:rFonts w:ascii="Arial" w:eastAsia="Arial" w:hAnsi="Arial" w:cs="Arial"/>
          <w:color w:val="000000"/>
          <w:sz w:val="18"/>
        </w:rPr>
        <w:t xml:space="preserve">, we pondered whether the phrase "legally protected interest" constituted a third component of the injury in fact inquiry, or was instead "simply a reformulation of the other components of injury in fact." </w:t>
      </w:r>
      <w:bookmarkStart w:id="3797" w:name="Bookmark_I5T2VJ0P28T4K80020000400"/>
      <w:bookmarkEnd w:id="3797"/>
      <w:r>
        <w:rPr>
          <w:rFonts w:ascii="Arial" w:eastAsia="Arial" w:hAnsi="Arial" w:cs="Arial"/>
          <w:i/>
          <w:color w:val="000000"/>
          <w:sz w:val="18"/>
        </w:rPr>
        <w:t>Cottrell v. Alcon Labs.</w:t>
      </w:r>
      <w:r>
        <w:rPr>
          <w:rFonts w:ascii="Arial" w:eastAsia="Arial" w:hAnsi="Arial" w:cs="Arial"/>
          <w:color w:val="000000"/>
          <w:sz w:val="18"/>
        </w:rPr>
        <w:t xml:space="preserve">, 874 F.3d 154, 164 (3d Cir. 2017). We noted, for example, that the phrase had "not appeared with regularity in Supreme Court opinions addressing standing." </w:t>
      </w:r>
      <w:bookmarkStart w:id="3798" w:name="Bookmark_I5T2VJ0P28T4K80040000400"/>
      <w:bookmarkEnd w:id="3798"/>
      <w:r>
        <w:rPr>
          <w:rFonts w:ascii="Arial" w:eastAsia="Arial" w:hAnsi="Arial" w:cs="Arial"/>
          <w:i/>
          <w:color w:val="000000"/>
          <w:sz w:val="18"/>
        </w:rPr>
        <w:t>Id.</w:t>
      </w:r>
      <w:r>
        <w:rPr>
          <w:rFonts w:ascii="Arial" w:eastAsia="Arial" w:hAnsi="Arial" w:cs="Arial"/>
          <w:color w:val="000000"/>
          <w:sz w:val="18"/>
        </w:rPr>
        <w:t xml:space="preserve"> at 163. </w:t>
      </w:r>
      <w:bookmarkStart w:id="3799" w:name="Bookmark_I5T2VJ0P28T4K90040000400"/>
      <w:bookmarkEnd w:id="3799"/>
      <w:r>
        <w:rPr>
          <w:rFonts w:ascii="Arial" w:eastAsia="Arial" w:hAnsi="Arial" w:cs="Arial"/>
          <w:color w:val="000000"/>
          <w:sz w:val="18"/>
        </w:rPr>
        <w:t xml:space="preserve">But since </w:t>
      </w:r>
      <w:r>
        <w:rPr>
          <w:rFonts w:ascii="Arial" w:eastAsia="Arial" w:hAnsi="Arial" w:cs="Arial"/>
          <w:i/>
          <w:color w:val="000000"/>
          <w:sz w:val="18"/>
        </w:rPr>
        <w:t>Cottrell</w:t>
      </w:r>
      <w:r>
        <w:rPr>
          <w:rFonts w:ascii="Arial" w:eastAsia="Arial" w:hAnsi="Arial" w:cs="Arial"/>
          <w:color w:val="000000"/>
          <w:sz w:val="18"/>
        </w:rPr>
        <w:t xml:space="preserve">, the Supreme Court decided </w:t>
      </w:r>
      <w:bookmarkStart w:id="3800" w:name="Bookmark_I5T2VJ0P28T4K90010000400"/>
      <w:bookmarkEnd w:id="3800"/>
      <w:r>
        <w:rPr>
          <w:rFonts w:ascii="Arial" w:eastAsia="Arial" w:hAnsi="Arial" w:cs="Arial"/>
          <w:i/>
          <w:color w:val="000000"/>
          <w:sz w:val="18"/>
        </w:rPr>
        <w:t>Gill v. Whitford</w:t>
      </w:r>
      <w:r>
        <w:rPr>
          <w:rFonts w:ascii="Arial" w:eastAsia="Arial" w:hAnsi="Arial" w:cs="Arial"/>
          <w:color w:val="000000"/>
          <w:sz w:val="18"/>
        </w:rPr>
        <w:t xml:space="preserve">, 138 S. Ct. 1916, 201 L. Ed. 2d 313 (2018), which provides further guidance for courts undertaking a standing analysis. </w:t>
      </w:r>
      <w:bookmarkStart w:id="3801" w:name="Bookmark_I5T2VJ0P28T4K90040000400_2"/>
      <w:bookmarkStart w:id="3802" w:name="Bookmark_I7KKD33S9CS000RK8CR0000F"/>
      <w:bookmarkStart w:id="3803" w:name="Bookmark_I5T2VJ0P2D6NSN0010000400"/>
      <w:bookmarkEnd w:id="3801"/>
      <w:bookmarkEnd w:id="3802"/>
      <w:bookmarkEnd w:id="3803"/>
      <w:r>
        <w:rPr>
          <w:rFonts w:ascii="Arial" w:eastAsia="Arial" w:hAnsi="Arial" w:cs="Arial"/>
          <w:color w:val="000000"/>
          <w:sz w:val="18"/>
        </w:rPr>
        <w:t xml:space="preserve">In </w:t>
      </w:r>
      <w:r>
        <w:rPr>
          <w:rFonts w:ascii="Arial" w:eastAsia="Arial" w:hAnsi="Arial" w:cs="Arial"/>
          <w:i/>
          <w:color w:val="000000"/>
          <w:sz w:val="18"/>
        </w:rPr>
        <w:t>Gill</w:t>
      </w:r>
      <w:r>
        <w:rPr>
          <w:rFonts w:ascii="Arial" w:eastAsia="Arial" w:hAnsi="Arial" w:cs="Arial"/>
          <w:color w:val="000000"/>
          <w:sz w:val="18"/>
        </w:rPr>
        <w:t xml:space="preserve">, the Supreme Court again referred to the "invasion of a legally protected interest" as a distinct component of the injury in fact inquiry. </w:t>
      </w:r>
      <w:bookmarkStart w:id="3804" w:name="Bookmark_I5T2VJ0P28T4K90030000400"/>
      <w:bookmarkEnd w:id="3804"/>
      <w:r>
        <w:rPr>
          <w:rFonts w:ascii="Arial" w:eastAsia="Arial" w:hAnsi="Arial" w:cs="Arial"/>
          <w:i/>
          <w:color w:val="000000"/>
          <w:sz w:val="18"/>
        </w:rPr>
        <w:t>Gill</w:t>
      </w:r>
      <w:r>
        <w:rPr>
          <w:rFonts w:ascii="Arial" w:eastAsia="Arial" w:hAnsi="Arial" w:cs="Arial"/>
          <w:color w:val="000000"/>
          <w:sz w:val="18"/>
        </w:rPr>
        <w:t xml:space="preserve">, 138 S. Ct. at 1929. </w:t>
      </w:r>
      <w:bookmarkStart w:id="3805" w:name="Bookmark_I5T2VJ0P2D6NSN0010000400_2"/>
      <w:bookmarkEnd w:id="3805"/>
      <w:r>
        <w:rPr>
          <w:rFonts w:ascii="Arial" w:eastAsia="Arial" w:hAnsi="Arial" w:cs="Arial"/>
          <w:color w:val="000000"/>
          <w:sz w:val="18"/>
        </w:rPr>
        <w:t xml:space="preserve">In light of </w:t>
      </w:r>
      <w:bookmarkStart w:id="3806" w:name="Bookmark_I5T2VJ0P2D6NSN0010000400_3"/>
      <w:bookmarkStart w:id="3807" w:name="Bookmark_I5T2VJ0P28T4K90050000400"/>
      <w:bookmarkEnd w:id="3806"/>
      <w:bookmarkEnd w:id="3807"/>
      <w:r>
        <w:rPr>
          <w:rFonts w:ascii="Arial" w:eastAsia="Arial" w:hAnsi="Arial" w:cs="Arial"/>
          <w:i/>
          <w:color w:val="000000"/>
          <w:sz w:val="18"/>
        </w:rPr>
        <w:t>Gill</w:t>
      </w:r>
      <w:r>
        <w:rPr>
          <w:rFonts w:ascii="Arial" w:eastAsia="Arial" w:hAnsi="Arial" w:cs="Arial"/>
          <w:color w:val="000000"/>
          <w:sz w:val="18"/>
        </w:rPr>
        <w:t>, we clarify that the phrase "invasion of a legally protected interest" does constitute a distinct component of the injury in fact inquiry. A plaintiff must sufficiently allege to have suffered such an invasion in order to establish Article III standing.</w:t>
      </w:r>
    </w:p>
  </w:footnote>
  <w:footnote w:id="170">
    <w:p w:rsidR="00E456CD" w:rsidRDefault="00000000">
      <w:pPr>
        <w:pStyle w:val="Normal20"/>
        <w:widowControl w:val="0"/>
        <w:spacing w:before="200" w:line="240" w:lineRule="atLeast"/>
        <w:jc w:val="both"/>
      </w:pPr>
      <w:r>
        <w:rPr>
          <w:rFonts w:ascii="Arial" w:eastAsia="Arial" w:hAnsi="Arial" w:cs="Arial"/>
          <w:color w:val="000000"/>
          <w:sz w:val="18"/>
          <w:vertAlign w:val="superscript"/>
        </w:rPr>
        <w:t>12 </w:t>
      </w:r>
      <w:bookmarkStart w:id="3815" w:name="Bookmark_fnpara_15_4"/>
      <w:bookmarkEnd w:id="3815"/>
      <w:r>
        <w:rPr>
          <w:rFonts w:ascii="Arial" w:eastAsia="Arial" w:hAnsi="Arial" w:cs="Arial"/>
          <w:color w:val="000000"/>
          <w:sz w:val="18"/>
        </w:rPr>
        <w:t xml:space="preserve">This is not to say, however, that </w:t>
      </w:r>
      <w:r>
        <w:rPr>
          <w:rFonts w:ascii="Arial" w:eastAsia="Arial" w:hAnsi="Arial" w:cs="Arial"/>
          <w:i/>
          <w:color w:val="000000"/>
          <w:sz w:val="18"/>
        </w:rPr>
        <w:t>Spokeo</w:t>
      </w:r>
      <w:r>
        <w:rPr>
          <w:rFonts w:ascii="Arial" w:eastAsia="Arial" w:hAnsi="Arial" w:cs="Arial"/>
          <w:color w:val="000000"/>
          <w:sz w:val="18"/>
        </w:rPr>
        <w:t xml:space="preserve"> foreclosed standing for all procedural violations—it did so only for those that are "bare." </w:t>
      </w:r>
      <w:bookmarkStart w:id="3816" w:name="Bookmark_I5T2VJ0P2D6NSP0010000400"/>
      <w:bookmarkEnd w:id="3816"/>
      <w:r>
        <w:rPr>
          <w:rFonts w:ascii="Arial" w:eastAsia="Arial" w:hAnsi="Arial" w:cs="Arial"/>
          <w:i/>
          <w:color w:val="000000"/>
          <w:sz w:val="18"/>
        </w:rPr>
        <w:t>Spokeo</w:t>
      </w:r>
      <w:r>
        <w:rPr>
          <w:rFonts w:ascii="Arial" w:eastAsia="Arial" w:hAnsi="Arial" w:cs="Arial"/>
          <w:color w:val="000000"/>
          <w:sz w:val="18"/>
        </w:rPr>
        <w:t>, 136 S. Ct. at 1549 (2016).</w:t>
      </w:r>
    </w:p>
  </w:footnote>
  <w:footnote w:id="171">
    <w:p w:rsidR="00E456CD" w:rsidRDefault="00000000">
      <w:pPr>
        <w:pStyle w:val="Normal20"/>
        <w:widowControl w:val="0"/>
        <w:spacing w:before="200" w:line="240" w:lineRule="atLeast"/>
        <w:jc w:val="both"/>
      </w:pPr>
      <w:r>
        <w:rPr>
          <w:rFonts w:ascii="Arial" w:eastAsia="Arial" w:hAnsi="Arial" w:cs="Arial"/>
          <w:color w:val="000000"/>
          <w:sz w:val="18"/>
          <w:vertAlign w:val="superscript"/>
        </w:rPr>
        <w:t>13 </w:t>
      </w:r>
      <w:bookmarkStart w:id="3817" w:name="Bookmark_fnpara_16_4"/>
      <w:bookmarkEnd w:id="3817"/>
      <w:r>
        <w:rPr>
          <w:rFonts w:ascii="Arial" w:eastAsia="Arial" w:hAnsi="Arial" w:cs="Arial"/>
          <w:color w:val="000000"/>
          <w:sz w:val="18"/>
        </w:rPr>
        <w:t xml:space="preserve">This is not to say that the nonexistence (or existence) of a corporate policy can never be a liability-triggering act that </w:t>
      </w:r>
      <w:r>
        <w:rPr>
          <w:rFonts w:ascii="Arial" w:eastAsia="Arial" w:hAnsi="Arial" w:cs="Arial"/>
          <w:i/>
          <w:color w:val="000000"/>
          <w:sz w:val="18"/>
        </w:rPr>
        <w:t>causes</w:t>
      </w:r>
      <w:r>
        <w:rPr>
          <w:rFonts w:ascii="Arial" w:eastAsia="Arial" w:hAnsi="Arial" w:cs="Arial"/>
          <w:color w:val="000000"/>
          <w:sz w:val="18"/>
        </w:rPr>
        <w:t xml:space="preserve"> a concrete harm. As we explain in Part II.B., although an allegedly unlawful policy is not </w:t>
      </w:r>
      <w:r>
        <w:rPr>
          <w:rFonts w:ascii="Arial" w:eastAsia="Arial" w:hAnsi="Arial" w:cs="Arial"/>
          <w:i/>
          <w:color w:val="000000"/>
          <w:sz w:val="18"/>
        </w:rPr>
        <w:t>itself</w:t>
      </w:r>
      <w:r>
        <w:rPr>
          <w:rFonts w:ascii="Arial" w:eastAsia="Arial" w:hAnsi="Arial" w:cs="Arial"/>
          <w:color w:val="000000"/>
          <w:sz w:val="18"/>
        </w:rPr>
        <w:t xml:space="preserve"> a concrete harm, it can qualify, at least at the pleading stage, as the </w:t>
      </w:r>
      <w:r>
        <w:rPr>
          <w:rFonts w:ascii="Arial" w:eastAsia="Arial" w:hAnsi="Arial" w:cs="Arial"/>
          <w:i/>
          <w:color w:val="000000"/>
          <w:sz w:val="18"/>
        </w:rPr>
        <w:t>cause</w:t>
      </w:r>
      <w:r>
        <w:rPr>
          <w:rFonts w:ascii="Arial" w:eastAsia="Arial" w:hAnsi="Arial" w:cs="Arial"/>
          <w:color w:val="000000"/>
          <w:sz w:val="18"/>
        </w:rPr>
        <w:t xml:space="preserve"> of concrete harms that Plaintiffs claim they have experienced when attempting to ambulate through parking facilities which violate the ADA.</w:t>
      </w:r>
    </w:p>
  </w:footnote>
  <w:footnote w:id="172">
    <w:p w:rsidR="00E456CD" w:rsidRDefault="00000000">
      <w:pPr>
        <w:pStyle w:val="Normal20"/>
        <w:widowControl w:val="0"/>
        <w:spacing w:before="200" w:line="240" w:lineRule="atLeast"/>
        <w:jc w:val="both"/>
      </w:pPr>
      <w:r>
        <w:rPr>
          <w:rFonts w:ascii="Arial" w:eastAsia="Arial" w:hAnsi="Arial" w:cs="Arial"/>
          <w:color w:val="000000"/>
          <w:sz w:val="18"/>
          <w:vertAlign w:val="superscript"/>
        </w:rPr>
        <w:t>14 </w:t>
      </w:r>
      <w:bookmarkStart w:id="3824" w:name="Bookmark_fnpara_17_4"/>
      <w:bookmarkEnd w:id="3824"/>
      <w:r>
        <w:rPr>
          <w:rFonts w:ascii="Arial" w:eastAsia="Arial" w:hAnsi="Arial" w:cs="Arial"/>
          <w:color w:val="000000"/>
          <w:sz w:val="18"/>
        </w:rPr>
        <w:t xml:space="preserve">Although we conclude that these alleged physical harms qualify as "concrete," we point out that "'concrete' is not . . . necessarily synonymous with 'tangible.'" </w:t>
      </w:r>
      <w:bookmarkStart w:id="3825" w:name="Bookmark_I5T2VJ0P2HM6WS0020000400"/>
      <w:bookmarkEnd w:id="3825"/>
      <w:r>
        <w:rPr>
          <w:rFonts w:ascii="Arial" w:eastAsia="Arial" w:hAnsi="Arial" w:cs="Arial"/>
          <w:i/>
          <w:color w:val="000000"/>
          <w:sz w:val="18"/>
        </w:rPr>
        <w:t>Spokeo, Inc. v. Robins</w:t>
      </w:r>
      <w:r>
        <w:rPr>
          <w:rFonts w:ascii="Arial" w:eastAsia="Arial" w:hAnsi="Arial" w:cs="Arial"/>
          <w:color w:val="000000"/>
          <w:sz w:val="18"/>
        </w:rPr>
        <w:t>, 136 S. Ct. 1540, 1549, 194 L. Ed. 2d 635 (2016).</w:t>
      </w:r>
    </w:p>
  </w:footnote>
  <w:footnote w:id="173">
    <w:p w:rsidR="00E456CD" w:rsidRDefault="00000000">
      <w:pPr>
        <w:pStyle w:val="Normal20"/>
        <w:widowControl w:val="0"/>
        <w:spacing w:before="200" w:line="240" w:lineRule="atLeast"/>
        <w:jc w:val="both"/>
      </w:pPr>
      <w:r>
        <w:rPr>
          <w:rFonts w:ascii="Arial" w:eastAsia="Arial" w:hAnsi="Arial" w:cs="Arial"/>
          <w:color w:val="000000"/>
          <w:sz w:val="18"/>
          <w:vertAlign w:val="superscript"/>
        </w:rPr>
        <w:t>15 </w:t>
      </w:r>
      <w:bookmarkStart w:id="3835" w:name="Bookmark_fnpara_18_1"/>
      <w:bookmarkEnd w:id="3835"/>
      <w:r>
        <w:rPr>
          <w:rFonts w:ascii="Arial" w:eastAsia="Arial" w:hAnsi="Arial" w:cs="Arial"/>
          <w:color w:val="000000"/>
          <w:sz w:val="18"/>
        </w:rPr>
        <w:t xml:space="preserve">Steak 'n Shake contends that Plaintiffs do not have standing to seek injunctive relief at either the East Munhall or Pleasant Hills locations. Appellant Br. 55-57. As Steak 'n Shake argues, "there is no evidence establishing any likelihood that Plaintiffs will return to those two respective locations." Appellant Br. 55. Steak 'n Shake's argument is unpersuasive. Although Steak 'n Shake makes much of the unsurprising fact that Plaintiffs do not purport to know the exact date of their next visit to a Steak 'n Shake restaurant, this argument misses the point. Plaintiffs contend they are </w:t>
      </w:r>
      <w:r>
        <w:rPr>
          <w:rFonts w:ascii="Arial" w:eastAsia="Arial" w:hAnsi="Arial" w:cs="Arial"/>
          <w:i/>
          <w:color w:val="000000"/>
          <w:sz w:val="18"/>
        </w:rPr>
        <w:t>currently</w:t>
      </w:r>
      <w:r>
        <w:rPr>
          <w:rFonts w:ascii="Arial" w:eastAsia="Arial" w:hAnsi="Arial" w:cs="Arial"/>
          <w:color w:val="000000"/>
          <w:sz w:val="18"/>
        </w:rPr>
        <w:t xml:space="preserve"> "deterred from returning to [Steak 'n Shake] facilities." JA 93 (Complaint). This allegation is supported by record evidence illustrating that Plaintiffs have visited many Steak 'n Shake restaurant locations in the past, and that Plaintiffs enjoy the food offered at those restaurants. </w:t>
      </w:r>
      <w:r>
        <w:rPr>
          <w:rFonts w:ascii="Arial" w:eastAsia="Arial" w:hAnsi="Arial" w:cs="Arial"/>
          <w:i/>
          <w:color w:val="000000"/>
          <w:sz w:val="18"/>
        </w:rPr>
        <w:t>See, e.g.</w:t>
      </w:r>
      <w:r>
        <w:rPr>
          <w:rFonts w:ascii="Arial" w:eastAsia="Arial" w:hAnsi="Arial" w:cs="Arial"/>
          <w:color w:val="000000"/>
          <w:sz w:val="18"/>
        </w:rPr>
        <w:t xml:space="preserve">, JA 737-40, 751-54. In this sense, the injury providing Plaintiffs with standing to seek injunctive relief is not merely hypothetical or even imminent—it is </w:t>
      </w:r>
      <w:r>
        <w:rPr>
          <w:rFonts w:ascii="Arial" w:eastAsia="Arial" w:hAnsi="Arial" w:cs="Arial"/>
          <w:i/>
          <w:color w:val="000000"/>
          <w:sz w:val="18"/>
        </w:rPr>
        <w:t>actual</w:t>
      </w:r>
      <w:r>
        <w:rPr>
          <w:rFonts w:ascii="Arial" w:eastAsia="Arial" w:hAnsi="Arial" w:cs="Arial"/>
          <w:color w:val="000000"/>
          <w:sz w:val="18"/>
        </w:rPr>
        <w:t xml:space="preserve">, in that this allegedly unlawful deterrence is something that Plaintiffs are currently suffering. </w:t>
      </w:r>
      <w:r>
        <w:rPr>
          <w:rFonts w:ascii="Arial" w:eastAsia="Arial" w:hAnsi="Arial" w:cs="Arial"/>
          <w:i/>
          <w:color w:val="000000"/>
          <w:sz w:val="18"/>
        </w:rPr>
        <w:t>See also</w:t>
      </w:r>
      <w:r>
        <w:rPr>
          <w:rFonts w:ascii="Arial" w:eastAsia="Arial" w:hAnsi="Arial" w:cs="Arial"/>
          <w:color w:val="000000"/>
          <w:sz w:val="18"/>
        </w:rPr>
        <w:t xml:space="preserve"> 42 U.S.C. § 12188(a)(1) ("Nothing in this section shall require a person with a disability to engage in a futile gesture if such person has actual notice that a person or organization covered by this subchapter does not intend to comply with its provisions.").</w:t>
      </w:r>
    </w:p>
  </w:footnote>
  <w:footnote w:id="174">
    <w:p w:rsidR="00E456CD" w:rsidRDefault="00000000">
      <w:pPr>
        <w:pStyle w:val="Normal20"/>
        <w:widowControl w:val="0"/>
        <w:spacing w:before="200" w:line="240" w:lineRule="atLeast"/>
        <w:jc w:val="both"/>
      </w:pPr>
      <w:r>
        <w:rPr>
          <w:rFonts w:ascii="Arial" w:eastAsia="Arial" w:hAnsi="Arial" w:cs="Arial"/>
          <w:color w:val="000000"/>
          <w:sz w:val="18"/>
          <w:vertAlign w:val="superscript"/>
        </w:rPr>
        <w:t>16 </w:t>
      </w:r>
      <w:bookmarkStart w:id="3880" w:name="Bookmark_fnpara_19_0"/>
      <w:bookmarkStart w:id="3881" w:name="Bookmark_LNHNREFclscc18_3"/>
      <w:bookmarkEnd w:id="3880"/>
      <w:bookmarkEnd w:id="3881"/>
      <w:r>
        <w:rPr>
          <w:rFonts w:ascii="Arial" w:eastAsia="Arial" w:hAnsi="Arial" w:cs="Arial"/>
          <w:color w:val="000000"/>
          <w:sz w:val="18"/>
        </w:rPr>
        <w:t xml:space="preserve">Rule 23(b)(2) requires establishing that "the party opposing the class has acted or refused to act on grounds that apply generally to the class, so that final injunctive relief or corresponding declaratory relief is appropriate respecting the class as a whole." </w:t>
      </w:r>
      <w:r>
        <w:rPr>
          <w:rFonts w:ascii="Arial" w:eastAsia="Arial" w:hAnsi="Arial" w:cs="Arial"/>
          <w:smallCaps/>
          <w:color w:val="000000"/>
          <w:sz w:val="18"/>
        </w:rPr>
        <w:t>Fed R. Civ. P.</w:t>
      </w:r>
      <w:r>
        <w:rPr>
          <w:rFonts w:ascii="Arial" w:eastAsia="Arial" w:hAnsi="Arial" w:cs="Arial"/>
          <w:color w:val="000000"/>
          <w:sz w:val="18"/>
        </w:rPr>
        <w:t xml:space="preserve"> 23(b)(2). Subdivision (b)(2) often involves "actions in the civil-rights field where a party is charged with discriminating unlawfully against a class." </w:t>
      </w:r>
      <w:r>
        <w:rPr>
          <w:rFonts w:ascii="Arial" w:eastAsia="Arial" w:hAnsi="Arial" w:cs="Arial"/>
          <w:smallCaps/>
          <w:color w:val="000000"/>
          <w:sz w:val="18"/>
        </w:rPr>
        <w:t>Fed. R. Civ. P.</w:t>
      </w:r>
      <w:r>
        <w:rPr>
          <w:rFonts w:ascii="Arial" w:eastAsia="Arial" w:hAnsi="Arial" w:cs="Arial"/>
          <w:color w:val="000000"/>
          <w:sz w:val="18"/>
        </w:rPr>
        <w:t xml:space="preserve"> 23 advisory committee notes. </w:t>
      </w:r>
      <w:r>
        <w:rPr>
          <w:rFonts w:ascii="Arial" w:eastAsia="Arial" w:hAnsi="Arial" w:cs="Arial"/>
          <w:i/>
          <w:color w:val="000000"/>
          <w:sz w:val="18"/>
        </w:rPr>
        <w:t>See also</w:t>
      </w:r>
      <w:r>
        <w:rPr>
          <w:rFonts w:ascii="Arial" w:eastAsia="Arial" w:hAnsi="Arial" w:cs="Arial"/>
          <w:color w:val="000000"/>
          <w:sz w:val="18"/>
        </w:rPr>
        <w:t xml:space="preserve"> Karen Sandrik, Note, </w:t>
      </w:r>
      <w:r>
        <w:rPr>
          <w:rFonts w:ascii="Arial" w:eastAsia="Arial" w:hAnsi="Arial" w:cs="Arial"/>
          <w:i/>
          <w:color w:val="000000"/>
          <w:sz w:val="18"/>
        </w:rPr>
        <w:t>Overlooked Tool: Promissory Fraud in the Class Action Context</w:t>
      </w:r>
      <w:r>
        <w:rPr>
          <w:rFonts w:ascii="Arial" w:eastAsia="Arial" w:hAnsi="Arial" w:cs="Arial"/>
          <w:color w:val="000000"/>
          <w:sz w:val="18"/>
        </w:rPr>
        <w:t xml:space="preserve">, 35 </w:t>
      </w:r>
      <w:r>
        <w:rPr>
          <w:rFonts w:ascii="Arial" w:eastAsia="Arial" w:hAnsi="Arial" w:cs="Arial"/>
          <w:smallCaps/>
          <w:color w:val="000000"/>
          <w:sz w:val="18"/>
        </w:rPr>
        <w:t>Fla. St. U. L. Rev.</w:t>
      </w:r>
      <w:r>
        <w:rPr>
          <w:rFonts w:ascii="Arial" w:eastAsia="Arial" w:hAnsi="Arial" w:cs="Arial"/>
          <w:color w:val="000000"/>
          <w:sz w:val="18"/>
        </w:rPr>
        <w:t xml:space="preserve"> 193, 204 n.79 (2007) (recognizing that "[t]he prototype of [a Rule 23(b)(2)] action is a civil rights case"). Although the requirements of Rule 23 must always be satisfied regardless of the type of class seeking certification, this civil rights action under the ADA is indeed the type of action for which Rule 23(b)(2) was originally designed.</w:t>
      </w:r>
    </w:p>
  </w:footnote>
  <w:footnote w:id="175">
    <w:p w:rsidR="00E456CD" w:rsidRDefault="00000000">
      <w:pPr>
        <w:pStyle w:val="Normal20"/>
        <w:widowControl w:val="0"/>
        <w:spacing w:before="200" w:line="240" w:lineRule="atLeast"/>
        <w:jc w:val="both"/>
      </w:pPr>
      <w:r>
        <w:rPr>
          <w:rFonts w:ascii="Arial" w:eastAsia="Arial" w:hAnsi="Arial" w:cs="Arial"/>
          <w:color w:val="000000"/>
          <w:sz w:val="18"/>
          <w:vertAlign w:val="superscript"/>
        </w:rPr>
        <w:t>17 </w:t>
      </w:r>
      <w:bookmarkStart w:id="3887" w:name="Bookmark_fnpara_20_0"/>
      <w:bookmarkEnd w:id="3887"/>
      <w:r>
        <w:rPr>
          <w:rFonts w:ascii="Arial" w:eastAsia="Arial" w:hAnsi="Arial" w:cs="Arial"/>
          <w:color w:val="000000"/>
          <w:sz w:val="18"/>
        </w:rPr>
        <w:t xml:space="preserve">For a brief description of some of the takeaways from the 2003 amendments, see Charles R. Korsmo, </w:t>
      </w:r>
      <w:r>
        <w:rPr>
          <w:rFonts w:ascii="Arial" w:eastAsia="Arial" w:hAnsi="Arial" w:cs="Arial"/>
          <w:i/>
          <w:color w:val="000000"/>
          <w:sz w:val="18"/>
        </w:rPr>
        <w:t>Mismatch: The Misuse of Market Efficiency in Market Manipulation Class Actions</w:t>
      </w:r>
      <w:r>
        <w:rPr>
          <w:rFonts w:ascii="Arial" w:eastAsia="Arial" w:hAnsi="Arial" w:cs="Arial"/>
          <w:color w:val="000000"/>
          <w:sz w:val="18"/>
        </w:rPr>
        <w:t>, 52 WM. &amp; MARY L. REV. 1111, 1134 n.97 (2011) ("The 2003 amendments to Rule 23 . . . eliminated the provision from prior Rule 23(c)(1)(C) allowing 'conditional' certification of classes. . . . [And] Rule 23(c)(1)(A) was altered, replacing the requirement to certify a class 'as soon as practicable' with an instruction to certify 'at an early practicable time.' The advisory committee's notes state that '[a] court that is not satisfied that the requirements of Rule 23 have been met should refuse certification until they have been met,' and instruct courts that 'it is appropriate to conduct controlled discovery into the 'merits,' limited to those aspects relevant to making the certification decision on an informed basis.'" (internal citations omitted)).</w:t>
      </w:r>
    </w:p>
  </w:footnote>
  <w:footnote w:id="176">
    <w:p w:rsidR="00E456CD" w:rsidRDefault="00000000">
      <w:pPr>
        <w:pStyle w:val="Normal20"/>
        <w:widowControl w:val="0"/>
        <w:spacing w:before="200" w:line="240" w:lineRule="atLeast"/>
        <w:jc w:val="both"/>
      </w:pPr>
      <w:r>
        <w:rPr>
          <w:rFonts w:ascii="Arial" w:eastAsia="Arial" w:hAnsi="Arial" w:cs="Arial"/>
          <w:color w:val="000000"/>
          <w:sz w:val="18"/>
          <w:vertAlign w:val="superscript"/>
        </w:rPr>
        <w:t>18 </w:t>
      </w:r>
      <w:bookmarkStart w:id="3917" w:name="Bookmark_fnpara_21_0"/>
      <w:bookmarkStart w:id="3918" w:name="Bookmark_I5T2VJ0P2HM6WW0040000400"/>
      <w:bookmarkEnd w:id="3917"/>
      <w:bookmarkEnd w:id="3918"/>
      <w:r>
        <w:rPr>
          <w:rFonts w:ascii="Arial" w:eastAsia="Arial" w:hAnsi="Arial" w:cs="Arial"/>
          <w:i/>
          <w:color w:val="000000"/>
          <w:sz w:val="18"/>
        </w:rPr>
        <w:t>See, e.g.</w:t>
      </w:r>
      <w:r>
        <w:rPr>
          <w:rFonts w:ascii="Arial" w:eastAsia="Arial" w:hAnsi="Arial" w:cs="Arial"/>
          <w:color w:val="000000"/>
          <w:sz w:val="18"/>
        </w:rPr>
        <w:t xml:space="preserve">, Scott Dodson, </w:t>
      </w:r>
      <w:r>
        <w:rPr>
          <w:rFonts w:ascii="Arial" w:eastAsia="Arial" w:hAnsi="Arial" w:cs="Arial"/>
          <w:i/>
          <w:color w:val="000000"/>
          <w:sz w:val="18"/>
        </w:rPr>
        <w:t>An Opt-in Option for Class Actions</w:t>
      </w:r>
      <w:r>
        <w:rPr>
          <w:rFonts w:ascii="Arial" w:eastAsia="Arial" w:hAnsi="Arial" w:cs="Arial"/>
          <w:color w:val="000000"/>
          <w:sz w:val="18"/>
        </w:rPr>
        <w:t xml:space="preserve">, 115 </w:t>
      </w:r>
      <w:r>
        <w:rPr>
          <w:rFonts w:ascii="Arial" w:eastAsia="Arial" w:hAnsi="Arial" w:cs="Arial"/>
          <w:smallCaps/>
          <w:color w:val="000000"/>
          <w:sz w:val="18"/>
        </w:rPr>
        <w:t>Mich. L. Rev.</w:t>
      </w:r>
      <w:r>
        <w:rPr>
          <w:rFonts w:ascii="Arial" w:eastAsia="Arial" w:hAnsi="Arial" w:cs="Arial"/>
          <w:color w:val="000000"/>
          <w:sz w:val="18"/>
        </w:rPr>
        <w:t xml:space="preserve"> 171, 191-92 (2016) ("In the past, numerosity has not generally been a difficult criterion to satisfy. . . . </w:t>
      </w:r>
      <w:bookmarkStart w:id="3919" w:name="Bookmark_I5T2VJ0P2N1PN90010000400"/>
      <w:bookmarkEnd w:id="3919"/>
      <w:r>
        <w:rPr>
          <w:rFonts w:ascii="Arial" w:eastAsia="Arial" w:hAnsi="Arial" w:cs="Arial"/>
          <w:color w:val="000000"/>
          <w:sz w:val="18"/>
        </w:rPr>
        <w:t xml:space="preserve">But in today's age of stringent attention to the certification requirements, including the Supreme Court's admonition that the class must offer 'significant proof' of compliance, a number of courts have required proof of numerosity beyond what common sense might otherwise suggest." (quoting </w:t>
      </w:r>
      <w:bookmarkStart w:id="3920" w:name="Bookmark_I5T2VJ0P2HM6WW0030000400"/>
      <w:bookmarkEnd w:id="3920"/>
      <w:r>
        <w:rPr>
          <w:rFonts w:ascii="Arial" w:eastAsia="Arial" w:hAnsi="Arial" w:cs="Arial"/>
          <w:i/>
          <w:color w:val="000000"/>
          <w:sz w:val="18"/>
        </w:rPr>
        <w:t>Dukes</w:t>
      </w:r>
      <w:r>
        <w:rPr>
          <w:rFonts w:ascii="Arial" w:eastAsia="Arial" w:hAnsi="Arial" w:cs="Arial"/>
          <w:color w:val="000000"/>
          <w:sz w:val="18"/>
        </w:rPr>
        <w:t xml:space="preserve">, 564 U.S. at 353) (footnotes omitted)); Robert H. Klonoff, </w:t>
      </w:r>
      <w:r>
        <w:rPr>
          <w:rFonts w:ascii="Arial" w:eastAsia="Arial" w:hAnsi="Arial" w:cs="Arial"/>
          <w:i/>
          <w:color w:val="000000"/>
          <w:sz w:val="18"/>
        </w:rPr>
        <w:t>The Decline of Class Actions</w:t>
      </w:r>
      <w:r>
        <w:rPr>
          <w:rFonts w:ascii="Arial" w:eastAsia="Arial" w:hAnsi="Arial" w:cs="Arial"/>
          <w:color w:val="000000"/>
          <w:sz w:val="18"/>
        </w:rPr>
        <w:t xml:space="preserve">, 90 </w:t>
      </w:r>
      <w:r>
        <w:rPr>
          <w:rFonts w:ascii="Arial" w:eastAsia="Arial" w:hAnsi="Arial" w:cs="Arial"/>
          <w:smallCaps/>
          <w:color w:val="000000"/>
          <w:sz w:val="18"/>
        </w:rPr>
        <w:t>Wash. U. L. Rev.</w:t>
      </w:r>
      <w:r>
        <w:rPr>
          <w:rFonts w:ascii="Arial" w:eastAsia="Arial" w:hAnsi="Arial" w:cs="Arial"/>
          <w:color w:val="000000"/>
          <w:sz w:val="18"/>
        </w:rPr>
        <w:t xml:space="preserve"> 729, 773 (2013) ("The strict approach [to numerosity] adopted by some courts represents yet another troublesome trend."). Some of this scholarship can be read as criticism of </w:t>
      </w:r>
      <w:r>
        <w:rPr>
          <w:rFonts w:ascii="Arial" w:eastAsia="Arial" w:hAnsi="Arial" w:cs="Arial"/>
          <w:i/>
          <w:color w:val="000000"/>
          <w:sz w:val="18"/>
        </w:rPr>
        <w:t>Dukes</w:t>
      </w:r>
      <w:r>
        <w:rPr>
          <w:rFonts w:ascii="Arial" w:eastAsia="Arial" w:hAnsi="Arial" w:cs="Arial"/>
          <w:color w:val="000000"/>
          <w:sz w:val="18"/>
        </w:rPr>
        <w:t xml:space="preserve"> itself. </w:t>
      </w:r>
      <w:bookmarkStart w:id="3921" w:name="Bookmark_I5T2VJ0P2N1PN90010000400_2"/>
      <w:bookmarkEnd w:id="3921"/>
      <w:r>
        <w:rPr>
          <w:rFonts w:ascii="Arial" w:eastAsia="Arial" w:hAnsi="Arial" w:cs="Arial"/>
          <w:i/>
          <w:color w:val="000000"/>
          <w:sz w:val="18"/>
        </w:rPr>
        <w:t xml:space="preserve">See also </w:t>
      </w:r>
      <w:bookmarkStart w:id="3922" w:name="Bookmark_I5T2VJ0P2HM6WW0050000400"/>
      <w:bookmarkEnd w:id="3922"/>
      <w:r>
        <w:rPr>
          <w:rFonts w:ascii="Arial" w:eastAsia="Arial" w:hAnsi="Arial" w:cs="Arial"/>
          <w:i/>
          <w:color w:val="000000"/>
          <w:sz w:val="18"/>
        </w:rPr>
        <w:t>Dukes</w:t>
      </w:r>
      <w:r>
        <w:rPr>
          <w:rFonts w:ascii="Arial" w:eastAsia="Arial" w:hAnsi="Arial" w:cs="Arial"/>
          <w:color w:val="000000"/>
          <w:sz w:val="18"/>
        </w:rPr>
        <w:t>, 564 U.S. at 350 (noting that "Rule 23 does not set forth a mere pleading standard," but instead requires a "party seeking class certification . . . [to] affirmatively demonstrate his compliance with the Rule—that is . . . be prepared to prove that there are in fact sufficiently numerous parties").</w:t>
      </w:r>
    </w:p>
  </w:footnote>
  <w:footnote w:id="177">
    <w:p w:rsidR="00E456CD" w:rsidRDefault="00000000">
      <w:pPr>
        <w:pStyle w:val="Normal20"/>
        <w:widowControl w:val="0"/>
        <w:spacing w:before="200" w:line="240" w:lineRule="atLeast"/>
        <w:jc w:val="both"/>
      </w:pPr>
      <w:r>
        <w:rPr>
          <w:rFonts w:ascii="Arial" w:eastAsia="Arial" w:hAnsi="Arial" w:cs="Arial"/>
          <w:color w:val="000000"/>
          <w:sz w:val="18"/>
          <w:vertAlign w:val="superscript"/>
        </w:rPr>
        <w:t>19 </w:t>
      </w:r>
      <w:bookmarkStart w:id="3929" w:name="Bookmark_fnpara_22_0"/>
      <w:bookmarkEnd w:id="3929"/>
      <w:r>
        <w:rPr>
          <w:rFonts w:ascii="Arial" w:eastAsia="Arial" w:hAnsi="Arial" w:cs="Arial"/>
          <w:color w:val="000000"/>
          <w:sz w:val="18"/>
        </w:rPr>
        <w:t xml:space="preserve">"As their name suggests, [run-flat tires] can 'run' while 'flat.' Even if [a run-flat tire] suffers a total and abrupt loss of air pressure from a puncture or other road damage, the vehicle it is on remains stable and can continue driving for 50 to 150 miles at a speed of up to 50 miles per hour." </w:t>
      </w:r>
      <w:bookmarkStart w:id="3930" w:name="Bookmark_I5T2VJ0P2N1PNB0010000400"/>
      <w:bookmarkEnd w:id="3930"/>
      <w:r>
        <w:rPr>
          <w:rFonts w:ascii="Arial" w:eastAsia="Arial" w:hAnsi="Arial" w:cs="Arial"/>
          <w:i/>
          <w:color w:val="000000"/>
          <w:sz w:val="18"/>
        </w:rPr>
        <w:t>Marcus</w:t>
      </w:r>
      <w:r>
        <w:rPr>
          <w:rFonts w:ascii="Arial" w:eastAsia="Arial" w:hAnsi="Arial" w:cs="Arial"/>
          <w:color w:val="000000"/>
          <w:sz w:val="18"/>
        </w:rPr>
        <w:t>, 687 F.3d at 588.</w:t>
      </w:r>
    </w:p>
  </w:footnote>
  <w:footnote w:id="178">
    <w:p w:rsidR="00E456CD" w:rsidRDefault="00000000">
      <w:pPr>
        <w:pStyle w:val="Normal20"/>
        <w:widowControl w:val="0"/>
        <w:spacing w:before="200" w:line="240" w:lineRule="atLeast"/>
        <w:jc w:val="both"/>
      </w:pPr>
      <w:r>
        <w:rPr>
          <w:rFonts w:ascii="Arial" w:eastAsia="Arial" w:hAnsi="Arial" w:cs="Arial"/>
          <w:color w:val="000000"/>
          <w:sz w:val="18"/>
          <w:vertAlign w:val="superscript"/>
        </w:rPr>
        <w:t>20 </w:t>
      </w:r>
      <w:bookmarkStart w:id="3952" w:name="Bookmark_fnpara_23_0"/>
      <w:bookmarkEnd w:id="3952"/>
      <w:r>
        <w:rPr>
          <w:rFonts w:ascii="Arial" w:eastAsia="Arial" w:hAnsi="Arial" w:cs="Arial"/>
          <w:color w:val="000000"/>
          <w:sz w:val="18"/>
        </w:rPr>
        <w:t xml:space="preserve">Another problem with the </w:t>
      </w:r>
      <w:r>
        <w:rPr>
          <w:rFonts w:ascii="Arial" w:eastAsia="Arial" w:hAnsi="Arial" w:cs="Arial"/>
          <w:i/>
          <w:color w:val="000000"/>
          <w:sz w:val="18"/>
        </w:rPr>
        <w:t>Hayes</w:t>
      </w:r>
      <w:r>
        <w:rPr>
          <w:rFonts w:ascii="Arial" w:eastAsia="Arial" w:hAnsi="Arial" w:cs="Arial"/>
          <w:color w:val="000000"/>
          <w:sz w:val="18"/>
        </w:rPr>
        <w:t xml:space="preserve"> plaintiff's attempt to rely on the 3,500 transactions calculation was that it did not account for how many of those transactions included the sale of "as-is" products where the retailer ultimately honored the service plan—a factual characteristic that would have taken those transactions out of the class definition.</w:t>
      </w:r>
    </w:p>
  </w:footnote>
  <w:footnote w:id="179">
    <w:p w:rsidR="00E456CD" w:rsidRDefault="00000000">
      <w:pPr>
        <w:pStyle w:val="Normal20"/>
        <w:widowControl w:val="0"/>
        <w:spacing w:before="200" w:line="240" w:lineRule="atLeast"/>
        <w:jc w:val="both"/>
      </w:pPr>
      <w:r>
        <w:rPr>
          <w:rFonts w:ascii="Arial" w:eastAsia="Arial" w:hAnsi="Arial" w:cs="Arial"/>
          <w:color w:val="000000"/>
          <w:sz w:val="18"/>
          <w:vertAlign w:val="superscript"/>
        </w:rPr>
        <w:t>21 </w:t>
      </w:r>
      <w:bookmarkStart w:id="3993" w:name="Bookmark_fnpara_24_0"/>
      <w:bookmarkStart w:id="3994" w:name="Bookmark_I5T2VJ0P2D6NSV0030000400"/>
      <w:bookmarkStart w:id="3995" w:name="Bookmark_I5T2VJ0P2N1PNC0020000400"/>
      <w:bookmarkStart w:id="3996" w:name="Bookmark_LNHNREFclscc26_0"/>
      <w:bookmarkEnd w:id="3993"/>
      <w:bookmarkEnd w:id="3994"/>
      <w:bookmarkEnd w:id="3995"/>
      <w:bookmarkEnd w:id="3996"/>
      <w:r>
        <w:rPr>
          <w:rFonts w:ascii="Arial" w:eastAsia="Arial" w:hAnsi="Arial" w:cs="Arial"/>
          <w:color w:val="000000"/>
          <w:sz w:val="18"/>
        </w:rPr>
        <w:t xml:space="preserve">A district court's certification order "must define the class and the class claims, issues, or defenses." </w:t>
      </w:r>
      <w:r>
        <w:rPr>
          <w:rFonts w:ascii="Arial" w:eastAsia="Arial" w:hAnsi="Arial" w:cs="Arial"/>
          <w:smallCaps/>
          <w:color w:val="000000"/>
          <w:sz w:val="18"/>
        </w:rPr>
        <w:t>Fed. R. Civ. P.</w:t>
      </w:r>
      <w:r>
        <w:rPr>
          <w:rFonts w:ascii="Arial" w:eastAsia="Arial" w:hAnsi="Arial" w:cs="Arial"/>
          <w:color w:val="000000"/>
          <w:sz w:val="18"/>
        </w:rPr>
        <w:t xml:space="preserve"> 23(c)(1)(B). </w:t>
      </w:r>
      <w:bookmarkStart w:id="3997" w:name="Bookmark_I5T2VJ0P2N1PNC0040000400"/>
      <w:bookmarkEnd w:id="3997"/>
      <w:r>
        <w:rPr>
          <w:rFonts w:ascii="Arial" w:eastAsia="Arial" w:hAnsi="Arial" w:cs="Arial"/>
          <w:color w:val="000000"/>
          <w:sz w:val="18"/>
        </w:rPr>
        <w:t xml:space="preserve">Although "no particular format is necessary to meet the substantive requirement[s]" of Rule 23(c)(1)(B), </w:t>
      </w:r>
      <w:bookmarkStart w:id="3998" w:name="Bookmark_I5T2VJ0P2D6NSV0020000400"/>
      <w:bookmarkEnd w:id="3998"/>
      <w:r>
        <w:rPr>
          <w:rFonts w:ascii="Arial" w:eastAsia="Arial" w:hAnsi="Arial" w:cs="Arial"/>
          <w:i/>
          <w:color w:val="000000"/>
          <w:sz w:val="18"/>
        </w:rPr>
        <w:t>Wachtel ex rel. Jesse v. Guardian Life Ins. Co. of Am.</w:t>
      </w:r>
      <w:r>
        <w:rPr>
          <w:rFonts w:ascii="Arial" w:eastAsia="Arial" w:hAnsi="Arial" w:cs="Arial"/>
          <w:color w:val="000000"/>
          <w:sz w:val="18"/>
        </w:rPr>
        <w:t xml:space="preserve">, 453 F.3d 179, 188 (3d Cir. 2006), we have previously explained that the rule requires "that the text of the [certification] order or an incorporated opinion . . . include (1) a readily discernible, clear, and precise statement of the parameters defining the class or classes to be certified, and (2) a readily discernible, clear, and complete list of the claims, issues or defenses to be treated on a class basis." </w:t>
      </w:r>
      <w:bookmarkStart w:id="3999" w:name="Bookmark_I5T2VJ0P2D6NSV0040000400"/>
      <w:bookmarkEnd w:id="3999"/>
      <w:r>
        <w:rPr>
          <w:rFonts w:ascii="Arial" w:eastAsia="Arial" w:hAnsi="Arial" w:cs="Arial"/>
          <w:i/>
          <w:color w:val="000000"/>
          <w:sz w:val="18"/>
        </w:rPr>
        <w:t>Id.</w:t>
      </w:r>
      <w:r>
        <w:rPr>
          <w:rFonts w:ascii="Arial" w:eastAsia="Arial" w:hAnsi="Arial" w:cs="Arial"/>
          <w:color w:val="000000"/>
          <w:sz w:val="18"/>
        </w:rPr>
        <w:t xml:space="preserve"> at 187-88. This substantive requirement "necessitat[es] the full and clear articulation of the litigation's contours at the time of class certification," and is intended to help "facilitate meaningful appellate review of complex certification decisions." </w:t>
      </w:r>
      <w:bookmarkStart w:id="4000" w:name="Bookmark_I5T2VJ0P2N1PNC0010000400"/>
      <w:bookmarkEnd w:id="4000"/>
      <w:r>
        <w:rPr>
          <w:rFonts w:ascii="Arial" w:eastAsia="Arial" w:hAnsi="Arial" w:cs="Arial"/>
          <w:i/>
          <w:color w:val="000000"/>
          <w:sz w:val="18"/>
        </w:rPr>
        <w:t>Id.</w:t>
      </w:r>
      <w:r>
        <w:rPr>
          <w:rFonts w:ascii="Arial" w:eastAsia="Arial" w:hAnsi="Arial" w:cs="Arial"/>
          <w:color w:val="000000"/>
          <w:sz w:val="18"/>
        </w:rPr>
        <w:t xml:space="preserve"> at 186. </w:t>
      </w:r>
      <w:bookmarkStart w:id="4001" w:name="Bookmark_I5T2VJ0P2N1PNC0040000400_2"/>
      <w:bookmarkEnd w:id="4001"/>
      <w:r>
        <w:rPr>
          <w:rFonts w:ascii="Arial" w:eastAsia="Arial" w:hAnsi="Arial" w:cs="Arial"/>
          <w:i/>
          <w:color w:val="000000"/>
          <w:sz w:val="18"/>
        </w:rPr>
        <w:t xml:space="preserve">See also </w:t>
      </w:r>
      <w:bookmarkStart w:id="4002" w:name="Bookmark_I5T2VJ0P2N1PNC0030000400"/>
      <w:bookmarkEnd w:id="4002"/>
      <w:r>
        <w:rPr>
          <w:rFonts w:ascii="Arial" w:eastAsia="Arial" w:hAnsi="Arial" w:cs="Arial"/>
          <w:i/>
          <w:color w:val="000000"/>
          <w:sz w:val="18"/>
        </w:rPr>
        <w:t>Neale</w:t>
      </w:r>
      <w:r>
        <w:rPr>
          <w:rFonts w:ascii="Arial" w:eastAsia="Arial" w:hAnsi="Arial" w:cs="Arial"/>
          <w:color w:val="000000"/>
          <w:sz w:val="18"/>
        </w:rPr>
        <w:t xml:space="preserve">, 794 F.3d at 370 ("We are not required to comb through the District Court's opinion and layers of briefing in order to 'cobble together the various statements . . . and reach a general inference as to some categories of issues that the District Court believes are appropriate for class treatment.'" (quoting </w:t>
      </w:r>
      <w:bookmarkStart w:id="4003" w:name="Bookmark_I5T2VJ0P2N1PNC0050000400"/>
      <w:bookmarkEnd w:id="4003"/>
      <w:r>
        <w:rPr>
          <w:rFonts w:ascii="Arial" w:eastAsia="Arial" w:hAnsi="Arial" w:cs="Arial"/>
          <w:i/>
          <w:color w:val="000000"/>
          <w:sz w:val="18"/>
        </w:rPr>
        <w:t>Wachtel</w:t>
      </w:r>
      <w:r>
        <w:rPr>
          <w:rFonts w:ascii="Arial" w:eastAsia="Arial" w:hAnsi="Arial" w:cs="Arial"/>
          <w:color w:val="000000"/>
          <w:sz w:val="18"/>
        </w:rPr>
        <w:t>, 453 F.3d at 189)).</w:t>
      </w:r>
    </w:p>
  </w:footnote>
  <w:footnote w:id="180">
    <w:p w:rsidR="00E456CD" w:rsidRDefault="00000000">
      <w:pPr>
        <w:pStyle w:val="Normal20"/>
        <w:widowControl w:val="0"/>
        <w:spacing w:before="200" w:line="240" w:lineRule="atLeast"/>
        <w:jc w:val="both"/>
      </w:pPr>
      <w:r>
        <w:rPr>
          <w:rFonts w:ascii="Arial" w:eastAsia="Arial" w:hAnsi="Arial" w:cs="Arial"/>
          <w:color w:val="000000"/>
          <w:sz w:val="18"/>
          <w:vertAlign w:val="superscript"/>
        </w:rPr>
        <w:t>22 </w:t>
      </w:r>
      <w:bookmarkStart w:id="4048" w:name="Bookmark_fnpara_25_0"/>
      <w:bookmarkStart w:id="4049" w:name="Bookmark_I5T2VJ0P2N1PND0030000400"/>
      <w:bookmarkEnd w:id="4048"/>
      <w:bookmarkEnd w:id="4049"/>
      <w:r>
        <w:rPr>
          <w:rFonts w:ascii="Arial" w:eastAsia="Arial" w:hAnsi="Arial" w:cs="Arial"/>
          <w:color w:val="000000"/>
          <w:sz w:val="18"/>
        </w:rPr>
        <w:t xml:space="preserve">Certification of a class is perhaps the most pivotal moment in the life of a class action. </w:t>
      </w:r>
      <w:bookmarkStart w:id="4050" w:name="Bookmark_I5T2VJ0P2N1PND0050000400"/>
      <w:bookmarkEnd w:id="4050"/>
      <w:r>
        <w:rPr>
          <w:rFonts w:ascii="Arial" w:eastAsia="Arial" w:hAnsi="Arial" w:cs="Arial"/>
          <w:color w:val="000000"/>
          <w:sz w:val="18"/>
        </w:rPr>
        <w:t xml:space="preserve">In light of the inappropriateness of certifying a class on tentative grounds, </w:t>
      </w:r>
      <w:bookmarkStart w:id="4051" w:name="Bookmark_I5T2VJ0P2N1PND0020000400"/>
      <w:bookmarkEnd w:id="4051"/>
      <w:r>
        <w:rPr>
          <w:rFonts w:ascii="Arial" w:eastAsia="Arial" w:hAnsi="Arial" w:cs="Arial"/>
          <w:i/>
          <w:color w:val="000000"/>
          <w:sz w:val="18"/>
        </w:rPr>
        <w:t>Hydrogen Peroxide</w:t>
      </w:r>
      <w:r>
        <w:rPr>
          <w:rFonts w:ascii="Arial" w:eastAsia="Arial" w:hAnsi="Arial" w:cs="Arial"/>
          <w:color w:val="000000"/>
          <w:sz w:val="18"/>
        </w:rPr>
        <w:t xml:space="preserve">, 552 F.3d at 321, mere promises to interpret a class definition in a limited fashion will not save an otherwise overly-broad class definition from failing to satisfy Rule 23. If a class is defined too broadly, the time to correct the flaw is at the time of certification, or soon thereafter. </w:t>
      </w:r>
      <w:bookmarkStart w:id="4052" w:name="Bookmark_I5T2VJ0P2N1PND0050000400_2"/>
      <w:bookmarkEnd w:id="4052"/>
      <w:r>
        <w:rPr>
          <w:rFonts w:ascii="Arial" w:eastAsia="Arial" w:hAnsi="Arial" w:cs="Arial"/>
          <w:i/>
          <w:color w:val="000000"/>
          <w:sz w:val="18"/>
        </w:rPr>
        <w:t xml:space="preserve">See </w:t>
      </w:r>
      <w:bookmarkStart w:id="4053" w:name="Bookmark_I5T2VJ0P2N1PND0040000400"/>
      <w:bookmarkEnd w:id="4053"/>
      <w:r>
        <w:rPr>
          <w:rFonts w:ascii="Arial" w:eastAsia="Arial" w:hAnsi="Arial" w:cs="Arial"/>
          <w:i/>
          <w:color w:val="000000"/>
          <w:sz w:val="18"/>
        </w:rPr>
        <w:t>Marcus</w:t>
      </w:r>
      <w:r>
        <w:rPr>
          <w:rFonts w:ascii="Arial" w:eastAsia="Arial" w:hAnsi="Arial" w:cs="Arial"/>
          <w:color w:val="000000"/>
          <w:sz w:val="18"/>
        </w:rPr>
        <w:t xml:space="preserve">, 687 F.3d at 592 ("Even if the District Court shared counsel's understanding of the class definition, counsel's post hoc clarification is no substitute for a 'readily discernible, clear, and precise statement of the parameters defining the class . . . to be certified' in either the certification order or accompanying opinion." (quoting </w:t>
      </w:r>
      <w:bookmarkStart w:id="4054" w:name="Bookmark_I5T2VJ0P28T4KH0010000400"/>
      <w:bookmarkEnd w:id="4054"/>
      <w:r>
        <w:rPr>
          <w:rFonts w:ascii="Arial" w:eastAsia="Arial" w:hAnsi="Arial" w:cs="Arial"/>
          <w:i/>
          <w:color w:val="000000"/>
          <w:sz w:val="18"/>
        </w:rPr>
        <w:t>Wachtel</w:t>
      </w:r>
      <w:r>
        <w:rPr>
          <w:rFonts w:ascii="Arial" w:eastAsia="Arial" w:hAnsi="Arial" w:cs="Arial"/>
          <w:color w:val="000000"/>
          <w:sz w:val="18"/>
        </w:rPr>
        <w:t>, 453 F.3d at 187)).</w:t>
      </w:r>
    </w:p>
  </w:footnote>
  <w:footnote w:id="181">
    <w:p w:rsidR="00E456CD" w:rsidRDefault="00000000">
      <w:pPr>
        <w:pStyle w:val="Normal20"/>
        <w:widowControl w:val="0"/>
        <w:spacing w:before="200" w:line="240" w:lineRule="atLeast"/>
        <w:jc w:val="both"/>
      </w:pPr>
      <w:r>
        <w:rPr>
          <w:rFonts w:ascii="Arial" w:eastAsia="Arial" w:hAnsi="Arial" w:cs="Arial"/>
          <w:color w:val="000000"/>
          <w:sz w:val="18"/>
          <w:vertAlign w:val="superscript"/>
        </w:rPr>
        <w:t>23 </w:t>
      </w:r>
      <w:bookmarkStart w:id="4061" w:name="Bookmark_fnpara_26_0"/>
      <w:bookmarkEnd w:id="4061"/>
      <w:r>
        <w:rPr>
          <w:rFonts w:ascii="Arial" w:eastAsia="Arial" w:hAnsi="Arial" w:cs="Arial"/>
          <w:color w:val="000000"/>
          <w:sz w:val="18"/>
        </w:rPr>
        <w:t xml:space="preserve">Although determining the proper boundaries of a revised class definition is an issue better left to the District Court after remand, it seems to us that a class definition limited to </w:t>
      </w:r>
      <w:r>
        <w:rPr>
          <w:rFonts w:ascii="Arial" w:eastAsia="Arial" w:hAnsi="Arial" w:cs="Arial"/>
          <w:i/>
          <w:color w:val="000000"/>
          <w:sz w:val="18"/>
        </w:rPr>
        <w:t>slope-related</w:t>
      </w:r>
      <w:r>
        <w:rPr>
          <w:rFonts w:ascii="Arial" w:eastAsia="Arial" w:hAnsi="Arial" w:cs="Arial"/>
          <w:color w:val="000000"/>
          <w:sz w:val="18"/>
        </w:rPr>
        <w:t xml:space="preserve"> injuries occurring </w:t>
      </w:r>
      <w:r>
        <w:rPr>
          <w:rFonts w:ascii="Arial" w:eastAsia="Arial" w:hAnsi="Arial" w:cs="Arial"/>
          <w:i/>
          <w:color w:val="000000"/>
          <w:sz w:val="18"/>
        </w:rPr>
        <w:t>within</w:t>
      </w:r>
      <w:r>
        <w:rPr>
          <w:rFonts w:ascii="Arial" w:eastAsia="Arial" w:hAnsi="Arial" w:cs="Arial"/>
          <w:color w:val="000000"/>
          <w:sz w:val="18"/>
        </w:rPr>
        <w:t xml:space="preserve"> a parking facility would present a class definition much more likely to meet the commonality requirement of Rule 23(a)(2).</w:t>
      </w:r>
    </w:p>
  </w:footnote>
  <w:footnote w:id="182">
    <w:p w:rsidR="00E456CD" w:rsidRDefault="00000000">
      <w:pPr>
        <w:pStyle w:val="Normal20"/>
        <w:widowControl w:val="0"/>
        <w:spacing w:before="200" w:line="240" w:lineRule="atLeast"/>
        <w:jc w:val="both"/>
      </w:pPr>
      <w:r>
        <w:rPr>
          <w:rFonts w:ascii="Arial" w:eastAsia="Arial" w:hAnsi="Arial" w:cs="Arial"/>
          <w:color w:val="000000"/>
          <w:sz w:val="18"/>
          <w:vertAlign w:val="superscript"/>
        </w:rPr>
        <w:t>24 </w:t>
      </w:r>
      <w:bookmarkStart w:id="4065" w:name="Bookmark_fnpara_27_0"/>
      <w:bookmarkEnd w:id="4065"/>
      <w:r>
        <w:rPr>
          <w:rFonts w:ascii="Arial" w:eastAsia="Arial" w:hAnsi="Arial" w:cs="Arial"/>
          <w:color w:val="000000"/>
          <w:sz w:val="18"/>
        </w:rPr>
        <w:t xml:space="preserve">Given our disposition of this appeal on Rule 23(a) grounds, we need not reach the Rule 23(b) issues raised by defendants. Nonetheless, the District Court should take care to abide by both </w:t>
      </w:r>
      <w:r>
        <w:rPr>
          <w:rFonts w:ascii="Arial" w:eastAsia="Arial" w:hAnsi="Arial" w:cs="Arial"/>
          <w:i/>
          <w:color w:val="000000"/>
          <w:sz w:val="18"/>
        </w:rPr>
        <w:t>Dukes</w:t>
      </w:r>
      <w:r>
        <w:rPr>
          <w:rFonts w:ascii="Arial" w:eastAsia="Arial" w:hAnsi="Arial" w:cs="Arial"/>
          <w:color w:val="000000"/>
          <w:sz w:val="18"/>
        </w:rPr>
        <w:t xml:space="preserve">' lesson that </w:t>
      </w:r>
      <w:bookmarkStart w:id="4066" w:name="Bookmark_LNHNREFclscc28"/>
      <w:bookmarkEnd w:id="4066"/>
      <w:r>
        <w:rPr>
          <w:rFonts w:ascii="Arial" w:eastAsia="Arial" w:hAnsi="Arial" w:cs="Arial"/>
          <w:color w:val="000000"/>
          <w:sz w:val="18"/>
        </w:rPr>
        <w:t xml:space="preserve">"Rule 23(b)(2) applies only when a single injunction or declaratory judgment would provide relief to each member of the class," </w:t>
      </w:r>
      <w:bookmarkStart w:id="4067" w:name="Bookmark_I5T2VJ0P2D6NSW0020000400"/>
      <w:bookmarkEnd w:id="4067"/>
      <w:r>
        <w:rPr>
          <w:rFonts w:ascii="Arial" w:eastAsia="Arial" w:hAnsi="Arial" w:cs="Arial"/>
          <w:i/>
          <w:color w:val="000000"/>
          <w:sz w:val="18"/>
        </w:rPr>
        <w:t>Dukes</w:t>
      </w:r>
      <w:r>
        <w:rPr>
          <w:rFonts w:ascii="Arial" w:eastAsia="Arial" w:hAnsi="Arial" w:cs="Arial"/>
          <w:color w:val="000000"/>
          <w:sz w:val="18"/>
        </w:rPr>
        <w:t xml:space="preserve">, 564 U.S. at 360, as well as Rule 65's requirements that any injunction "state its terms specifically," </w:t>
      </w:r>
      <w:r>
        <w:rPr>
          <w:rFonts w:ascii="Arial" w:eastAsia="Arial" w:hAnsi="Arial" w:cs="Arial"/>
          <w:smallCaps/>
          <w:color w:val="000000"/>
          <w:sz w:val="18"/>
        </w:rPr>
        <w:t>Fed. R. Civ. P.</w:t>
      </w:r>
      <w:r>
        <w:rPr>
          <w:rFonts w:ascii="Arial" w:eastAsia="Arial" w:hAnsi="Arial" w:cs="Arial"/>
          <w:color w:val="000000"/>
          <w:sz w:val="18"/>
        </w:rPr>
        <w:t xml:space="preserve"> 65(d)(1)(B), and "describe in reasonable detail . . . the act or acts restrained or required." </w:t>
      </w:r>
      <w:r>
        <w:rPr>
          <w:rFonts w:ascii="Arial" w:eastAsia="Arial" w:hAnsi="Arial" w:cs="Arial"/>
          <w:smallCaps/>
          <w:color w:val="000000"/>
          <w:sz w:val="18"/>
        </w:rPr>
        <w:t>Fed. R. Civ. P.</w:t>
      </w:r>
      <w:r>
        <w:rPr>
          <w:rFonts w:ascii="Arial" w:eastAsia="Arial" w:hAnsi="Arial" w:cs="Arial"/>
          <w:color w:val="000000"/>
          <w:sz w:val="18"/>
        </w:rPr>
        <w:t xml:space="preserve"> 65(d)(1)(C).</w:t>
      </w:r>
    </w:p>
  </w:footnote>
  <w:footnote w:id="183">
    <w:p w:rsidR="00E456CD" w:rsidRDefault="00000000">
      <w:pPr>
        <w:pStyle w:val="Normal21"/>
        <w:widowControl w:val="0"/>
        <w:spacing w:before="120" w:line="240" w:lineRule="atLeast"/>
        <w:jc w:val="both"/>
      </w:pPr>
      <w:r>
        <w:rPr>
          <w:rFonts w:ascii="Arial" w:eastAsia="Arial" w:hAnsi="Arial" w:cs="Arial"/>
          <w:color w:val="000000"/>
          <w:sz w:val="18"/>
          <w:vertAlign w:val="superscript"/>
        </w:rPr>
        <w:t>** </w:t>
      </w:r>
      <w:bookmarkStart w:id="4081" w:name="Bookmark_fnpara_1_18"/>
      <w:bookmarkEnd w:id="4081"/>
      <w:r>
        <w:rPr>
          <w:rFonts w:ascii="Arial" w:eastAsia="Arial" w:hAnsi="Arial" w:cs="Arial"/>
          <w:color w:val="000000"/>
          <w:sz w:val="18"/>
        </w:rPr>
        <w:t>The Honorable Edward M. Chen, United States District Judge for the Northern District of California, sitting by designation.</w:t>
      </w:r>
    </w:p>
  </w:footnote>
  <w:footnote w:id="184">
    <w:p w:rsidR="00E456CD" w:rsidRDefault="00000000">
      <w:pPr>
        <w:pStyle w:val="Normal21"/>
        <w:widowControl w:val="0"/>
        <w:spacing w:before="120" w:line="240" w:lineRule="atLeast"/>
        <w:jc w:val="both"/>
      </w:pPr>
      <w:r>
        <w:rPr>
          <w:rFonts w:ascii="Arial" w:eastAsia="Arial" w:hAnsi="Arial" w:cs="Arial"/>
          <w:color w:val="000000"/>
          <w:sz w:val="18"/>
          <w:vertAlign w:val="superscript"/>
        </w:rPr>
        <w:t>* </w:t>
      </w:r>
      <w:bookmarkStart w:id="4083" w:name="Bookmark_fnpara_2_15"/>
      <w:bookmarkEnd w:id="4083"/>
      <w:r>
        <w:rPr>
          <w:rFonts w:ascii="Arial" w:eastAsia="Arial" w:hAnsi="Arial" w:cs="Arial"/>
          <w:color w:val="000000"/>
          <w:sz w:val="18"/>
        </w:rPr>
        <w:t>This disposition is not appropriate for publication and is not precedent except as provided by Ninth Circuit Rule 36-3.</w:t>
      </w:r>
    </w:p>
  </w:footnote>
  <w:footnote w:id="185">
    <w:p w:rsidR="00E456CD" w:rsidRDefault="00000000">
      <w:pPr>
        <w:pStyle w:val="Normal22"/>
        <w:widowControl w:val="0"/>
        <w:spacing w:before="200" w:line="240" w:lineRule="atLeast"/>
        <w:jc w:val="both"/>
      </w:pPr>
      <w:r>
        <w:rPr>
          <w:rFonts w:ascii="Arial" w:eastAsia="Arial" w:hAnsi="Arial" w:cs="Arial"/>
          <w:color w:val="000000"/>
          <w:sz w:val="18"/>
          <w:vertAlign w:val="superscript"/>
        </w:rPr>
        <w:t>1 </w:t>
      </w:r>
      <w:bookmarkStart w:id="4187" w:name="Bookmark_fnpara_1_19"/>
      <w:bookmarkStart w:id="4188" w:name="Bookmark_I5SYW48928T4GM0010000400"/>
      <w:bookmarkEnd w:id="4187"/>
      <w:bookmarkEnd w:id="4188"/>
      <w:r>
        <w:rPr>
          <w:rFonts w:ascii="Arial" w:eastAsia="Arial" w:hAnsi="Arial" w:cs="Arial"/>
          <w:i/>
          <w:color w:val="000000"/>
          <w:sz w:val="18"/>
        </w:rPr>
        <w:t xml:space="preserve">See also </w:t>
      </w:r>
      <w:bookmarkStart w:id="4189" w:name="Bookmark_I5SYW48928T4GK0050000400"/>
      <w:bookmarkEnd w:id="4189"/>
      <w:r>
        <w:rPr>
          <w:rFonts w:ascii="Arial" w:eastAsia="Arial" w:hAnsi="Arial" w:cs="Arial"/>
          <w:i/>
          <w:color w:val="000000"/>
          <w:sz w:val="18"/>
        </w:rPr>
        <w:t xml:space="preserve">AP ex rel. Peterson v. Anoka-Hennepin Indep. Sch. Dist. </w:t>
      </w:r>
      <w:bookmarkStart w:id="4190" w:name="Bookmark_I5SYW48928T4GM0020000400"/>
      <w:bookmarkEnd w:id="4190"/>
      <w:r>
        <w:rPr>
          <w:rFonts w:ascii="Arial" w:eastAsia="Arial" w:hAnsi="Arial" w:cs="Arial"/>
          <w:i/>
          <w:color w:val="000000"/>
          <w:sz w:val="18"/>
        </w:rPr>
        <w:t>No. 11</w:t>
      </w:r>
      <w:r>
        <w:rPr>
          <w:rFonts w:ascii="Arial" w:eastAsia="Arial" w:hAnsi="Arial" w:cs="Arial"/>
          <w:color w:val="000000"/>
          <w:sz w:val="18"/>
        </w:rPr>
        <w:t>, 538 F. Supp. 2d 1125, 1152 (D. Minn. 2008) ("In this case, however, AP's claims relate to the Adventures Plus day-care program, and not to his education . . . . And even if Adventures Plus could be considered the equivalent of kindergarten, the Court would not treat his ADA and § 504 claims as IDEA-type claims because, as explained already, AP's claims relate only tangentially to his education. Accordingly, AP was not required to exhaust [] administrative remedies.").</w:t>
      </w:r>
    </w:p>
  </w:footnote>
  <w:footnote w:id="186">
    <w:p w:rsidR="00E456CD" w:rsidRDefault="00000000">
      <w:pPr>
        <w:pStyle w:val="Normal22"/>
        <w:widowControl w:val="0"/>
        <w:spacing w:before="200" w:line="240" w:lineRule="atLeast"/>
        <w:jc w:val="both"/>
      </w:pPr>
      <w:r>
        <w:rPr>
          <w:rFonts w:ascii="Arial" w:eastAsia="Arial" w:hAnsi="Arial" w:cs="Arial"/>
          <w:color w:val="000000"/>
          <w:sz w:val="18"/>
          <w:vertAlign w:val="superscript"/>
        </w:rPr>
        <w:t>2 </w:t>
      </w:r>
      <w:bookmarkStart w:id="4216" w:name="Bookmark_fnpara_2_16"/>
      <w:bookmarkEnd w:id="4216"/>
      <w:r>
        <w:rPr>
          <w:rFonts w:ascii="Arial" w:eastAsia="Arial" w:hAnsi="Arial" w:cs="Arial"/>
          <w:color w:val="000000"/>
          <w:sz w:val="18"/>
        </w:rPr>
        <w:t xml:space="preserve">The parties disagree on whether Tennessee law requires licensed childcare providers to provide diapering services to older children requiring assistance because of a disability. </w:t>
      </w:r>
      <w:r>
        <w:rPr>
          <w:rFonts w:ascii="Arial" w:eastAsia="Arial" w:hAnsi="Arial" w:cs="Arial"/>
          <w:i/>
          <w:color w:val="000000"/>
          <w:sz w:val="18"/>
        </w:rPr>
        <w:t>See</w:t>
      </w:r>
      <w:r>
        <w:rPr>
          <w:rFonts w:ascii="Arial" w:eastAsia="Arial" w:hAnsi="Arial" w:cs="Arial"/>
          <w:color w:val="000000"/>
          <w:sz w:val="18"/>
        </w:rPr>
        <w:t xml:space="preserve"> Tenn. Comp. R. &amp; Regs. § 1240-04-03.10(14)(f)(1) ("If older children are enrolled who lack independent toileting abilities, rules regarding diapering of preschool children shall apply."). Wilson County alleges Kid's Club accepts no student that requires diapering. Plaintiffs contend that, with discovery, it may be the case that Kid's Club occasionally provides diapering services, and note that the school superintendent denied Sophie's request for admission after observing her, which may indicate some children requiring diapering are admitted so long as they don't "squirm." In that case, the ADA may require diapering as long as the diapering did not impose unreasonable burdens, as would be true for any public facility offering childcare services. In any event, the merits of the claim are not before the panel.</w:t>
      </w:r>
    </w:p>
  </w:footnote>
  <w:footnote w:id="187">
    <w:p w:rsidR="00E456CD" w:rsidRDefault="00000000">
      <w:pPr>
        <w:pStyle w:val="Normal22"/>
        <w:widowControl w:val="0"/>
        <w:spacing w:before="200" w:line="240" w:lineRule="atLeast"/>
        <w:jc w:val="both"/>
      </w:pPr>
      <w:r>
        <w:rPr>
          <w:rFonts w:ascii="Arial" w:eastAsia="Arial" w:hAnsi="Arial" w:cs="Arial"/>
          <w:color w:val="000000"/>
          <w:sz w:val="18"/>
          <w:vertAlign w:val="superscript"/>
        </w:rPr>
        <w:t>3 </w:t>
      </w:r>
      <w:bookmarkStart w:id="4220" w:name="Bookmark_fnpara_3_13"/>
      <w:bookmarkStart w:id="4221" w:name="Bookmark_I5SYW4892N1RV80010000400"/>
      <w:bookmarkEnd w:id="4220"/>
      <w:bookmarkEnd w:id="4221"/>
      <w:r>
        <w:rPr>
          <w:rFonts w:ascii="Arial" w:eastAsia="Arial" w:hAnsi="Arial" w:cs="Arial"/>
          <w:i/>
          <w:color w:val="000000"/>
          <w:sz w:val="18"/>
        </w:rPr>
        <w:t xml:space="preserve">But see </w:t>
      </w:r>
      <w:bookmarkStart w:id="4222" w:name="Bookmark_I5SYW4892N1RV70050000400"/>
      <w:bookmarkEnd w:id="4222"/>
      <w:r>
        <w:rPr>
          <w:rFonts w:ascii="Arial" w:eastAsia="Arial" w:hAnsi="Arial" w:cs="Arial"/>
          <w:i/>
          <w:color w:val="000000"/>
          <w:sz w:val="18"/>
        </w:rPr>
        <w:t>Fry</w:t>
      </w:r>
      <w:r>
        <w:rPr>
          <w:rFonts w:ascii="Arial" w:eastAsia="Arial" w:hAnsi="Arial" w:cs="Arial"/>
          <w:color w:val="000000"/>
          <w:sz w:val="18"/>
        </w:rPr>
        <w:t>, 137 S. Ct. at 759 (Alito, J., concurring) ("This clue also seems to me to be ill-advised. It is easy to imagine circumstances under which parents might start down the IDEA road and then change course and file an action under the ADA or the Rehabilitation Act that seeks relief that the IDEA cannot provide. The parents might be advised by their attorney that the relief they were seeking under the IDEA is not available under that law but is available under another. Or the parents might change their minds about the relief that they want, give up on the relief that the IDEA can provide, and turn to another statute. Although the Court provides these clues for the purpose of assisting the lower courts, I am afraid that they may have the opposite effect. They are likely to confuse and lead courts astray.").</w:t>
      </w:r>
    </w:p>
  </w:footnote>
  <w:footnote w:id="188">
    <w:p w:rsidR="00E456CD" w:rsidRDefault="00000000">
      <w:pPr>
        <w:pStyle w:val="Normal23"/>
        <w:widowControl w:val="0"/>
        <w:spacing w:before="120" w:line="240" w:lineRule="atLeast"/>
        <w:jc w:val="both"/>
      </w:pPr>
      <w:r>
        <w:rPr>
          <w:rFonts w:ascii="Arial" w:eastAsia="Arial" w:hAnsi="Arial" w:cs="Arial"/>
          <w:color w:val="000000"/>
          <w:sz w:val="18"/>
          <w:vertAlign w:val="superscript"/>
        </w:rPr>
        <w:t>** </w:t>
      </w:r>
      <w:bookmarkStart w:id="4228" w:name="Bookmark_fnpara_1_20"/>
      <w:bookmarkEnd w:id="4228"/>
      <w:r>
        <w:rPr>
          <w:rFonts w:ascii="Arial" w:eastAsia="Arial" w:hAnsi="Arial" w:cs="Arial"/>
          <w:color w:val="000000"/>
          <w:sz w:val="18"/>
        </w:rPr>
        <w:t>The panel unanimously concludes this case is suitable for decision without oral argument. See Fed. R. App. P. 34(a)(2).</w:t>
      </w:r>
    </w:p>
  </w:footnote>
  <w:footnote w:id="189">
    <w:p w:rsidR="00E456CD" w:rsidRDefault="00000000">
      <w:pPr>
        <w:pStyle w:val="Normal23"/>
        <w:widowControl w:val="0"/>
        <w:spacing w:before="120" w:line="240" w:lineRule="atLeast"/>
        <w:jc w:val="both"/>
      </w:pPr>
      <w:r>
        <w:rPr>
          <w:rFonts w:ascii="Arial" w:eastAsia="Arial" w:hAnsi="Arial" w:cs="Arial"/>
          <w:color w:val="000000"/>
          <w:sz w:val="18"/>
          <w:vertAlign w:val="superscript"/>
        </w:rPr>
        <w:t>*** </w:t>
      </w:r>
      <w:bookmarkStart w:id="4239" w:name="Bookmark_fnpara_2_17"/>
      <w:bookmarkEnd w:id="4239"/>
      <w:r>
        <w:rPr>
          <w:rFonts w:ascii="Arial" w:eastAsia="Arial" w:hAnsi="Arial" w:cs="Arial"/>
          <w:color w:val="000000"/>
          <w:sz w:val="18"/>
        </w:rPr>
        <w:t>The Honorable Dean D. Pregerson, United States District Judge for the Central District of California, sitting by designation.</w:t>
      </w:r>
    </w:p>
  </w:footnote>
  <w:footnote w:id="190">
    <w:p w:rsidR="00E456CD" w:rsidRDefault="00000000">
      <w:pPr>
        <w:pStyle w:val="Normal23"/>
        <w:widowControl w:val="0"/>
        <w:spacing w:before="120" w:line="240" w:lineRule="atLeast"/>
        <w:jc w:val="both"/>
      </w:pPr>
      <w:r>
        <w:rPr>
          <w:rFonts w:ascii="Arial" w:eastAsia="Arial" w:hAnsi="Arial" w:cs="Arial"/>
          <w:color w:val="000000"/>
          <w:sz w:val="18"/>
          <w:vertAlign w:val="superscript"/>
        </w:rPr>
        <w:t>* </w:t>
      </w:r>
      <w:bookmarkStart w:id="4241" w:name="Bookmark_fnpara_3_14"/>
      <w:bookmarkEnd w:id="4241"/>
      <w:r>
        <w:rPr>
          <w:rFonts w:ascii="Arial" w:eastAsia="Arial" w:hAnsi="Arial" w:cs="Arial"/>
          <w:color w:val="000000"/>
          <w:sz w:val="18"/>
        </w:rPr>
        <w:t>This disposition is not appropriate for publication and is not precedent except as provided by Ninth Circuit Rule 36-3.</w:t>
      </w:r>
    </w:p>
  </w:footnote>
  <w:footnote w:id="191">
    <w:p w:rsidR="00E456CD" w:rsidRDefault="00000000">
      <w:pPr>
        <w:pStyle w:val="Normal23"/>
        <w:widowControl w:val="0"/>
        <w:spacing w:before="120" w:line="240" w:lineRule="atLeast"/>
        <w:jc w:val="both"/>
      </w:pPr>
      <w:r>
        <w:rPr>
          <w:rFonts w:ascii="Arial" w:eastAsia="Arial" w:hAnsi="Arial" w:cs="Arial"/>
          <w:color w:val="000000"/>
          <w:sz w:val="18"/>
          <w:vertAlign w:val="superscript"/>
        </w:rPr>
        <w:t>1 </w:t>
      </w:r>
      <w:bookmarkStart w:id="4247" w:name="Bookmark_fnpara_4_13"/>
      <w:bookmarkEnd w:id="4247"/>
      <w:r>
        <w:rPr>
          <w:rFonts w:ascii="Arial" w:eastAsia="Arial" w:hAnsi="Arial" w:cs="Arial"/>
          <w:color w:val="000000"/>
          <w:sz w:val="18"/>
        </w:rPr>
        <w:t>According to Heit, Shy Bladder Syndrome, also known as paruresis, is characterized by the inability to "urinate in a public restroom if others are there, if under pressure, or if [the individual has] any sense that someone is looking over [his] shoulder." The Diagnostic and Statistical Manual of Mental Disorders, Fifth Edition categorizes paruresis as a type of Social Anxiety Disorder. An individual diagnosed with the Disorder fears certain social situations where "he or she [might] be negatively evaluated." The fear is "out of proportion to the actual threat posed," "is not attributable to the physiological effects of a substance . . . or another medical condition," and "is not better explained by the symptoms of another mental disorder."</w:t>
      </w:r>
    </w:p>
  </w:footnote>
  <w:footnote w:id="192">
    <w:p w:rsidR="00E456CD" w:rsidRDefault="00000000">
      <w:pPr>
        <w:pStyle w:val="Normal24"/>
        <w:widowControl w:val="0"/>
        <w:spacing w:before="120" w:line="240" w:lineRule="atLeast"/>
        <w:jc w:val="both"/>
      </w:pPr>
      <w:r>
        <w:rPr>
          <w:rFonts w:ascii="Arial" w:eastAsia="Arial" w:hAnsi="Arial" w:cs="Arial"/>
          <w:color w:val="000000"/>
          <w:sz w:val="18"/>
          <w:vertAlign w:val="superscript"/>
        </w:rPr>
        <w:t>* </w:t>
      </w:r>
      <w:bookmarkStart w:id="4274" w:name="Bookmark_fnpara_1_21"/>
      <w:bookmarkEnd w:id="4274"/>
      <w:r>
        <w:rPr>
          <w:rFonts w:ascii="Arial" w:eastAsia="Arial" w:hAnsi="Arial" w:cs="Arial"/>
          <w:color w:val="000000"/>
          <w:sz w:val="18"/>
        </w:rPr>
        <w:t>This disposition is not appropriate for publication and is not precedent except as provided by Ninth Circuit Rule 36-3.</w:t>
      </w:r>
    </w:p>
  </w:footnote>
  <w:footnote w:id="193">
    <w:p w:rsidR="00E456CD" w:rsidRDefault="00000000">
      <w:pPr>
        <w:pStyle w:val="Normal25"/>
        <w:widowControl w:val="0"/>
        <w:spacing w:before="200" w:line="240" w:lineRule="atLeast"/>
        <w:jc w:val="both"/>
      </w:pPr>
      <w:r>
        <w:rPr>
          <w:rFonts w:ascii="Arial" w:eastAsia="Arial" w:hAnsi="Arial" w:cs="Arial"/>
          <w:color w:val="000000"/>
          <w:sz w:val="18"/>
          <w:vertAlign w:val="superscript"/>
        </w:rPr>
        <w:t>1 </w:t>
      </w:r>
      <w:bookmarkStart w:id="4320" w:name="Bookmark_fnpara_1_22"/>
      <w:bookmarkEnd w:id="4320"/>
      <w:r>
        <w:rPr>
          <w:rFonts w:ascii="Arial" w:eastAsia="Arial" w:hAnsi="Arial" w:cs="Arial"/>
          <w:color w:val="000000"/>
          <w:sz w:val="18"/>
        </w:rPr>
        <w:t xml:space="preserve">We know that Wood's impaired field of vision is a relatively recent development. Based on when his license expired, Wood must have demonstrated a field of vision of at least 110 degrees as of November 2009. </w:t>
      </w:r>
      <w:r>
        <w:rPr>
          <w:rFonts w:ascii="Arial" w:eastAsia="Arial" w:hAnsi="Arial" w:cs="Arial"/>
          <w:i/>
          <w:color w:val="000000"/>
          <w:sz w:val="18"/>
        </w:rPr>
        <w:t>See</w:t>
      </w:r>
      <w:r>
        <w:rPr>
          <w:rFonts w:ascii="Arial" w:eastAsia="Arial" w:hAnsi="Arial" w:cs="Arial"/>
          <w:color w:val="000000"/>
          <w:sz w:val="18"/>
        </w:rPr>
        <w:t xml:space="preserve"> Md. Code Ann., Transp. §§ 16-115 (a)(1), (h) (2009) (authorizing issuance of licenses for periods of five years or less and requiring applicants to pass a vision test within 12 months of applying for a renewal). This proves that Wood's field of vision decreased by about fifty percent (from 110 degrees to 60 degrees) in less than six years.</w:t>
      </w:r>
    </w:p>
  </w:footnote>
  <w:footnote w:id="194">
    <w:p w:rsidR="00E456CD" w:rsidRDefault="00000000">
      <w:pPr>
        <w:pStyle w:val="Normal25"/>
        <w:widowControl w:val="0"/>
        <w:spacing w:before="200" w:line="240" w:lineRule="atLeast"/>
        <w:jc w:val="both"/>
      </w:pPr>
      <w:r>
        <w:rPr>
          <w:rFonts w:ascii="Arial" w:eastAsia="Arial" w:hAnsi="Arial" w:cs="Arial"/>
          <w:color w:val="000000"/>
          <w:sz w:val="18"/>
          <w:vertAlign w:val="superscript"/>
        </w:rPr>
        <w:t>2 </w:t>
      </w:r>
      <w:bookmarkStart w:id="4324" w:name="Bookmark_fnpara_2_18"/>
      <w:bookmarkEnd w:id="4324"/>
      <w:r>
        <w:rPr>
          <w:rFonts w:ascii="Arial" w:eastAsia="Arial" w:hAnsi="Arial" w:cs="Arial"/>
          <w:color w:val="000000"/>
          <w:sz w:val="18"/>
        </w:rPr>
        <w:t xml:space="preserve">Bill 303 </w:t>
      </w:r>
      <w:r>
        <w:rPr>
          <w:rFonts w:ascii="Arial" w:eastAsia="Arial" w:hAnsi="Arial" w:cs="Arial"/>
          <w:i/>
          <w:color w:val="000000"/>
          <w:sz w:val="18"/>
        </w:rPr>
        <w:t>decreased</w:t>
      </w:r>
      <w:r>
        <w:rPr>
          <w:rFonts w:ascii="Arial" w:eastAsia="Arial" w:hAnsi="Arial" w:cs="Arial"/>
          <w:color w:val="000000"/>
          <w:sz w:val="18"/>
        </w:rPr>
        <w:t xml:space="preserve"> the field of vision requirement from 140 degrees for all licenses to 110 degrees with at least 35 degrees lateral to midline in each eye for a restricted license. J.A. 43.</w:t>
      </w:r>
    </w:p>
  </w:footnote>
  <w:footnote w:id="195">
    <w:p w:rsidR="00E456CD" w:rsidRDefault="00000000">
      <w:pPr>
        <w:pStyle w:val="Normal25"/>
        <w:widowControl w:val="0"/>
        <w:spacing w:before="200" w:line="240" w:lineRule="atLeast"/>
        <w:jc w:val="both"/>
      </w:pPr>
      <w:r>
        <w:rPr>
          <w:rFonts w:ascii="Arial" w:eastAsia="Arial" w:hAnsi="Arial" w:cs="Arial"/>
          <w:color w:val="000000"/>
          <w:sz w:val="18"/>
          <w:vertAlign w:val="superscript"/>
        </w:rPr>
        <w:t>3 </w:t>
      </w:r>
      <w:bookmarkStart w:id="4402" w:name="Bookmark_fnpara_3_15"/>
      <w:bookmarkStart w:id="4403" w:name="Bookmark_I5SFSTMD2SF7KS0010000400"/>
      <w:bookmarkEnd w:id="4402"/>
      <w:bookmarkEnd w:id="4403"/>
      <w:r>
        <w:rPr>
          <w:rFonts w:ascii="Arial" w:eastAsia="Arial" w:hAnsi="Arial" w:cs="Arial"/>
          <w:color w:val="000000"/>
          <w:sz w:val="18"/>
        </w:rPr>
        <w:t xml:space="preserve">In addition to arguing that the district court failed to look behind Maryland's vision qualifications, Wood suggests that it is inappropriate to consider the bill file materials. We disagree. </w:t>
      </w:r>
      <w:bookmarkStart w:id="4404" w:name="Bookmark_I5SFSTMD2SF7KS0030000400"/>
      <w:bookmarkStart w:id="4405" w:name="Bookmark_LNHNREFclscc11_11"/>
      <w:bookmarkEnd w:id="4404"/>
      <w:bookmarkEnd w:id="4405"/>
      <w:r>
        <w:rPr>
          <w:rFonts w:ascii="Arial" w:eastAsia="Arial" w:hAnsi="Arial" w:cs="Arial"/>
          <w:color w:val="000000"/>
          <w:sz w:val="18"/>
        </w:rPr>
        <w:t xml:space="preserve">"Generally, when a defendant moves to dismiss a complaint under Rule 12(b)(6), courts are limited to considering the sufficiency of allegations set forth in the complaint and the documents attached or incorporated into the complaint." </w:t>
      </w:r>
      <w:bookmarkStart w:id="4406" w:name="Bookmark_I5SFSTMD2HM6W30050000400"/>
      <w:bookmarkEnd w:id="4406"/>
      <w:r>
        <w:rPr>
          <w:rFonts w:ascii="Arial" w:eastAsia="Arial" w:hAnsi="Arial" w:cs="Arial"/>
          <w:i/>
          <w:color w:val="000000"/>
          <w:sz w:val="18"/>
        </w:rPr>
        <w:t>Zak v. Chelsea Therapeutics Int'l, Ltd.</w:t>
      </w:r>
      <w:r>
        <w:rPr>
          <w:rFonts w:ascii="Arial" w:eastAsia="Arial" w:hAnsi="Arial" w:cs="Arial"/>
          <w:color w:val="000000"/>
          <w:sz w:val="18"/>
        </w:rPr>
        <w:t xml:space="preserve">, 780 F.3d 597, 606 (4th Cir. 2015) (internal citations and quotations omitted). </w:t>
      </w:r>
      <w:bookmarkStart w:id="4407" w:name="Bookmark_I5SFSTMD2SF7KS0030000400_2"/>
      <w:bookmarkEnd w:id="4407"/>
      <w:r>
        <w:rPr>
          <w:rFonts w:ascii="Arial" w:eastAsia="Arial" w:hAnsi="Arial" w:cs="Arial"/>
          <w:color w:val="000000"/>
          <w:sz w:val="18"/>
        </w:rPr>
        <w:t xml:space="preserve">However, in assessing the propriety of a Rule 12(b)(6) ruling, we may also properly take judicial notice of matters of public record. </w:t>
      </w:r>
      <w:bookmarkStart w:id="4408" w:name="Bookmark_I5SFSTMD2SF7KS0020000400"/>
      <w:bookmarkEnd w:id="4408"/>
      <w:r>
        <w:rPr>
          <w:rFonts w:ascii="Arial" w:eastAsia="Arial" w:hAnsi="Arial" w:cs="Arial"/>
          <w:i/>
          <w:color w:val="000000"/>
          <w:sz w:val="18"/>
        </w:rPr>
        <w:t>Philips v. Pitt Cty. Mem'l Hosp.</w:t>
      </w:r>
      <w:r>
        <w:rPr>
          <w:rFonts w:ascii="Arial" w:eastAsia="Arial" w:hAnsi="Arial" w:cs="Arial"/>
          <w:color w:val="000000"/>
          <w:sz w:val="18"/>
        </w:rPr>
        <w:t>, 572 F.3d 176, 180 (4th Cir. 2009). Though not set forth in the Complaint, the bill file materials are matters of public record, which we may consider.</w:t>
      </w:r>
    </w:p>
  </w:footnote>
  <w:footnote w:id="196">
    <w:p w:rsidR="00E456CD" w:rsidRDefault="00000000">
      <w:pPr>
        <w:pStyle w:val="Normal26"/>
        <w:widowControl w:val="0"/>
        <w:spacing w:before="200" w:line="240" w:lineRule="atLeast"/>
        <w:jc w:val="both"/>
      </w:pPr>
      <w:r>
        <w:rPr>
          <w:rFonts w:ascii="Arial" w:eastAsia="Arial" w:hAnsi="Arial" w:cs="Arial"/>
          <w:color w:val="000000"/>
          <w:sz w:val="18"/>
          <w:vertAlign w:val="superscript"/>
        </w:rPr>
        <w:t>1 </w:t>
      </w:r>
      <w:bookmarkStart w:id="4468" w:name="Bookmark_fnpara_1_23"/>
      <w:bookmarkEnd w:id="4468"/>
      <w:r>
        <w:rPr>
          <w:rFonts w:ascii="Arial" w:eastAsia="Arial" w:hAnsi="Arial" w:cs="Arial"/>
          <w:color w:val="000000"/>
          <w:sz w:val="18"/>
        </w:rPr>
        <w:t xml:space="preserve">See </w:t>
      </w:r>
      <w:r>
        <w:rPr>
          <w:rFonts w:ascii="Arial" w:eastAsia="Arial" w:hAnsi="Arial" w:cs="Arial"/>
          <w:i/>
          <w:color w:val="000000"/>
          <w:sz w:val="18"/>
        </w:rPr>
        <w:t>Straw v. Kloecker</w:t>
      </w:r>
      <w:r>
        <w:rPr>
          <w:rFonts w:ascii="Arial" w:eastAsia="Arial" w:hAnsi="Arial" w:cs="Arial"/>
          <w:color w:val="000000"/>
          <w:sz w:val="18"/>
        </w:rPr>
        <w:t xml:space="preserve">, No. 14-1714; </w:t>
      </w:r>
      <w:r>
        <w:rPr>
          <w:rFonts w:ascii="Arial" w:eastAsia="Arial" w:hAnsi="Arial" w:cs="Arial"/>
          <w:i/>
          <w:color w:val="000000"/>
          <w:sz w:val="18"/>
        </w:rPr>
        <w:t>Straw v. United States</w:t>
      </w:r>
      <w:r>
        <w:rPr>
          <w:rFonts w:ascii="Arial" w:eastAsia="Arial" w:hAnsi="Arial" w:cs="Arial"/>
          <w:color w:val="000000"/>
          <w:sz w:val="18"/>
        </w:rPr>
        <w:t xml:space="preserve">, No. 15-2590; </w:t>
      </w:r>
      <w:r>
        <w:rPr>
          <w:rFonts w:ascii="Arial" w:eastAsia="Arial" w:hAnsi="Arial" w:cs="Arial"/>
          <w:i/>
          <w:color w:val="000000"/>
          <w:sz w:val="18"/>
        </w:rPr>
        <w:t>Straw v. Ind. Sup. Ct.</w:t>
      </w:r>
      <w:r>
        <w:rPr>
          <w:rFonts w:ascii="Arial" w:eastAsia="Arial" w:hAnsi="Arial" w:cs="Arial"/>
          <w:color w:val="000000"/>
          <w:sz w:val="18"/>
        </w:rPr>
        <w:t xml:space="preserve">, No. 17-1338; </w:t>
      </w:r>
      <w:r>
        <w:rPr>
          <w:rFonts w:ascii="Arial" w:eastAsia="Arial" w:hAnsi="Arial" w:cs="Arial"/>
          <w:i/>
          <w:color w:val="000000"/>
          <w:sz w:val="18"/>
        </w:rPr>
        <w:t>Straw v. Magnus-Stinson</w:t>
      </w:r>
      <w:r>
        <w:rPr>
          <w:rFonts w:ascii="Arial" w:eastAsia="Arial" w:hAnsi="Arial" w:cs="Arial"/>
          <w:color w:val="000000"/>
          <w:sz w:val="18"/>
        </w:rPr>
        <w:t xml:space="preserve">, No. 17-1560; </w:t>
      </w:r>
      <w:r>
        <w:rPr>
          <w:rFonts w:ascii="Arial" w:eastAsia="Arial" w:hAnsi="Arial" w:cs="Arial"/>
          <w:i/>
          <w:color w:val="000000"/>
          <w:sz w:val="18"/>
        </w:rPr>
        <w:t>Straw v. Village of Streamwood</w:t>
      </w:r>
      <w:r>
        <w:rPr>
          <w:rFonts w:ascii="Arial" w:eastAsia="Arial" w:hAnsi="Arial" w:cs="Arial"/>
          <w:color w:val="000000"/>
          <w:sz w:val="18"/>
        </w:rPr>
        <w:t xml:space="preserve"> (this case), No. 17-1867; </w:t>
      </w:r>
      <w:r>
        <w:rPr>
          <w:rFonts w:ascii="Arial" w:eastAsia="Arial" w:hAnsi="Arial" w:cs="Arial"/>
          <w:i/>
          <w:color w:val="000000"/>
          <w:sz w:val="18"/>
        </w:rPr>
        <w:t>In the matter of Andrew U. D. Straw</w:t>
      </w:r>
      <w:r>
        <w:rPr>
          <w:rFonts w:ascii="Arial" w:eastAsia="Arial" w:hAnsi="Arial" w:cs="Arial"/>
          <w:color w:val="000000"/>
          <w:sz w:val="18"/>
        </w:rPr>
        <w:t xml:space="preserve">, No. 17-2523; </w:t>
      </w:r>
      <w:r>
        <w:rPr>
          <w:rFonts w:ascii="Arial" w:eastAsia="Arial" w:hAnsi="Arial" w:cs="Arial"/>
          <w:i/>
          <w:color w:val="000000"/>
          <w:sz w:val="18"/>
        </w:rPr>
        <w:t>Straw v. Ind. Att'y. Gen.</w:t>
      </w:r>
      <w:r>
        <w:rPr>
          <w:rFonts w:ascii="Arial" w:eastAsia="Arial" w:hAnsi="Arial" w:cs="Arial"/>
          <w:color w:val="000000"/>
          <w:sz w:val="18"/>
        </w:rPr>
        <w:t xml:space="preserve">, No. 17-3357; </w:t>
      </w:r>
      <w:r>
        <w:rPr>
          <w:rFonts w:ascii="Arial" w:eastAsia="Arial" w:hAnsi="Arial" w:cs="Arial"/>
          <w:i/>
          <w:color w:val="000000"/>
          <w:sz w:val="18"/>
        </w:rPr>
        <w:t>Straw v. U.S. Dist. Ct. W. D. Wisc.</w:t>
      </w:r>
      <w:r>
        <w:rPr>
          <w:rFonts w:ascii="Arial" w:eastAsia="Arial" w:hAnsi="Arial" w:cs="Arial"/>
          <w:color w:val="000000"/>
          <w:sz w:val="18"/>
        </w:rPr>
        <w:t xml:space="preserve">, No. 17-3550; </w:t>
      </w:r>
      <w:r>
        <w:rPr>
          <w:rFonts w:ascii="Arial" w:eastAsia="Arial" w:hAnsi="Arial" w:cs="Arial"/>
          <w:i/>
          <w:color w:val="000000"/>
          <w:sz w:val="18"/>
        </w:rPr>
        <w:t>Straw v. Ind. Sup. Ct.</w:t>
      </w:r>
      <w:r>
        <w:rPr>
          <w:rFonts w:ascii="Arial" w:eastAsia="Arial" w:hAnsi="Arial" w:cs="Arial"/>
          <w:color w:val="000000"/>
          <w:sz w:val="18"/>
        </w:rPr>
        <w:t xml:space="preserve">, No. 17-3596; </w:t>
      </w:r>
      <w:r>
        <w:rPr>
          <w:rFonts w:ascii="Arial" w:eastAsia="Arial" w:hAnsi="Arial" w:cs="Arial"/>
          <w:i/>
          <w:color w:val="000000"/>
          <w:sz w:val="18"/>
        </w:rPr>
        <w:t>Straw v. Elgin Hous. Auth.</w:t>
      </w:r>
      <w:r>
        <w:rPr>
          <w:rFonts w:ascii="Arial" w:eastAsia="Arial" w:hAnsi="Arial" w:cs="Arial"/>
          <w:color w:val="000000"/>
          <w:sz w:val="18"/>
        </w:rPr>
        <w:t xml:space="preserve">, 18-1073; </w:t>
      </w:r>
      <w:r>
        <w:rPr>
          <w:rFonts w:ascii="Arial" w:eastAsia="Arial" w:hAnsi="Arial" w:cs="Arial"/>
          <w:i/>
          <w:color w:val="000000"/>
          <w:sz w:val="18"/>
        </w:rPr>
        <w:t>In re: Andrew U. D. Straw</w:t>
      </w:r>
      <w:r>
        <w:rPr>
          <w:rFonts w:ascii="Arial" w:eastAsia="Arial" w:hAnsi="Arial" w:cs="Arial"/>
          <w:color w:val="000000"/>
          <w:sz w:val="18"/>
        </w:rPr>
        <w:t xml:space="preserve">, No. 18-1117; </w:t>
      </w:r>
      <w:r>
        <w:rPr>
          <w:rFonts w:ascii="Arial" w:eastAsia="Arial" w:hAnsi="Arial" w:cs="Arial"/>
          <w:i/>
          <w:color w:val="000000"/>
          <w:sz w:val="18"/>
        </w:rPr>
        <w:t>In re: Andrew U. D. Straw [**13] </w:t>
      </w:r>
      <w:r>
        <w:rPr>
          <w:rFonts w:ascii="Arial" w:eastAsia="Arial" w:hAnsi="Arial" w:cs="Arial"/>
          <w:color w:val="000000"/>
          <w:sz w:val="18"/>
        </w:rPr>
        <w:t xml:space="preserve">, No. 18-1118; </w:t>
      </w:r>
      <w:r>
        <w:rPr>
          <w:rFonts w:ascii="Arial" w:eastAsia="Arial" w:hAnsi="Arial" w:cs="Arial"/>
          <w:i/>
          <w:color w:val="000000"/>
          <w:sz w:val="18"/>
        </w:rPr>
        <w:t>Straw v. U.S. Dist. Ct. N. D. Ind.</w:t>
      </w:r>
      <w:r>
        <w:rPr>
          <w:rFonts w:ascii="Arial" w:eastAsia="Arial" w:hAnsi="Arial" w:cs="Arial"/>
          <w:color w:val="000000"/>
          <w:sz w:val="18"/>
        </w:rPr>
        <w:t xml:space="preserve">, No. 18-1387; </w:t>
      </w:r>
      <w:r>
        <w:rPr>
          <w:rFonts w:ascii="Arial" w:eastAsia="Arial" w:hAnsi="Arial" w:cs="Arial"/>
          <w:i/>
          <w:color w:val="000000"/>
          <w:sz w:val="18"/>
        </w:rPr>
        <w:t>Straw v. Ind. Sup. Ct.</w:t>
      </w:r>
      <w:r>
        <w:rPr>
          <w:rFonts w:ascii="Arial" w:eastAsia="Arial" w:hAnsi="Arial" w:cs="Arial"/>
          <w:color w:val="000000"/>
          <w:sz w:val="18"/>
        </w:rPr>
        <w:t xml:space="preserve">, No. 18-1497; </w:t>
      </w:r>
      <w:r>
        <w:rPr>
          <w:rFonts w:ascii="Arial" w:eastAsia="Arial" w:hAnsi="Arial" w:cs="Arial"/>
          <w:i/>
          <w:color w:val="000000"/>
          <w:sz w:val="18"/>
        </w:rPr>
        <w:t>Straw v. U.S. Dist. Ct. S. D. Ind.</w:t>
      </w:r>
      <w:r>
        <w:rPr>
          <w:rFonts w:ascii="Arial" w:eastAsia="Arial" w:hAnsi="Arial" w:cs="Arial"/>
          <w:color w:val="000000"/>
          <w:sz w:val="18"/>
        </w:rPr>
        <w:t xml:space="preserve">, No. 18-1698; and </w:t>
      </w:r>
      <w:r>
        <w:rPr>
          <w:rFonts w:ascii="Arial" w:eastAsia="Arial" w:hAnsi="Arial" w:cs="Arial"/>
          <w:i/>
          <w:color w:val="000000"/>
          <w:sz w:val="18"/>
        </w:rPr>
        <w:t>Straw v. Amer. Bar Ass'n</w:t>
      </w:r>
      <w:r>
        <w:rPr>
          <w:rFonts w:ascii="Arial" w:eastAsia="Arial" w:hAnsi="Arial" w:cs="Arial"/>
          <w:color w:val="000000"/>
          <w:sz w:val="18"/>
        </w:rPr>
        <w:t>, No. 18-1795.</w:t>
      </w:r>
    </w:p>
  </w:footnote>
  <w:footnote w:id="197">
    <w:p w:rsidR="00E456CD" w:rsidRDefault="00000000">
      <w:pPr>
        <w:pStyle w:val="Normal27"/>
        <w:widowControl w:val="0"/>
        <w:spacing w:before="200" w:line="240" w:lineRule="atLeast"/>
        <w:jc w:val="both"/>
      </w:pPr>
      <w:r>
        <w:rPr>
          <w:rFonts w:ascii="Arial" w:eastAsia="Arial" w:hAnsi="Arial" w:cs="Arial"/>
          <w:color w:val="000000"/>
          <w:sz w:val="18"/>
          <w:vertAlign w:val="superscript"/>
        </w:rPr>
        <w:t>1 </w:t>
      </w:r>
      <w:bookmarkStart w:id="4488" w:name="Bookmark_fnpara_1_24"/>
      <w:bookmarkEnd w:id="4488"/>
      <w:r>
        <w:rPr>
          <w:rFonts w:ascii="Arial" w:eastAsia="Arial" w:hAnsi="Arial" w:cs="Arial"/>
          <w:color w:val="000000"/>
          <w:sz w:val="18"/>
        </w:rPr>
        <w:t>Plaintiff initially filed her complaint on June 8, 2017. The district court, however, dismissed the complaint without prejudice on the basis that the complaint "constitute[d] an impermissible form of shotgun pleading," which appears to be a reoccurring problem with Plaintiff's filings. [</w:t>
      </w:r>
      <w:r>
        <w:rPr>
          <w:rFonts w:ascii="Arial" w:eastAsia="Arial" w:hAnsi="Arial" w:cs="Arial"/>
          <w:i/>
          <w:color w:val="000000"/>
          <w:sz w:val="18"/>
        </w:rPr>
        <w:t>See</w:t>
      </w:r>
      <w:r>
        <w:rPr>
          <w:rFonts w:ascii="Arial" w:eastAsia="Arial" w:hAnsi="Arial" w:cs="Arial"/>
          <w:color w:val="000000"/>
          <w:sz w:val="18"/>
        </w:rPr>
        <w:t xml:space="preserve"> R. 7 at 1-2]. The district court allowed Plaintiff to refile an amended complaint correcting the many errors of the original, but Plaintiff missed the filing deadline. [R. 8]. The district court then dismissed the complaint with prejudice. </w:t>
      </w:r>
      <w:r>
        <w:rPr>
          <w:rFonts w:ascii="Arial" w:eastAsia="Arial" w:hAnsi="Arial" w:cs="Arial"/>
          <w:i/>
          <w:color w:val="000000"/>
          <w:sz w:val="18"/>
        </w:rPr>
        <w:t>Id.</w:t>
      </w:r>
      <w:r>
        <w:rPr>
          <w:rFonts w:ascii="Arial" w:eastAsia="Arial" w:hAnsi="Arial" w:cs="Arial"/>
          <w:color w:val="000000"/>
          <w:sz w:val="18"/>
        </w:rPr>
        <w:t xml:space="preserve"> Plaintiff sought relief under Fed. R. Civ. P. 60(b) on the basis of excusable neglect, and the district court allowed her to file her amended complaint and reopened the case on June 29, 2017. [R. 10, 11].</w:t>
      </w:r>
    </w:p>
  </w:footnote>
  <w:footnote w:id="198">
    <w:p w:rsidR="00E456CD" w:rsidRDefault="00000000">
      <w:pPr>
        <w:pStyle w:val="Normal27"/>
        <w:widowControl w:val="0"/>
        <w:spacing w:before="200" w:line="240" w:lineRule="atLeast"/>
        <w:jc w:val="both"/>
      </w:pPr>
      <w:r>
        <w:rPr>
          <w:rFonts w:ascii="Arial" w:eastAsia="Arial" w:hAnsi="Arial" w:cs="Arial"/>
          <w:color w:val="000000"/>
          <w:sz w:val="18"/>
          <w:vertAlign w:val="superscript"/>
        </w:rPr>
        <w:t>2 </w:t>
      </w:r>
      <w:bookmarkStart w:id="4514" w:name="Bookmark_fnpara_2_19"/>
      <w:bookmarkEnd w:id="4514"/>
      <w:r>
        <w:rPr>
          <w:rFonts w:ascii="Arial" w:eastAsia="Arial" w:hAnsi="Arial" w:cs="Arial"/>
          <w:color w:val="000000"/>
          <w:sz w:val="18"/>
        </w:rPr>
        <w:t>In its order, the district court found Plaintiff had established the first two prongs of standing—that of an injury-in-fact and causation. [</w:t>
      </w:r>
      <w:r>
        <w:rPr>
          <w:rFonts w:ascii="Arial" w:eastAsia="Arial" w:hAnsi="Arial" w:cs="Arial"/>
          <w:i/>
          <w:color w:val="000000"/>
          <w:sz w:val="18"/>
        </w:rPr>
        <w:t>See</w:t>
      </w:r>
      <w:r>
        <w:rPr>
          <w:rFonts w:ascii="Arial" w:eastAsia="Arial" w:hAnsi="Arial" w:cs="Arial"/>
          <w:color w:val="000000"/>
          <w:sz w:val="18"/>
        </w:rPr>
        <w:t xml:space="preserve"> R. 25 at p. 4]. </w:t>
      </w:r>
      <w:bookmarkStart w:id="4515" w:name="Bookmark_I5SDY6KW2D6NNC0050000400"/>
      <w:bookmarkEnd w:id="4515"/>
      <w:r>
        <w:rPr>
          <w:rFonts w:ascii="Arial" w:eastAsia="Arial" w:hAnsi="Arial" w:cs="Arial"/>
          <w:color w:val="000000"/>
          <w:sz w:val="18"/>
        </w:rPr>
        <w:t xml:space="preserve">The district court's analysis of the redressability element follows our case law as set forth in </w:t>
      </w:r>
      <w:r>
        <w:rPr>
          <w:rFonts w:ascii="Arial" w:eastAsia="Arial" w:hAnsi="Arial" w:cs="Arial"/>
          <w:i/>
          <w:color w:val="000000"/>
          <w:sz w:val="18"/>
        </w:rPr>
        <w:t>Houston</w:t>
      </w:r>
      <w:r>
        <w:rPr>
          <w:rFonts w:ascii="Arial" w:eastAsia="Arial" w:hAnsi="Arial" w:cs="Arial"/>
          <w:color w:val="000000"/>
          <w:sz w:val="18"/>
        </w:rPr>
        <w:t xml:space="preserve"> and other decisions. The </w:t>
      </w:r>
      <w:r>
        <w:rPr>
          <w:rFonts w:ascii="Arial" w:eastAsia="Arial" w:hAnsi="Arial" w:cs="Arial"/>
          <w:i/>
          <w:color w:val="000000"/>
          <w:sz w:val="18"/>
        </w:rPr>
        <w:t>Houston</w:t>
      </w:r>
      <w:r>
        <w:rPr>
          <w:rFonts w:ascii="Arial" w:eastAsia="Arial" w:hAnsi="Arial" w:cs="Arial"/>
          <w:color w:val="000000"/>
          <w:sz w:val="18"/>
        </w:rPr>
        <w:t xml:space="preserve"> court is clear, however, that the analysis of the threat of future harm speaks to the question of an injury-in-fact and not redressability. </w:t>
      </w:r>
      <w:r>
        <w:rPr>
          <w:rFonts w:ascii="Arial" w:eastAsia="Arial" w:hAnsi="Arial" w:cs="Arial"/>
          <w:i/>
          <w:color w:val="000000"/>
          <w:sz w:val="18"/>
        </w:rPr>
        <w:t xml:space="preserve">See </w:t>
      </w:r>
      <w:bookmarkStart w:id="4516" w:name="Bookmark_I5SDY6KW2D6NNC0040000400"/>
      <w:bookmarkEnd w:id="4516"/>
      <w:r>
        <w:rPr>
          <w:rFonts w:ascii="Arial" w:eastAsia="Arial" w:hAnsi="Arial" w:cs="Arial"/>
          <w:i/>
          <w:color w:val="000000"/>
          <w:sz w:val="18"/>
        </w:rPr>
        <w:t>Houston</w:t>
      </w:r>
      <w:r>
        <w:rPr>
          <w:rFonts w:ascii="Arial" w:eastAsia="Arial" w:hAnsi="Arial" w:cs="Arial"/>
          <w:color w:val="000000"/>
          <w:sz w:val="18"/>
        </w:rPr>
        <w:t xml:space="preserve">, 733 F.3d at 1328; </w:t>
      </w:r>
      <w:bookmarkStart w:id="4517" w:name="Bookmark_I5SDY6KW2D6NND0010000400"/>
      <w:bookmarkEnd w:id="4517"/>
      <w:r>
        <w:rPr>
          <w:rFonts w:ascii="Arial" w:eastAsia="Arial" w:hAnsi="Arial" w:cs="Arial"/>
          <w:i/>
          <w:color w:val="000000"/>
          <w:sz w:val="18"/>
        </w:rPr>
        <w:t>Silva</w:t>
      </w:r>
      <w:r>
        <w:rPr>
          <w:rFonts w:ascii="Arial" w:eastAsia="Arial" w:hAnsi="Arial" w:cs="Arial"/>
          <w:color w:val="000000"/>
          <w:sz w:val="18"/>
        </w:rPr>
        <w:t>, 856 F.3d at 832. This minor error in nomenclature, however, is hardly a reason to overturn the district court's well-reasoned analysis.</w:t>
      </w:r>
    </w:p>
  </w:footnote>
  <w:footnote w:id="199">
    <w:p w:rsidR="00E456CD" w:rsidRDefault="00000000">
      <w:pPr>
        <w:pStyle w:val="Normal27"/>
        <w:widowControl w:val="0"/>
        <w:spacing w:before="200" w:line="240" w:lineRule="atLeast"/>
        <w:jc w:val="both"/>
      </w:pPr>
      <w:r>
        <w:rPr>
          <w:rFonts w:ascii="Arial" w:eastAsia="Arial" w:hAnsi="Arial" w:cs="Arial"/>
          <w:color w:val="000000"/>
          <w:sz w:val="18"/>
          <w:vertAlign w:val="superscript"/>
        </w:rPr>
        <w:t>3 </w:t>
      </w:r>
      <w:bookmarkStart w:id="4537" w:name="Bookmark_fnpara_3_16"/>
      <w:bookmarkStart w:id="4538" w:name="Bookmark_I5SDY6KW28T4G90030000400"/>
      <w:bookmarkEnd w:id="4537"/>
      <w:bookmarkEnd w:id="4538"/>
      <w:r>
        <w:rPr>
          <w:rFonts w:ascii="Arial" w:eastAsia="Arial" w:hAnsi="Arial" w:cs="Arial"/>
          <w:color w:val="000000"/>
          <w:sz w:val="18"/>
        </w:rPr>
        <w:t xml:space="preserve">It is true that Plaintiff revisited the premises at Port of Call in July 2017 after the filing of her suit and has, thus, visited at least twice. Like the district court, however, we cannot consider her second, post-filing visit to determine standing. </w:t>
      </w:r>
      <w:r>
        <w:rPr>
          <w:rFonts w:ascii="Arial" w:eastAsia="Arial" w:hAnsi="Arial" w:cs="Arial"/>
          <w:i/>
          <w:color w:val="000000"/>
          <w:sz w:val="18"/>
        </w:rPr>
        <w:t xml:space="preserve">See </w:t>
      </w:r>
      <w:bookmarkStart w:id="4539" w:name="Bookmark_I5SDY6KW28T4G90020000400"/>
      <w:bookmarkEnd w:id="4539"/>
      <w:r>
        <w:rPr>
          <w:rFonts w:ascii="Arial" w:eastAsia="Arial" w:hAnsi="Arial" w:cs="Arial"/>
          <w:i/>
          <w:color w:val="000000"/>
          <w:sz w:val="18"/>
        </w:rPr>
        <w:t>Bochese v. Town of Ponce Inlet</w:t>
      </w:r>
      <w:r>
        <w:rPr>
          <w:rFonts w:ascii="Arial" w:eastAsia="Arial" w:hAnsi="Arial" w:cs="Arial"/>
          <w:color w:val="000000"/>
          <w:sz w:val="18"/>
        </w:rPr>
        <w:t>, 405 F.3d 964, 976 (11th Cir. 2005)</w:t>
      </w:r>
      <w:bookmarkStart w:id="4540" w:name="Bookmark_LNHNREFclscc6_17"/>
      <w:bookmarkEnd w:id="4540"/>
      <w:r>
        <w:rPr>
          <w:rFonts w:ascii="Arial" w:eastAsia="Arial" w:hAnsi="Arial" w:cs="Arial"/>
          <w:color w:val="000000"/>
          <w:sz w:val="18"/>
        </w:rPr>
        <w:t xml:space="preserve"> ("However, in making the necessary preliminary determination of </w:t>
      </w:r>
      <w:r>
        <w:rPr>
          <w:rFonts w:ascii="Arial" w:eastAsia="Arial" w:hAnsi="Arial" w:cs="Arial"/>
          <w:i/>
          <w:color w:val="000000"/>
          <w:sz w:val="18"/>
        </w:rPr>
        <w:t>what claims the plaintiff has actually raised</w:t>
      </w:r>
      <w:r>
        <w:rPr>
          <w:rFonts w:ascii="Arial" w:eastAsia="Arial" w:hAnsi="Arial" w:cs="Arial"/>
          <w:color w:val="000000"/>
          <w:sz w:val="18"/>
        </w:rPr>
        <w:t xml:space="preserve"> (and therefore, what claims he must have standing to raise), we are bound by the contents of the plaintiff's pleadings . . . .") (emphasis in the original).</w:t>
      </w:r>
    </w:p>
  </w:footnote>
  <w:footnote w:id="200">
    <w:p w:rsidR="00E456CD" w:rsidRDefault="00000000">
      <w:pPr>
        <w:pStyle w:val="Normal27"/>
        <w:widowControl w:val="0"/>
        <w:spacing w:before="200" w:line="240" w:lineRule="atLeast"/>
        <w:jc w:val="both"/>
      </w:pPr>
      <w:r>
        <w:rPr>
          <w:rFonts w:ascii="Arial" w:eastAsia="Arial" w:hAnsi="Arial" w:cs="Arial"/>
          <w:color w:val="000000"/>
          <w:sz w:val="18"/>
          <w:vertAlign w:val="superscript"/>
        </w:rPr>
        <w:t>4 </w:t>
      </w:r>
      <w:bookmarkStart w:id="4567" w:name="Bookmark_fnpara_4_14"/>
      <w:bookmarkEnd w:id="4567"/>
      <w:r>
        <w:rPr>
          <w:rFonts w:ascii="Arial" w:eastAsia="Arial" w:hAnsi="Arial" w:cs="Arial"/>
          <w:color w:val="000000"/>
          <w:sz w:val="18"/>
        </w:rPr>
        <w:t xml:space="preserve">We have previously noted, "determining standing for injunctive relief is often a fact-sensitive inquiry" and that "each plaintiff must establish standing on the facts of the case before the court." </w:t>
      </w:r>
      <w:bookmarkStart w:id="4568" w:name="Bookmark_I5SDY6KX2N1RTF0030000400"/>
      <w:bookmarkEnd w:id="4568"/>
      <w:r>
        <w:rPr>
          <w:rFonts w:ascii="Arial" w:eastAsia="Arial" w:hAnsi="Arial" w:cs="Arial"/>
          <w:i/>
          <w:color w:val="000000"/>
          <w:sz w:val="18"/>
        </w:rPr>
        <w:t>Houston</w:t>
      </w:r>
      <w:r>
        <w:rPr>
          <w:rFonts w:ascii="Arial" w:eastAsia="Arial" w:hAnsi="Arial" w:cs="Arial"/>
          <w:color w:val="000000"/>
          <w:sz w:val="18"/>
        </w:rPr>
        <w:t>, 733 F.3d at 1340.</w:t>
      </w:r>
    </w:p>
  </w:footnote>
  <w:footnote w:id="201">
    <w:p w:rsidR="00E456CD" w:rsidRDefault="00000000">
      <w:pPr>
        <w:pStyle w:val="Normal29"/>
        <w:widowControl w:val="0"/>
        <w:spacing w:before="200" w:line="240" w:lineRule="atLeast"/>
        <w:jc w:val="both"/>
      </w:pPr>
      <w:r>
        <w:rPr>
          <w:rFonts w:ascii="Arial" w:eastAsia="Arial" w:hAnsi="Arial" w:cs="Arial"/>
          <w:color w:val="000000"/>
          <w:sz w:val="18"/>
          <w:vertAlign w:val="superscript"/>
        </w:rPr>
        <w:t>1 </w:t>
      </w:r>
      <w:bookmarkStart w:id="4660" w:name="Bookmark_fnpara_1_25"/>
      <w:bookmarkEnd w:id="4660"/>
      <w:r>
        <w:rPr>
          <w:rFonts w:ascii="Arial" w:eastAsia="Arial" w:hAnsi="Arial" w:cs="Arial"/>
          <w:color w:val="000000"/>
          <w:sz w:val="18"/>
        </w:rPr>
        <w:t xml:space="preserve">Plaintiffs also assert a claim under the Rehabilitation Act. </w:t>
      </w:r>
      <w:r>
        <w:rPr>
          <w:rFonts w:ascii="Arial" w:eastAsia="Arial" w:hAnsi="Arial" w:cs="Arial"/>
          <w:color w:val="000000"/>
          <w:sz w:val="18"/>
          <w:u w:val="single"/>
        </w:rPr>
        <w:t>See</w:t>
      </w:r>
      <w:r>
        <w:rPr>
          <w:rFonts w:ascii="Arial" w:eastAsia="Arial" w:hAnsi="Arial" w:cs="Arial"/>
          <w:color w:val="000000"/>
          <w:sz w:val="18"/>
        </w:rPr>
        <w:t xml:space="preserve"> 29 U.S.C. § 794. As explained below, however, we treat that claim as coextensive with the ADA claim. See infra note 2.</w:t>
      </w:r>
    </w:p>
  </w:footnote>
  <w:footnote w:id="202">
    <w:p w:rsidR="00E456CD" w:rsidRDefault="00000000">
      <w:pPr>
        <w:pStyle w:val="Normal29"/>
        <w:widowControl w:val="0"/>
        <w:spacing w:before="200" w:line="240" w:lineRule="atLeast"/>
        <w:jc w:val="both"/>
      </w:pPr>
      <w:r>
        <w:rPr>
          <w:rFonts w:ascii="Arial" w:eastAsia="Arial" w:hAnsi="Arial" w:cs="Arial"/>
          <w:color w:val="000000"/>
          <w:sz w:val="18"/>
          <w:vertAlign w:val="superscript"/>
        </w:rPr>
        <w:t>2 </w:t>
      </w:r>
      <w:bookmarkStart w:id="4668" w:name="Bookmark_fnpara_2_20"/>
      <w:bookmarkEnd w:id="4668"/>
      <w:r>
        <w:rPr>
          <w:rFonts w:ascii="Arial" w:eastAsia="Arial" w:hAnsi="Arial" w:cs="Arial"/>
          <w:color w:val="000000"/>
          <w:sz w:val="18"/>
        </w:rPr>
        <w:t xml:space="preserve">Title II of the ADA was modeled after Section 504 of the Rehabilitation Act, which contains very similar language barring discrimination against individuals with disabilities by any program or activity receiving federal financial assistance. Because courts have interpreted the relevant parts of the two statutes consistently, </w:t>
      </w:r>
      <w:r>
        <w:rPr>
          <w:rFonts w:ascii="Arial" w:eastAsia="Arial" w:hAnsi="Arial" w:cs="Arial"/>
          <w:color w:val="000000"/>
          <w:sz w:val="18"/>
          <w:u w:val="single"/>
        </w:rPr>
        <w:t xml:space="preserve">see </w:t>
      </w:r>
      <w:bookmarkStart w:id="4669" w:name="Bookmark_I5S4V2HH2N1RM20040000400"/>
      <w:bookmarkEnd w:id="4669"/>
      <w:r>
        <w:rPr>
          <w:rFonts w:ascii="Arial" w:eastAsia="Arial" w:hAnsi="Arial" w:cs="Arial"/>
          <w:color w:val="000000"/>
          <w:sz w:val="18"/>
          <w:u w:val="single"/>
        </w:rPr>
        <w:t>Theriault</w:t>
      </w:r>
      <w:r>
        <w:rPr>
          <w:rFonts w:ascii="Arial" w:eastAsia="Arial" w:hAnsi="Arial" w:cs="Arial"/>
          <w:color w:val="000000"/>
          <w:sz w:val="18"/>
        </w:rPr>
        <w:t xml:space="preserve"> v. </w:t>
      </w:r>
      <w:r>
        <w:rPr>
          <w:rFonts w:ascii="Arial" w:eastAsia="Arial" w:hAnsi="Arial" w:cs="Arial"/>
          <w:color w:val="000000"/>
          <w:sz w:val="18"/>
          <w:u w:val="single"/>
        </w:rPr>
        <w:t>Flynn</w:t>
      </w:r>
      <w:r>
        <w:rPr>
          <w:rFonts w:ascii="Arial" w:eastAsia="Arial" w:hAnsi="Arial" w:cs="Arial"/>
          <w:color w:val="000000"/>
          <w:sz w:val="18"/>
        </w:rPr>
        <w:t xml:space="preserve">, 162 F.3d 46, 48 n.3 (1st Cir. 1998), and because plaintiffs make no argument that any difference between the two statutes is relevant to this appeal, we focus our analysis on the ADA, </w:t>
      </w:r>
      <w:r>
        <w:rPr>
          <w:rFonts w:ascii="Arial" w:eastAsia="Arial" w:hAnsi="Arial" w:cs="Arial"/>
          <w:color w:val="000000"/>
          <w:sz w:val="18"/>
          <w:u w:val="single"/>
        </w:rPr>
        <w:t xml:space="preserve">see </w:t>
      </w:r>
      <w:bookmarkStart w:id="4670" w:name="Bookmark_I5S4V2HH2HM6600010000400"/>
      <w:bookmarkEnd w:id="4670"/>
      <w:r>
        <w:rPr>
          <w:rFonts w:ascii="Arial" w:eastAsia="Arial" w:hAnsi="Arial" w:cs="Arial"/>
          <w:color w:val="000000"/>
          <w:sz w:val="18"/>
          <w:u w:val="single"/>
        </w:rPr>
        <w:t>Parker</w:t>
      </w:r>
      <w:r>
        <w:rPr>
          <w:rFonts w:ascii="Arial" w:eastAsia="Arial" w:hAnsi="Arial" w:cs="Arial"/>
          <w:color w:val="000000"/>
          <w:sz w:val="18"/>
        </w:rPr>
        <w:t xml:space="preserve"> v. </w:t>
      </w:r>
      <w:r>
        <w:rPr>
          <w:rFonts w:ascii="Arial" w:eastAsia="Arial" w:hAnsi="Arial" w:cs="Arial"/>
          <w:color w:val="000000"/>
          <w:sz w:val="18"/>
          <w:u w:val="single"/>
        </w:rPr>
        <w:t>Universidad de Puerto Rico</w:t>
      </w:r>
      <w:r>
        <w:rPr>
          <w:rFonts w:ascii="Arial" w:eastAsia="Arial" w:hAnsi="Arial" w:cs="Arial"/>
          <w:color w:val="000000"/>
          <w:sz w:val="18"/>
        </w:rPr>
        <w:t>, 225 F.3d 1, 4 (1st Cir. 2000) (noting that courts "rely interchangeably on decisional law" of the two statutes).</w:t>
      </w:r>
    </w:p>
  </w:footnote>
  <w:footnote w:id="203">
    <w:p w:rsidR="00E456CD" w:rsidRDefault="00000000">
      <w:pPr>
        <w:pStyle w:val="Normal29"/>
        <w:widowControl w:val="0"/>
        <w:spacing w:before="200" w:line="240" w:lineRule="atLeast"/>
        <w:jc w:val="both"/>
      </w:pPr>
      <w:r>
        <w:rPr>
          <w:rFonts w:ascii="Arial" w:eastAsia="Arial" w:hAnsi="Arial" w:cs="Arial"/>
          <w:color w:val="000000"/>
          <w:sz w:val="18"/>
          <w:vertAlign w:val="superscript"/>
        </w:rPr>
        <w:t>3 </w:t>
      </w:r>
      <w:bookmarkStart w:id="4679" w:name="Bookmark_fnpara_3_17"/>
      <w:bookmarkStart w:id="4680" w:name="Bookmark_I5S4V2HH2D6NG60030000400"/>
      <w:bookmarkStart w:id="4681" w:name="Bookmark_I5S4V2HH2D6NG60050000400"/>
      <w:bookmarkEnd w:id="4679"/>
      <w:bookmarkEnd w:id="4680"/>
      <w:bookmarkEnd w:id="4681"/>
      <w:r>
        <w:rPr>
          <w:rFonts w:ascii="Arial" w:eastAsia="Arial" w:hAnsi="Arial" w:cs="Arial"/>
          <w:color w:val="000000"/>
          <w:sz w:val="18"/>
        </w:rPr>
        <w:t xml:space="preserve">The parallel regulation under the Rehabilitation Act uses the term "accommodation" rather than "modification," </w:t>
      </w:r>
      <w:r>
        <w:rPr>
          <w:rFonts w:ascii="Arial" w:eastAsia="Arial" w:hAnsi="Arial" w:cs="Arial"/>
          <w:color w:val="000000"/>
          <w:sz w:val="18"/>
          <w:u w:val="single"/>
        </w:rPr>
        <w:t>see</w:t>
      </w:r>
      <w:r>
        <w:rPr>
          <w:rFonts w:ascii="Arial" w:eastAsia="Arial" w:hAnsi="Arial" w:cs="Arial"/>
          <w:color w:val="000000"/>
          <w:sz w:val="18"/>
        </w:rPr>
        <w:t xml:space="preserve"> 28 C.F.R. § 41.53, "but there is no material difference between the terms," </w:t>
      </w:r>
      <w:bookmarkStart w:id="4682" w:name="Bookmark_I5S4V2HH2D6NG60020000400"/>
      <w:bookmarkEnd w:id="4682"/>
      <w:r>
        <w:rPr>
          <w:rFonts w:ascii="Arial" w:eastAsia="Arial" w:hAnsi="Arial" w:cs="Arial"/>
          <w:color w:val="000000"/>
          <w:sz w:val="18"/>
          <w:u w:val="single"/>
        </w:rPr>
        <w:t>Nunes</w:t>
      </w:r>
      <w:r>
        <w:rPr>
          <w:rFonts w:ascii="Arial" w:eastAsia="Arial" w:hAnsi="Arial" w:cs="Arial"/>
          <w:color w:val="000000"/>
          <w:sz w:val="18"/>
        </w:rPr>
        <w:t xml:space="preserve"> v. </w:t>
      </w:r>
      <w:r>
        <w:rPr>
          <w:rFonts w:ascii="Arial" w:eastAsia="Arial" w:hAnsi="Arial" w:cs="Arial"/>
          <w:color w:val="000000"/>
          <w:sz w:val="18"/>
          <w:u w:val="single"/>
        </w:rPr>
        <w:t>Mass. Dep't of Corr.</w:t>
      </w:r>
      <w:r>
        <w:rPr>
          <w:rFonts w:ascii="Arial" w:eastAsia="Arial" w:hAnsi="Arial" w:cs="Arial"/>
          <w:color w:val="000000"/>
          <w:sz w:val="18"/>
        </w:rPr>
        <w:t xml:space="preserve">, 766 F.3d 136, 145 n.6 (1st Cir. 2014). We use the term "accommodation," as we have done previously in these types of cases. </w:t>
      </w:r>
      <w:r>
        <w:rPr>
          <w:rFonts w:ascii="Arial" w:eastAsia="Arial" w:hAnsi="Arial" w:cs="Arial"/>
          <w:color w:val="000000"/>
          <w:sz w:val="18"/>
          <w:u w:val="single"/>
        </w:rPr>
        <w:t xml:space="preserve">See </w:t>
      </w:r>
      <w:bookmarkStart w:id="4683" w:name="Bookmark_I5S4V2HH2D6NG60040000400"/>
      <w:bookmarkEnd w:id="4683"/>
      <w:r>
        <w:rPr>
          <w:rFonts w:ascii="Arial" w:eastAsia="Arial" w:hAnsi="Arial" w:cs="Arial"/>
          <w:color w:val="000000"/>
          <w:sz w:val="18"/>
          <w:u w:val="single"/>
        </w:rPr>
        <w:t>Nunes</w:t>
      </w:r>
      <w:r>
        <w:rPr>
          <w:rFonts w:ascii="Arial" w:eastAsia="Arial" w:hAnsi="Arial" w:cs="Arial"/>
          <w:color w:val="000000"/>
          <w:sz w:val="18"/>
        </w:rPr>
        <w:t xml:space="preserve">, 766 F.3d at 145-46; </w:t>
      </w:r>
      <w:bookmarkStart w:id="4684" w:name="Bookmark_I5S4V2HH28T4930010000400"/>
      <w:bookmarkEnd w:id="4684"/>
      <w:r>
        <w:rPr>
          <w:rFonts w:ascii="Arial" w:eastAsia="Arial" w:hAnsi="Arial" w:cs="Arial"/>
          <w:color w:val="000000"/>
          <w:sz w:val="18"/>
          <w:u w:val="single"/>
        </w:rPr>
        <w:t>Toledo</w:t>
      </w:r>
      <w:r>
        <w:rPr>
          <w:rFonts w:ascii="Arial" w:eastAsia="Arial" w:hAnsi="Arial" w:cs="Arial"/>
          <w:color w:val="000000"/>
          <w:sz w:val="18"/>
        </w:rPr>
        <w:t xml:space="preserve"> v. </w:t>
      </w:r>
      <w:r>
        <w:rPr>
          <w:rFonts w:ascii="Arial" w:eastAsia="Arial" w:hAnsi="Arial" w:cs="Arial"/>
          <w:color w:val="000000"/>
          <w:sz w:val="18"/>
          <w:u w:val="single"/>
        </w:rPr>
        <w:t>Sánchez</w:t>
      </w:r>
      <w:r>
        <w:rPr>
          <w:rFonts w:ascii="Arial" w:eastAsia="Arial" w:hAnsi="Arial" w:cs="Arial"/>
          <w:color w:val="000000"/>
          <w:sz w:val="18"/>
        </w:rPr>
        <w:t xml:space="preserve">, 454 F.3d 24, 32 (1st Cir. 2006); </w:t>
      </w:r>
      <w:bookmarkStart w:id="4685" w:name="Bookmark_I5S4V2HH28T4930030000400"/>
      <w:bookmarkEnd w:id="4685"/>
      <w:r>
        <w:rPr>
          <w:rFonts w:ascii="Arial" w:eastAsia="Arial" w:hAnsi="Arial" w:cs="Arial"/>
          <w:color w:val="000000"/>
          <w:sz w:val="18"/>
          <w:u w:val="single"/>
        </w:rPr>
        <w:t>Kiman</w:t>
      </w:r>
      <w:r>
        <w:rPr>
          <w:rFonts w:ascii="Arial" w:eastAsia="Arial" w:hAnsi="Arial" w:cs="Arial"/>
          <w:color w:val="000000"/>
          <w:sz w:val="18"/>
        </w:rPr>
        <w:t xml:space="preserve"> v. </w:t>
      </w:r>
      <w:r>
        <w:rPr>
          <w:rFonts w:ascii="Arial" w:eastAsia="Arial" w:hAnsi="Arial" w:cs="Arial"/>
          <w:color w:val="000000"/>
          <w:sz w:val="18"/>
          <w:u w:val="single"/>
        </w:rPr>
        <w:t>N.H. Dep't of Corrs.</w:t>
      </w:r>
      <w:r>
        <w:rPr>
          <w:rFonts w:ascii="Arial" w:eastAsia="Arial" w:hAnsi="Arial" w:cs="Arial"/>
          <w:color w:val="000000"/>
          <w:sz w:val="18"/>
        </w:rPr>
        <w:t>, 451 F.3d 274, 283 (1st Cir. 2006).</w:t>
      </w:r>
    </w:p>
  </w:footnote>
  <w:footnote w:id="204">
    <w:p w:rsidR="00E456CD" w:rsidRDefault="00000000">
      <w:pPr>
        <w:pStyle w:val="Normal29"/>
        <w:widowControl w:val="0"/>
        <w:spacing w:before="120" w:line="240" w:lineRule="atLeast"/>
        <w:jc w:val="both"/>
      </w:pPr>
      <w:r>
        <w:rPr>
          <w:rFonts w:ascii="Arial" w:eastAsia="Arial" w:hAnsi="Arial" w:cs="Arial"/>
          <w:color w:val="000000"/>
          <w:sz w:val="18"/>
          <w:vertAlign w:val="superscript"/>
        </w:rPr>
        <w:t>4 </w:t>
      </w:r>
      <w:bookmarkStart w:id="4703" w:name="Bookmark_fnpara_4_15"/>
      <w:bookmarkEnd w:id="4703"/>
      <w:r>
        <w:rPr>
          <w:rFonts w:ascii="Arial" w:eastAsia="Arial" w:hAnsi="Arial" w:cs="Arial"/>
          <w:color w:val="000000"/>
          <w:sz w:val="18"/>
        </w:rPr>
        <w:t>This was the fifth due process hearing plaintiffs requested. Two previous requests led to hearings and the other two were withdrawn. Because we do not rely on the prior hearings in resolving this appeal, we omit any discussion of them.</w:t>
      </w:r>
    </w:p>
  </w:footnote>
  <w:footnote w:id="205">
    <w:p w:rsidR="00E456CD" w:rsidRDefault="00000000">
      <w:pPr>
        <w:pStyle w:val="Normal29"/>
        <w:widowControl w:val="0"/>
        <w:spacing w:before="120" w:line="240" w:lineRule="atLeast"/>
        <w:jc w:val="both"/>
      </w:pPr>
      <w:r>
        <w:rPr>
          <w:rFonts w:ascii="Arial" w:eastAsia="Arial" w:hAnsi="Arial" w:cs="Arial"/>
          <w:color w:val="000000"/>
          <w:sz w:val="18"/>
          <w:vertAlign w:val="superscript"/>
        </w:rPr>
        <w:t>5 </w:t>
      </w:r>
      <w:bookmarkStart w:id="4704" w:name="Bookmark_fnpara_5_12"/>
      <w:bookmarkEnd w:id="4704"/>
      <w:r>
        <w:rPr>
          <w:rFonts w:ascii="Arial" w:eastAsia="Arial" w:hAnsi="Arial" w:cs="Arial"/>
          <w:color w:val="000000"/>
          <w:sz w:val="18"/>
        </w:rPr>
        <w:t>B.P.'s father, Matthew Pollack, requested the 2016 IDEA hearing. B.P.'s mother, Jane Quirion, was present for most of the hearing and testified at it, but was not a party to the proceeding. However, because there is no dispute that B.P.'s parents are in privity for issue preclusion purposes and that they join here to sue solely as next friend of B.P., we use the term "parents" and "plaintiffs" interchangeably when referring to the IDEA proceeding and this case.</w:t>
      </w:r>
    </w:p>
  </w:footnote>
  <w:footnote w:id="206">
    <w:p w:rsidR="00E456CD" w:rsidRDefault="00000000">
      <w:pPr>
        <w:pStyle w:val="Normal29"/>
        <w:widowControl w:val="0"/>
        <w:spacing w:before="200" w:line="240" w:lineRule="atLeast"/>
        <w:jc w:val="both"/>
      </w:pPr>
      <w:r>
        <w:rPr>
          <w:rFonts w:ascii="Arial" w:eastAsia="Arial" w:hAnsi="Arial" w:cs="Arial"/>
          <w:color w:val="000000"/>
          <w:sz w:val="18"/>
          <w:vertAlign w:val="superscript"/>
        </w:rPr>
        <w:t>6 </w:t>
      </w:r>
      <w:bookmarkStart w:id="4717" w:name="Bookmark_fnpara_6_9"/>
      <w:bookmarkEnd w:id="4717"/>
      <w:r>
        <w:rPr>
          <w:rFonts w:ascii="Arial" w:eastAsia="Arial" w:hAnsi="Arial" w:cs="Arial"/>
          <w:color w:val="000000"/>
          <w:sz w:val="18"/>
        </w:rPr>
        <w:t xml:space="preserve">This order was issued prior to the Supreme Court's decision in </w:t>
      </w:r>
      <w:bookmarkStart w:id="4718" w:name="Bookmark_I5S4V2HH2SF8KJ0050000400"/>
      <w:bookmarkEnd w:id="4718"/>
      <w:r>
        <w:rPr>
          <w:rFonts w:ascii="Arial" w:eastAsia="Arial" w:hAnsi="Arial" w:cs="Arial"/>
          <w:color w:val="000000"/>
          <w:sz w:val="18"/>
          <w:u w:val="single"/>
        </w:rPr>
        <w:t>Fry</w:t>
      </w:r>
      <w:r>
        <w:rPr>
          <w:rFonts w:ascii="Arial" w:eastAsia="Arial" w:hAnsi="Arial" w:cs="Arial"/>
          <w:color w:val="000000"/>
          <w:sz w:val="18"/>
        </w:rPr>
        <w:t xml:space="preserve"> v. </w:t>
      </w:r>
      <w:r>
        <w:rPr>
          <w:rFonts w:ascii="Arial" w:eastAsia="Arial" w:hAnsi="Arial" w:cs="Arial"/>
          <w:color w:val="000000"/>
          <w:sz w:val="18"/>
          <w:u w:val="single"/>
        </w:rPr>
        <w:t>Napoleon Cmty. Sch.</w:t>
      </w:r>
      <w:r>
        <w:rPr>
          <w:rFonts w:ascii="Arial" w:eastAsia="Arial" w:hAnsi="Arial" w:cs="Arial"/>
          <w:color w:val="000000"/>
          <w:sz w:val="18"/>
        </w:rPr>
        <w:t xml:space="preserve">, 137 S. Ct. 743, 197 L. Ed. 2d 46 (2017), which held that a plaintiff is only required to exhaust IDEA remedies when his "lawsuit seeks relief for the denial of a free appropriate public education." </w:t>
      </w:r>
      <w:bookmarkStart w:id="4719" w:name="Bookmark_I5S4V2HH2SF8KK0020000400"/>
      <w:bookmarkEnd w:id="4719"/>
      <w:r>
        <w:rPr>
          <w:rFonts w:ascii="Arial" w:eastAsia="Arial" w:hAnsi="Arial" w:cs="Arial"/>
          <w:color w:val="000000"/>
          <w:sz w:val="18"/>
          <w:u w:val="single"/>
        </w:rPr>
        <w:t>Id.</w:t>
      </w:r>
      <w:r>
        <w:rPr>
          <w:rFonts w:ascii="Arial" w:eastAsia="Arial" w:hAnsi="Arial" w:cs="Arial"/>
          <w:color w:val="000000"/>
          <w:sz w:val="18"/>
        </w:rPr>
        <w:t xml:space="preserve"> at 754.</w:t>
      </w:r>
    </w:p>
  </w:footnote>
  <w:footnote w:id="207">
    <w:p w:rsidR="00E456CD" w:rsidRDefault="00000000">
      <w:pPr>
        <w:pStyle w:val="Normal29"/>
        <w:widowControl w:val="0"/>
        <w:spacing w:before="120" w:line="240" w:lineRule="atLeast"/>
        <w:jc w:val="both"/>
      </w:pPr>
      <w:r>
        <w:rPr>
          <w:rFonts w:ascii="Arial" w:eastAsia="Arial" w:hAnsi="Arial" w:cs="Arial"/>
          <w:color w:val="000000"/>
          <w:sz w:val="18"/>
          <w:vertAlign w:val="superscript"/>
        </w:rPr>
        <w:t>7 </w:t>
      </w:r>
      <w:bookmarkStart w:id="4763" w:name="Bookmark_fnpara_7_8"/>
      <w:bookmarkEnd w:id="4763"/>
      <w:r>
        <w:rPr>
          <w:rFonts w:ascii="Arial" w:eastAsia="Arial" w:hAnsi="Arial" w:cs="Arial"/>
          <w:color w:val="000000"/>
          <w:sz w:val="18"/>
        </w:rPr>
        <w:t>The decision expressly "conclude[s]" that the device would be to B.P.'s detriment by interfering with his ability to receive a FAPE (i.e., would interfere with his education). It also includes the finding that the parents provided "no evidence to support the assertion that wearing a recording device could benefit [B.P.] educationally" as part of its "conclusion."</w:t>
      </w:r>
    </w:p>
  </w:footnote>
  <w:footnote w:id="208">
    <w:p w:rsidR="00E456CD" w:rsidRDefault="00000000">
      <w:pPr>
        <w:pStyle w:val="Normal29"/>
        <w:widowControl w:val="0"/>
        <w:spacing w:before="120" w:line="240" w:lineRule="atLeast"/>
        <w:jc w:val="both"/>
      </w:pPr>
      <w:r>
        <w:rPr>
          <w:rFonts w:ascii="Arial" w:eastAsia="Arial" w:hAnsi="Arial" w:cs="Arial"/>
          <w:color w:val="000000"/>
          <w:sz w:val="18"/>
          <w:vertAlign w:val="superscript"/>
        </w:rPr>
        <w:t>8 </w:t>
      </w:r>
      <w:bookmarkStart w:id="4765" w:name="Bookmark_fnpara_8_8"/>
      <w:bookmarkEnd w:id="4765"/>
      <w:r>
        <w:rPr>
          <w:rFonts w:ascii="Arial" w:eastAsia="Arial" w:hAnsi="Arial" w:cs="Arial"/>
          <w:color w:val="000000"/>
          <w:sz w:val="18"/>
        </w:rPr>
        <w:t>In other words, what exactly were the parents going to do with the four or five hours of recordings each evening?</w:t>
      </w:r>
    </w:p>
  </w:footnote>
  <w:footnote w:id="209">
    <w:p w:rsidR="00E456CD" w:rsidRDefault="00000000">
      <w:pPr>
        <w:pStyle w:val="Normal29"/>
        <w:widowControl w:val="0"/>
        <w:spacing w:before="120" w:line="240" w:lineRule="atLeast"/>
        <w:jc w:val="both"/>
      </w:pPr>
      <w:r>
        <w:rPr>
          <w:rFonts w:ascii="Arial" w:eastAsia="Arial" w:hAnsi="Arial" w:cs="Arial"/>
          <w:color w:val="000000"/>
          <w:sz w:val="18"/>
          <w:vertAlign w:val="superscript"/>
        </w:rPr>
        <w:t>9 </w:t>
      </w:r>
      <w:bookmarkStart w:id="4828" w:name="Bookmark_fnpara_9_7"/>
      <w:bookmarkEnd w:id="4828"/>
      <w:r>
        <w:rPr>
          <w:rFonts w:ascii="Arial" w:eastAsia="Arial" w:hAnsi="Arial" w:cs="Arial"/>
          <w:color w:val="000000"/>
          <w:sz w:val="18"/>
        </w:rPr>
        <w:t>Because we find that plaintiffs' reasonable accommodation claim is precluded by the 2016 IDEA due process hearing, we need not address the district's alternative arguments that the claim is barred by the preclusive effects of the earlier 2012 due process hearing or by the jury's findings in the First Amendment trial. Similarly, we need not address plaintiffs' contention that communications between them and B.P. fall within the scope of the effective communications regulation. Even if they do, plaintiffs cannot show that the recording device is "necessary" for purposes of the regulation, due to the hearing officer's finding that it offered "no demonstrable benefit."</w:t>
      </w:r>
    </w:p>
  </w:footnote>
  <w:footnote w:id="210">
    <w:p w:rsidR="00E456CD" w:rsidRDefault="00000000">
      <w:pPr>
        <w:pStyle w:val="Normal30"/>
        <w:widowControl w:val="0"/>
        <w:spacing w:before="120" w:line="240" w:lineRule="atLeast"/>
        <w:jc w:val="both"/>
      </w:pPr>
      <w:r>
        <w:rPr>
          <w:rFonts w:ascii="Arial" w:eastAsia="Arial" w:hAnsi="Arial" w:cs="Arial"/>
          <w:color w:val="000000"/>
          <w:sz w:val="18"/>
          <w:vertAlign w:val="superscript"/>
        </w:rPr>
        <w:t>1 </w:t>
      </w:r>
      <w:bookmarkStart w:id="4840" w:name="Bookmark_fnpara_1_26"/>
      <w:bookmarkEnd w:id="4840"/>
      <w:r>
        <w:rPr>
          <w:rFonts w:ascii="Arial" w:eastAsia="Arial" w:hAnsi="Arial" w:cs="Arial"/>
          <w:color w:val="000000"/>
          <w:sz w:val="18"/>
        </w:rPr>
        <w:t>The Honorable Paul A. Magnuson, United States District Judge for the District of Minnesota.</w:t>
      </w:r>
    </w:p>
  </w:footnote>
  <w:footnote w:id="211">
    <w:p w:rsidR="00E456CD" w:rsidRDefault="00000000">
      <w:pPr>
        <w:pStyle w:val="Normal30"/>
        <w:widowControl w:val="0"/>
        <w:spacing w:before="120" w:line="240" w:lineRule="atLeast"/>
        <w:jc w:val="both"/>
      </w:pPr>
      <w:r>
        <w:rPr>
          <w:rFonts w:ascii="Arial" w:eastAsia="Arial" w:hAnsi="Arial" w:cs="Arial"/>
          <w:color w:val="000000"/>
          <w:sz w:val="18"/>
          <w:vertAlign w:val="superscript"/>
        </w:rPr>
        <w:t>2 </w:t>
      </w:r>
      <w:bookmarkStart w:id="4844" w:name="Bookmark_fnpara_2_21"/>
      <w:bookmarkEnd w:id="4844"/>
      <w:r>
        <w:rPr>
          <w:rFonts w:ascii="Arial" w:eastAsia="Arial" w:hAnsi="Arial" w:cs="Arial"/>
          <w:color w:val="000000"/>
          <w:sz w:val="18"/>
        </w:rPr>
        <w:t>Title III's detailed definition of public accommodation includes the "professional office of a health care provider." 42 U.S.C. § 12181(7)(F).</w:t>
      </w:r>
    </w:p>
  </w:footnote>
  <w:footnote w:id="212">
    <w:p w:rsidR="00E456CD" w:rsidRDefault="00000000">
      <w:pPr>
        <w:pStyle w:val="Normal31"/>
        <w:widowControl w:val="0"/>
        <w:spacing w:before="200" w:line="240" w:lineRule="atLeast"/>
        <w:jc w:val="both"/>
      </w:pPr>
      <w:r>
        <w:rPr>
          <w:rFonts w:ascii="Arial" w:eastAsia="Arial" w:hAnsi="Arial" w:cs="Arial"/>
          <w:color w:val="000000"/>
          <w:sz w:val="18"/>
          <w:vertAlign w:val="superscript"/>
        </w:rPr>
        <w:t>1 </w:t>
      </w:r>
      <w:bookmarkStart w:id="4920" w:name="Bookmark_fnpara_1_27"/>
      <w:bookmarkEnd w:id="4920"/>
      <w:r>
        <w:rPr>
          <w:rFonts w:ascii="Arial" w:eastAsia="Arial" w:hAnsi="Arial" w:cs="Arial"/>
          <w:color w:val="000000"/>
          <w:sz w:val="18"/>
        </w:rPr>
        <w:t xml:space="preserve">"Methadone is the oldest FDA-approved medication for treating opioid dependence." Barbara Andraka-Christou, </w:t>
      </w:r>
      <w:r>
        <w:rPr>
          <w:rFonts w:ascii="Arial" w:eastAsia="Arial" w:hAnsi="Arial" w:cs="Arial"/>
          <w:i/>
          <w:color w:val="000000"/>
          <w:sz w:val="18"/>
        </w:rPr>
        <w:t>What Is "Treatment" for Opioid Addiction in Problem-Solving Courts?</w:t>
      </w:r>
      <w:bookmarkStart w:id="4921" w:name="Bookmark_I5RYPR0F28T4Y70020000400"/>
      <w:bookmarkEnd w:id="4921"/>
      <w:r>
        <w:rPr>
          <w:rFonts w:ascii="Arial" w:eastAsia="Arial" w:hAnsi="Arial" w:cs="Arial"/>
          <w:color w:val="000000"/>
          <w:sz w:val="18"/>
        </w:rPr>
        <w:t xml:space="preserve">, 13 STAN. J. C.R. &amp; C.L. 189, 221 (2017). The synthetic drug—a substitute for more baneful opioids—"works by activating opioid receptors in the brain" so as to "prevent[] cravings," ward off withdrawal symptoms, and "prevent[] a sense of euphoria or a 'high' if a person abuses heroin or painkillers while undergoing methadone treatment." </w:t>
      </w:r>
      <w:r>
        <w:rPr>
          <w:rFonts w:ascii="Arial" w:eastAsia="Arial" w:hAnsi="Arial" w:cs="Arial"/>
          <w:i/>
          <w:color w:val="000000"/>
          <w:sz w:val="18"/>
        </w:rPr>
        <w:t>Id.</w:t>
      </w:r>
      <w:r>
        <w:rPr>
          <w:rFonts w:ascii="Arial" w:eastAsia="Arial" w:hAnsi="Arial" w:cs="Arial"/>
          <w:color w:val="000000"/>
          <w:sz w:val="18"/>
        </w:rPr>
        <w:t xml:space="preserve"> At the same time, "[m]ethadone can be dangerous if diverted and improperly used," </w:t>
      </w:r>
      <w:r>
        <w:rPr>
          <w:rFonts w:ascii="Arial" w:eastAsia="Arial" w:hAnsi="Arial" w:cs="Arial"/>
          <w:i/>
          <w:color w:val="000000"/>
          <w:sz w:val="18"/>
        </w:rPr>
        <w:t>id.</w:t>
      </w:r>
      <w:r>
        <w:rPr>
          <w:rFonts w:ascii="Arial" w:eastAsia="Arial" w:hAnsi="Arial" w:cs="Arial"/>
          <w:color w:val="000000"/>
          <w:sz w:val="18"/>
        </w:rPr>
        <w:t xml:space="preserve">, and a 2012 report found that methadone was "involved in one third of [opioid-pain-reliever]-related overdose deaths," despite comprising less than two percent of opioid-pain-reliever prescriptions, CENTERS FOR DISEASE CONTROL&amp;PREVENTION, </w:t>
      </w:r>
      <w:r>
        <w:rPr>
          <w:rFonts w:ascii="Arial" w:eastAsia="Arial" w:hAnsi="Arial" w:cs="Arial"/>
          <w:i/>
          <w:color w:val="000000"/>
          <w:sz w:val="18"/>
        </w:rPr>
        <w:t>Vital Signs: Risk for Overdose from Methadone Used for Pain Relief—United States, 1999-2010</w:t>
      </w:r>
      <w:r>
        <w:rPr>
          <w:rFonts w:ascii="Arial" w:eastAsia="Arial" w:hAnsi="Arial" w:cs="Arial"/>
          <w:color w:val="000000"/>
          <w:sz w:val="18"/>
        </w:rPr>
        <w:t>, 61 MORBIDITY&amp;MORTALITY WEEKLY REP. 493, 493-94 (2012) [hereinafter "</w:t>
      </w:r>
      <w:r>
        <w:rPr>
          <w:rFonts w:ascii="Arial" w:eastAsia="Arial" w:hAnsi="Arial" w:cs="Arial"/>
          <w:i/>
          <w:color w:val="000000"/>
          <w:sz w:val="18"/>
        </w:rPr>
        <w:t>Risk for Overdose</w:t>
      </w:r>
      <w:r>
        <w:rPr>
          <w:rFonts w:ascii="Arial" w:eastAsia="Arial" w:hAnsi="Arial" w:cs="Arial"/>
          <w:color w:val="000000"/>
          <w:sz w:val="18"/>
        </w:rPr>
        <w:t xml:space="preserve">"]. Both methadone users and clinics set up to serve them have standing to bring suits like this one. </w:t>
      </w:r>
      <w:r>
        <w:rPr>
          <w:rFonts w:ascii="Arial" w:eastAsia="Arial" w:hAnsi="Arial" w:cs="Arial"/>
          <w:i/>
          <w:color w:val="000000"/>
          <w:sz w:val="18"/>
        </w:rPr>
        <w:t xml:space="preserve">See </w:t>
      </w:r>
      <w:bookmarkStart w:id="4922" w:name="Bookmark_I5RYPR0F28T4Y70010000400"/>
      <w:bookmarkEnd w:id="4922"/>
      <w:r>
        <w:rPr>
          <w:rFonts w:ascii="Arial" w:eastAsia="Arial" w:hAnsi="Arial" w:cs="Arial"/>
          <w:i/>
          <w:color w:val="000000"/>
          <w:sz w:val="18"/>
        </w:rPr>
        <w:t>MX Grp., Inc. v. City of Covington</w:t>
      </w:r>
      <w:r>
        <w:rPr>
          <w:rFonts w:ascii="Arial" w:eastAsia="Arial" w:hAnsi="Arial" w:cs="Arial"/>
          <w:color w:val="000000"/>
          <w:sz w:val="18"/>
        </w:rPr>
        <w:t>, 293 F.3d 326, 335-36 (6th Cir. 2002).</w:t>
      </w:r>
    </w:p>
  </w:footnote>
  <w:footnote w:id="213">
    <w:p w:rsidR="00E456CD" w:rsidRDefault="00000000">
      <w:pPr>
        <w:pStyle w:val="Normal31"/>
        <w:widowControl w:val="0"/>
        <w:spacing w:before="120" w:line="240" w:lineRule="atLeast"/>
        <w:jc w:val="both"/>
      </w:pPr>
      <w:r>
        <w:rPr>
          <w:rFonts w:ascii="Arial" w:eastAsia="Arial" w:hAnsi="Arial" w:cs="Arial"/>
          <w:color w:val="000000"/>
          <w:sz w:val="18"/>
          <w:vertAlign w:val="superscript"/>
        </w:rPr>
        <w:t>2 </w:t>
      </w:r>
      <w:bookmarkStart w:id="4923" w:name="Bookmark_fnpara_2_22"/>
      <w:bookmarkEnd w:id="4923"/>
      <w:r>
        <w:rPr>
          <w:rFonts w:ascii="Arial" w:eastAsia="Arial" w:hAnsi="Arial" w:cs="Arial"/>
          <w:color w:val="000000"/>
          <w:sz w:val="18"/>
        </w:rPr>
        <w:t>For simplicity, we refer to Plaintiffs-Appellants collectively as "TCH," distinguishing only where relevant.</w:t>
      </w:r>
    </w:p>
  </w:footnote>
  <w:footnote w:id="214">
    <w:p w:rsidR="00E456CD" w:rsidRDefault="00000000">
      <w:pPr>
        <w:pStyle w:val="Normal31"/>
        <w:widowControl w:val="0"/>
        <w:spacing w:before="200" w:line="240" w:lineRule="atLeast"/>
        <w:jc w:val="both"/>
      </w:pPr>
      <w:r>
        <w:rPr>
          <w:rFonts w:ascii="Arial" w:eastAsia="Arial" w:hAnsi="Arial" w:cs="Arial"/>
          <w:color w:val="000000"/>
          <w:sz w:val="18"/>
          <w:vertAlign w:val="superscript"/>
        </w:rPr>
        <w:t>3 </w:t>
      </w:r>
      <w:bookmarkStart w:id="4925" w:name="Bookmark_fnpara_3_18"/>
      <w:bookmarkEnd w:id="4925"/>
      <w:r>
        <w:rPr>
          <w:rFonts w:ascii="Arial" w:eastAsia="Arial" w:hAnsi="Arial" w:cs="Arial"/>
          <w:color w:val="000000"/>
          <w:sz w:val="18"/>
        </w:rPr>
        <w:t>Because this consolidated case includes two district court records, we use "</w:t>
      </w:r>
      <w:r>
        <w:rPr>
          <w:rFonts w:ascii="Arial" w:eastAsia="Arial" w:hAnsi="Arial" w:cs="Arial"/>
          <w:i/>
          <w:color w:val="000000"/>
          <w:sz w:val="18"/>
        </w:rPr>
        <w:t>TCH II</w:t>
      </w:r>
      <w:r>
        <w:rPr>
          <w:rFonts w:ascii="Arial" w:eastAsia="Arial" w:hAnsi="Arial" w:cs="Arial"/>
          <w:color w:val="000000"/>
          <w:sz w:val="18"/>
        </w:rPr>
        <w:t xml:space="preserve">" or </w:t>
      </w:r>
      <w:r>
        <w:rPr>
          <w:rFonts w:ascii="Arial" w:eastAsia="Arial" w:hAnsi="Arial" w:cs="Arial"/>
          <w:i/>
          <w:color w:val="000000"/>
          <w:sz w:val="18"/>
        </w:rPr>
        <w:t>TCH III</w:t>
      </w:r>
      <w:r>
        <w:rPr>
          <w:rFonts w:ascii="Arial" w:eastAsia="Arial" w:hAnsi="Arial" w:cs="Arial"/>
          <w:color w:val="000000"/>
          <w:sz w:val="18"/>
        </w:rPr>
        <w:t>" before each record citation unless context makes clear which one is being referenced.</w:t>
      </w:r>
    </w:p>
  </w:footnote>
  <w:footnote w:id="215">
    <w:p w:rsidR="00E456CD" w:rsidRDefault="00000000">
      <w:pPr>
        <w:pStyle w:val="Normal31"/>
        <w:widowControl w:val="0"/>
        <w:spacing w:before="120" w:line="240" w:lineRule="atLeast"/>
        <w:jc w:val="both"/>
      </w:pPr>
      <w:r>
        <w:rPr>
          <w:rFonts w:ascii="Arial" w:eastAsia="Arial" w:hAnsi="Arial" w:cs="Arial"/>
          <w:color w:val="000000"/>
          <w:sz w:val="18"/>
          <w:vertAlign w:val="superscript"/>
        </w:rPr>
        <w:t>4 </w:t>
      </w:r>
      <w:bookmarkStart w:id="4927" w:name="Bookmark_fnpara_4_16"/>
      <w:bookmarkEnd w:id="4927"/>
      <w:r>
        <w:rPr>
          <w:rFonts w:ascii="Arial" w:eastAsia="Arial" w:hAnsi="Arial" w:cs="Arial"/>
          <w:color w:val="000000"/>
          <w:sz w:val="18"/>
        </w:rPr>
        <w:t>The methadone-specific version of this provision was codified at Tenn. Code Ann. § 68-11-1607(c)(3). There is no suggestion that the Tennessee legislature's slight broadening of the provision, which may reflect the ascendancy of newer forms of treatment, affects this case.</w:t>
      </w:r>
    </w:p>
  </w:footnote>
  <w:footnote w:id="216">
    <w:p w:rsidR="00E456CD" w:rsidRDefault="00000000">
      <w:pPr>
        <w:pStyle w:val="Normal31"/>
        <w:widowControl w:val="0"/>
        <w:spacing w:before="120" w:line="240" w:lineRule="atLeast"/>
        <w:jc w:val="both"/>
      </w:pPr>
      <w:r>
        <w:rPr>
          <w:rFonts w:ascii="Arial" w:eastAsia="Arial" w:hAnsi="Arial" w:cs="Arial"/>
          <w:color w:val="000000"/>
          <w:sz w:val="18"/>
          <w:vertAlign w:val="superscript"/>
        </w:rPr>
        <w:t>5 </w:t>
      </w:r>
      <w:bookmarkStart w:id="4929" w:name="Bookmark_fnpara_5_13"/>
      <w:bookmarkEnd w:id="4929"/>
      <w:r>
        <w:rPr>
          <w:rFonts w:ascii="Arial" w:eastAsia="Arial" w:hAnsi="Arial" w:cs="Arial"/>
          <w:color w:val="000000"/>
          <w:sz w:val="18"/>
        </w:rPr>
        <w:t>At the time of TCH's CON application, Tenn. Code Ann. § 68-11-1624 applied only to "a hearing conducted by the agency for a nonresidential substitution-based treatment center for opiate addiction," but it now applies to any CON application hearing. 2015 Tenn. Pub. Acts, ch. 505.</w:t>
      </w:r>
    </w:p>
  </w:footnote>
  <w:footnote w:id="217">
    <w:p w:rsidR="00E456CD" w:rsidRDefault="00000000">
      <w:pPr>
        <w:pStyle w:val="Normal31"/>
        <w:widowControl w:val="0"/>
        <w:spacing w:before="200" w:line="240" w:lineRule="atLeast"/>
        <w:jc w:val="both"/>
      </w:pPr>
      <w:r>
        <w:rPr>
          <w:rFonts w:ascii="Arial" w:eastAsia="Arial" w:hAnsi="Arial" w:cs="Arial"/>
          <w:color w:val="000000"/>
          <w:sz w:val="18"/>
          <w:vertAlign w:val="superscript"/>
        </w:rPr>
        <w:t>6 </w:t>
      </w:r>
      <w:bookmarkStart w:id="4931" w:name="Bookmark_fnpara_6_10"/>
      <w:bookmarkEnd w:id="4931"/>
      <w:r>
        <w:rPr>
          <w:rFonts w:ascii="Arial" w:eastAsia="Arial" w:hAnsi="Arial" w:cs="Arial"/>
          <w:color w:val="000000"/>
          <w:sz w:val="18"/>
        </w:rPr>
        <w:t xml:space="preserve">In 2015, Johnson City revised its ordinance, apparently eliminating the regulations on hours of operation and distance from other types of properties while retaining its requirement that a CON be obtained and presented. </w:t>
      </w:r>
      <w:r>
        <w:rPr>
          <w:rFonts w:ascii="Arial" w:eastAsia="Arial" w:hAnsi="Arial" w:cs="Arial"/>
          <w:i/>
          <w:color w:val="000000"/>
          <w:sz w:val="18"/>
        </w:rPr>
        <w:t>TCH II</w:t>
      </w:r>
      <w:r>
        <w:rPr>
          <w:rFonts w:ascii="Arial" w:eastAsia="Arial" w:hAnsi="Arial" w:cs="Arial"/>
          <w:color w:val="000000"/>
          <w:sz w:val="18"/>
        </w:rPr>
        <w:t xml:space="preserve"> R. 214-7 (New Ordinance) (Page ID #6039-41).</w:t>
      </w:r>
    </w:p>
  </w:footnote>
  <w:footnote w:id="218">
    <w:p w:rsidR="00E456CD" w:rsidRDefault="00000000">
      <w:pPr>
        <w:pStyle w:val="Normal31"/>
        <w:widowControl w:val="0"/>
        <w:spacing w:before="120" w:line="240" w:lineRule="atLeast"/>
        <w:jc w:val="both"/>
      </w:pPr>
      <w:r>
        <w:rPr>
          <w:rFonts w:ascii="Arial" w:eastAsia="Arial" w:hAnsi="Arial" w:cs="Arial"/>
          <w:color w:val="000000"/>
          <w:sz w:val="18"/>
          <w:vertAlign w:val="superscript"/>
        </w:rPr>
        <w:t>7 </w:t>
      </w:r>
      <w:bookmarkStart w:id="4933" w:name="Bookmark_fnpara_7_9"/>
      <w:bookmarkEnd w:id="4933"/>
      <w:r>
        <w:rPr>
          <w:rFonts w:ascii="Arial" w:eastAsia="Arial" w:hAnsi="Arial" w:cs="Arial"/>
          <w:color w:val="000000"/>
          <w:sz w:val="18"/>
        </w:rPr>
        <w:t>For simplicity, we refer to these defendants-appellees collectively as "Johnson City."</w:t>
      </w:r>
    </w:p>
  </w:footnote>
  <w:footnote w:id="219">
    <w:p w:rsidR="00E456CD" w:rsidRDefault="00000000">
      <w:pPr>
        <w:pStyle w:val="Normal31"/>
        <w:widowControl w:val="0"/>
        <w:spacing w:before="200" w:line="240" w:lineRule="atLeast"/>
        <w:jc w:val="both"/>
      </w:pPr>
      <w:r>
        <w:rPr>
          <w:rFonts w:ascii="Arial" w:eastAsia="Arial" w:hAnsi="Arial" w:cs="Arial"/>
          <w:color w:val="000000"/>
          <w:sz w:val="18"/>
          <w:vertAlign w:val="superscript"/>
        </w:rPr>
        <w:t>8 </w:t>
      </w:r>
      <w:bookmarkStart w:id="4935" w:name="Bookmark_fnpara_8_9"/>
      <w:bookmarkEnd w:id="4935"/>
      <w:r>
        <w:rPr>
          <w:rFonts w:ascii="Arial" w:eastAsia="Arial" w:hAnsi="Arial" w:cs="Arial"/>
          <w:color w:val="000000"/>
          <w:sz w:val="18"/>
        </w:rPr>
        <w:t xml:space="preserve">This suit, filed in the Middle District of Tennessee, was ultimately transferred to the Eastern District of Tennessee as </w:t>
      </w:r>
      <w:r>
        <w:rPr>
          <w:rFonts w:ascii="Arial" w:eastAsia="Arial" w:hAnsi="Arial" w:cs="Arial"/>
          <w:i/>
          <w:color w:val="000000"/>
          <w:sz w:val="18"/>
        </w:rPr>
        <w:t>Tri-Cities Holdings LLC v. Tenn. Health Servs. &amp; Dev. Agency</w:t>
      </w:r>
      <w:r>
        <w:rPr>
          <w:rFonts w:ascii="Arial" w:eastAsia="Arial" w:hAnsi="Arial" w:cs="Arial"/>
          <w:color w:val="000000"/>
          <w:sz w:val="18"/>
        </w:rPr>
        <w:t>, No. 2:13-cv-305.</w:t>
      </w:r>
    </w:p>
  </w:footnote>
  <w:footnote w:id="220">
    <w:p w:rsidR="00E456CD" w:rsidRDefault="00000000">
      <w:pPr>
        <w:pStyle w:val="Normal31"/>
        <w:widowControl w:val="0"/>
        <w:spacing w:before="200" w:line="240" w:lineRule="atLeast"/>
        <w:jc w:val="both"/>
      </w:pPr>
      <w:r>
        <w:rPr>
          <w:rFonts w:ascii="Arial" w:eastAsia="Arial" w:hAnsi="Arial" w:cs="Arial"/>
          <w:color w:val="000000"/>
          <w:sz w:val="18"/>
          <w:vertAlign w:val="superscript"/>
        </w:rPr>
        <w:t>9 </w:t>
      </w:r>
      <w:bookmarkStart w:id="4936" w:name="Bookmark_fnpara_9_8"/>
      <w:bookmarkEnd w:id="4936"/>
      <w:r>
        <w:rPr>
          <w:rFonts w:ascii="Arial" w:eastAsia="Arial" w:hAnsi="Arial" w:cs="Arial"/>
          <w:color w:val="000000"/>
          <w:sz w:val="18"/>
        </w:rPr>
        <w:t xml:space="preserve">This was one of many functionally identical requests that Dunlap made to the various state and local entities involved in this case for "reasonable accommodations or modifications" to state and local policies in order to allow TCH to open its clinic. </w:t>
      </w:r>
      <w:r>
        <w:rPr>
          <w:rFonts w:ascii="Arial" w:eastAsia="Arial" w:hAnsi="Arial" w:cs="Arial"/>
          <w:i/>
          <w:color w:val="000000"/>
          <w:sz w:val="18"/>
        </w:rPr>
        <w:t>See, e.g., TCH III</w:t>
      </w:r>
      <w:r>
        <w:rPr>
          <w:rFonts w:ascii="Arial" w:eastAsia="Arial" w:hAnsi="Arial" w:cs="Arial"/>
          <w:color w:val="000000"/>
          <w:sz w:val="18"/>
        </w:rPr>
        <w:t xml:space="preserve"> R. 31-3 (Tr. of CON Application Hr'g at 197) (Page ID #1215); </w:t>
      </w:r>
      <w:r>
        <w:rPr>
          <w:rFonts w:ascii="Arial" w:eastAsia="Arial" w:hAnsi="Arial" w:cs="Arial"/>
          <w:i/>
          <w:color w:val="000000"/>
          <w:sz w:val="18"/>
        </w:rPr>
        <w:t>TCH III</w:t>
      </w:r>
      <w:r>
        <w:rPr>
          <w:rFonts w:ascii="Arial" w:eastAsia="Arial" w:hAnsi="Arial" w:cs="Arial"/>
          <w:color w:val="000000"/>
          <w:sz w:val="18"/>
        </w:rPr>
        <w:t xml:space="preserve"> R. 15-5 (Dunlap Letter to HSDA at 1-3) (Page ID #484-86); </w:t>
      </w:r>
      <w:r>
        <w:rPr>
          <w:rFonts w:ascii="Arial" w:eastAsia="Arial" w:hAnsi="Arial" w:cs="Arial"/>
          <w:i/>
          <w:color w:val="000000"/>
          <w:sz w:val="18"/>
        </w:rPr>
        <w:t>TCH III</w:t>
      </w:r>
      <w:r>
        <w:rPr>
          <w:rFonts w:ascii="Arial" w:eastAsia="Arial" w:hAnsi="Arial" w:cs="Arial"/>
          <w:color w:val="000000"/>
          <w:sz w:val="18"/>
        </w:rPr>
        <w:t xml:space="preserve"> R. 15-6 (Dunlap Letter to ALJ Summers at 1) (Page ID #504).</w:t>
      </w:r>
    </w:p>
  </w:footnote>
  <w:footnote w:id="221">
    <w:p w:rsidR="00E456CD" w:rsidRDefault="00000000">
      <w:pPr>
        <w:pStyle w:val="Normal31"/>
        <w:widowControl w:val="0"/>
        <w:spacing w:before="200" w:line="240" w:lineRule="atLeast"/>
        <w:jc w:val="both"/>
      </w:pPr>
      <w:r>
        <w:rPr>
          <w:rFonts w:ascii="Arial" w:eastAsia="Arial" w:hAnsi="Arial" w:cs="Arial"/>
          <w:color w:val="000000"/>
          <w:sz w:val="18"/>
          <w:vertAlign w:val="superscript"/>
        </w:rPr>
        <w:t>10 </w:t>
      </w:r>
      <w:bookmarkStart w:id="4939" w:name="Bookmark_fnpara_10_7"/>
      <w:bookmarkEnd w:id="4939"/>
      <w:r>
        <w:rPr>
          <w:rFonts w:ascii="Arial" w:eastAsia="Arial" w:hAnsi="Arial" w:cs="Arial"/>
          <w:color w:val="000000"/>
          <w:sz w:val="18"/>
        </w:rPr>
        <w:t xml:space="preserve">Emergent since its approval by the FDA in 2002, buprenorphine (often known by the brand name Suboxone) likewise "prevents . . . withdrawals," "cravings," and "a 'high' from any additional opioid used." Andraka-Christou, </w:t>
      </w:r>
      <w:r>
        <w:rPr>
          <w:rFonts w:ascii="Arial" w:eastAsia="Arial" w:hAnsi="Arial" w:cs="Arial"/>
          <w:i/>
          <w:color w:val="000000"/>
          <w:sz w:val="18"/>
        </w:rPr>
        <w:t>supra</w:t>
      </w:r>
      <w:r>
        <w:rPr>
          <w:rFonts w:ascii="Arial" w:eastAsia="Arial" w:hAnsi="Arial" w:cs="Arial"/>
          <w:color w:val="000000"/>
          <w:sz w:val="18"/>
        </w:rPr>
        <w:t xml:space="preserve">, at 224. "The opioid ingredient in buprenorphine," however, "is significantly less potent than in methadone, so buprenorphine is significantly less likely to be abused and rarely causes an overdose." </w:t>
      </w:r>
      <w:r>
        <w:rPr>
          <w:rFonts w:ascii="Arial" w:eastAsia="Arial" w:hAnsi="Arial" w:cs="Arial"/>
          <w:i/>
          <w:color w:val="000000"/>
          <w:sz w:val="18"/>
        </w:rPr>
        <w:t>Id.</w:t>
      </w:r>
      <w:r>
        <w:rPr>
          <w:rFonts w:ascii="Arial" w:eastAsia="Arial" w:hAnsi="Arial" w:cs="Arial"/>
          <w:color w:val="000000"/>
          <w:sz w:val="18"/>
        </w:rPr>
        <w:t xml:space="preserve"> Accordingly, buprenorphine has been characterized by at least some researchers and doctors as a "much safer option," with "significant harm reduction qualities" and very limited risk of overdose. </w:t>
      </w:r>
      <w:r>
        <w:rPr>
          <w:rFonts w:ascii="Arial" w:eastAsia="Arial" w:hAnsi="Arial" w:cs="Arial"/>
          <w:i/>
          <w:color w:val="000000"/>
          <w:sz w:val="18"/>
        </w:rPr>
        <w:t>See</w:t>
      </w:r>
      <w:r>
        <w:rPr>
          <w:rFonts w:ascii="Arial" w:eastAsia="Arial" w:hAnsi="Arial" w:cs="Arial"/>
          <w:color w:val="000000"/>
          <w:sz w:val="18"/>
        </w:rPr>
        <w:t xml:space="preserve"> Alan Gordon &amp; Alexandra A. Gordon, </w:t>
      </w:r>
      <w:r>
        <w:rPr>
          <w:rFonts w:ascii="Arial" w:eastAsia="Arial" w:hAnsi="Arial" w:cs="Arial"/>
          <w:i/>
          <w:color w:val="000000"/>
          <w:sz w:val="18"/>
        </w:rPr>
        <w:t>Does It Fit?—A Look at Addiction, Buprenorphine, and the Legislation Trying to Make It Work</w:t>
      </w:r>
      <w:r>
        <w:rPr>
          <w:rFonts w:ascii="Arial" w:eastAsia="Arial" w:hAnsi="Arial" w:cs="Arial"/>
          <w:color w:val="000000"/>
          <w:sz w:val="18"/>
        </w:rPr>
        <w:t>, 12 J. HEALTH &amp; BIOMEDICAL L. 1, 10-11 &amp; nn. 50, 54 (2016) (describing comparative safety of buprenorphine and citing sources).</w:t>
      </w:r>
    </w:p>
  </w:footnote>
  <w:footnote w:id="222">
    <w:p w:rsidR="00E456CD" w:rsidRDefault="00000000">
      <w:pPr>
        <w:pStyle w:val="Normal31"/>
        <w:widowControl w:val="0"/>
        <w:spacing w:before="200" w:line="240" w:lineRule="atLeast"/>
        <w:jc w:val="both"/>
      </w:pPr>
      <w:r>
        <w:rPr>
          <w:rFonts w:ascii="Arial" w:eastAsia="Arial" w:hAnsi="Arial" w:cs="Arial"/>
          <w:color w:val="000000"/>
          <w:sz w:val="18"/>
          <w:vertAlign w:val="superscript"/>
        </w:rPr>
        <w:t>11 </w:t>
      </w:r>
      <w:bookmarkStart w:id="4942" w:name="Bookmark_fnpara_11_6"/>
      <w:bookmarkEnd w:id="4942"/>
      <w:r>
        <w:rPr>
          <w:rFonts w:ascii="Arial" w:eastAsia="Arial" w:hAnsi="Arial" w:cs="Arial"/>
          <w:color w:val="000000"/>
          <w:sz w:val="18"/>
        </w:rPr>
        <w:t xml:space="preserve">TCH also raised state-law claims, </w:t>
      </w:r>
      <w:r>
        <w:rPr>
          <w:rFonts w:ascii="Arial" w:eastAsia="Arial" w:hAnsi="Arial" w:cs="Arial"/>
          <w:i/>
          <w:color w:val="000000"/>
          <w:sz w:val="18"/>
        </w:rPr>
        <w:t>TCH II</w:t>
      </w:r>
      <w:r>
        <w:rPr>
          <w:rFonts w:ascii="Arial" w:eastAsia="Arial" w:hAnsi="Arial" w:cs="Arial"/>
          <w:color w:val="000000"/>
          <w:sz w:val="18"/>
        </w:rPr>
        <w:t xml:space="preserve"> R. 1 (Compl.) (Page ID #67-70), which are not at issue on appeal.</w:t>
      </w:r>
    </w:p>
  </w:footnote>
  <w:footnote w:id="223">
    <w:p w:rsidR="00E456CD" w:rsidRDefault="00000000">
      <w:pPr>
        <w:pStyle w:val="Normal31"/>
        <w:widowControl w:val="0"/>
        <w:spacing w:before="200" w:line="240" w:lineRule="atLeast"/>
        <w:jc w:val="both"/>
      </w:pPr>
      <w:r>
        <w:rPr>
          <w:rFonts w:ascii="Arial" w:eastAsia="Arial" w:hAnsi="Arial" w:cs="Arial"/>
          <w:color w:val="000000"/>
          <w:sz w:val="18"/>
          <w:vertAlign w:val="superscript"/>
        </w:rPr>
        <w:t>12 </w:t>
      </w:r>
      <w:bookmarkStart w:id="4952" w:name="Bookmark_fnpara_12_6"/>
      <w:bookmarkEnd w:id="4952"/>
      <w:r>
        <w:rPr>
          <w:rFonts w:ascii="Arial" w:eastAsia="Arial" w:hAnsi="Arial" w:cs="Arial"/>
          <w:color w:val="000000"/>
          <w:sz w:val="18"/>
        </w:rPr>
        <w:t xml:space="preserve">TCH also raised federal and state due-process claims that it later dismissed. </w:t>
      </w:r>
      <w:r>
        <w:rPr>
          <w:rFonts w:ascii="Arial" w:eastAsia="Arial" w:hAnsi="Arial" w:cs="Arial"/>
          <w:i/>
          <w:color w:val="000000"/>
          <w:sz w:val="18"/>
        </w:rPr>
        <w:t>TCH III</w:t>
      </w:r>
      <w:r>
        <w:rPr>
          <w:rFonts w:ascii="Arial" w:eastAsia="Arial" w:hAnsi="Arial" w:cs="Arial"/>
          <w:color w:val="000000"/>
          <w:sz w:val="18"/>
        </w:rPr>
        <w:t xml:space="preserve"> R. 87 (Notice of Dismissal at 1-2) (Page ID #2462-63). Those claims are thus not at issue here.</w:t>
      </w:r>
    </w:p>
  </w:footnote>
  <w:footnote w:id="224">
    <w:p w:rsidR="00E456CD" w:rsidRDefault="00000000">
      <w:pPr>
        <w:pStyle w:val="Normal31"/>
        <w:widowControl w:val="0"/>
        <w:spacing w:before="200" w:line="240" w:lineRule="atLeast"/>
        <w:jc w:val="both"/>
      </w:pPr>
      <w:r>
        <w:rPr>
          <w:rFonts w:ascii="Arial" w:eastAsia="Arial" w:hAnsi="Arial" w:cs="Arial"/>
          <w:color w:val="000000"/>
          <w:sz w:val="18"/>
          <w:vertAlign w:val="superscript"/>
        </w:rPr>
        <w:t>13 </w:t>
      </w:r>
      <w:bookmarkStart w:id="4963" w:name="Bookmark_fnpara_13_6"/>
      <w:bookmarkEnd w:id="4963"/>
      <w:r>
        <w:rPr>
          <w:rFonts w:ascii="Arial" w:eastAsia="Arial" w:hAnsi="Arial" w:cs="Arial"/>
          <w:color w:val="000000"/>
          <w:sz w:val="18"/>
        </w:rPr>
        <w:t xml:space="preserve">TCH also adverts in its briefing to "disparate impact of discrimination." </w:t>
      </w:r>
      <w:r>
        <w:rPr>
          <w:rFonts w:ascii="Arial" w:eastAsia="Arial" w:hAnsi="Arial" w:cs="Arial"/>
          <w:i/>
          <w:color w:val="000000"/>
          <w:sz w:val="18"/>
        </w:rPr>
        <w:t>TCH II</w:t>
      </w:r>
      <w:r>
        <w:rPr>
          <w:rFonts w:ascii="Arial" w:eastAsia="Arial" w:hAnsi="Arial" w:cs="Arial"/>
          <w:color w:val="000000"/>
          <w:sz w:val="18"/>
        </w:rPr>
        <w:t xml:space="preserve"> Appellants' Br. at 18. But it did not make this argument below, and we therefore "decline[] to consider on appeal arguments that were not presented to the district court." </w:t>
      </w:r>
      <w:bookmarkStart w:id="4964" w:name="Bookmark_I5RYPR0F2D6MVM0020000400"/>
      <w:bookmarkEnd w:id="4964"/>
      <w:r>
        <w:rPr>
          <w:rFonts w:ascii="Arial" w:eastAsia="Arial" w:hAnsi="Arial" w:cs="Arial"/>
          <w:i/>
          <w:color w:val="000000"/>
          <w:sz w:val="18"/>
        </w:rPr>
        <w:t>Fawkes v. JPMorgan Chase Bank, N.A.</w:t>
      </w:r>
      <w:r>
        <w:rPr>
          <w:rFonts w:ascii="Arial" w:eastAsia="Arial" w:hAnsi="Arial" w:cs="Arial"/>
          <w:color w:val="000000"/>
          <w:sz w:val="18"/>
        </w:rPr>
        <w:t>, 645 F. App'x 453, 454 (6th Cir. 2016) (citation omitted).</w:t>
      </w:r>
    </w:p>
  </w:footnote>
  <w:footnote w:id="225">
    <w:p w:rsidR="00E456CD" w:rsidRDefault="00000000">
      <w:pPr>
        <w:pStyle w:val="Normal31"/>
        <w:widowControl w:val="0"/>
        <w:spacing w:before="200" w:line="240" w:lineRule="atLeast"/>
        <w:jc w:val="both"/>
      </w:pPr>
      <w:r>
        <w:rPr>
          <w:rFonts w:ascii="Arial" w:eastAsia="Arial" w:hAnsi="Arial" w:cs="Arial"/>
          <w:color w:val="000000"/>
          <w:sz w:val="18"/>
          <w:vertAlign w:val="superscript"/>
        </w:rPr>
        <w:t>14 </w:t>
      </w:r>
      <w:bookmarkStart w:id="5058" w:name="Bookmark_fnpara_14_5"/>
      <w:bookmarkEnd w:id="5058"/>
      <w:r>
        <w:rPr>
          <w:rFonts w:ascii="Arial" w:eastAsia="Arial" w:hAnsi="Arial" w:cs="Arial"/>
          <w:color w:val="000000"/>
          <w:sz w:val="18"/>
        </w:rPr>
        <w:t xml:space="preserve">Kester himself seems to have recognized this trend in the testimony. </w:t>
      </w:r>
      <w:r>
        <w:rPr>
          <w:rFonts w:ascii="Arial" w:eastAsia="Arial" w:hAnsi="Arial" w:cs="Arial"/>
          <w:i/>
          <w:color w:val="000000"/>
          <w:sz w:val="18"/>
        </w:rPr>
        <w:t>See TCH III</w:t>
      </w:r>
      <w:r>
        <w:rPr>
          <w:rFonts w:ascii="Arial" w:eastAsia="Arial" w:hAnsi="Arial" w:cs="Arial"/>
          <w:color w:val="000000"/>
          <w:sz w:val="18"/>
        </w:rPr>
        <w:t xml:space="preserve"> R. 31-3 (Tr. of CON Application Hr'g at 174) (Page ID #174) (stating that he had refrained from defending himself against charges of "being a terrible, rotten person and a terrible, rotten operator").</w:t>
      </w:r>
    </w:p>
  </w:footnote>
  <w:footnote w:id="226">
    <w:p w:rsidR="00E456CD" w:rsidRDefault="00000000">
      <w:pPr>
        <w:pStyle w:val="Normal31"/>
        <w:widowControl w:val="0"/>
        <w:spacing w:before="200" w:line="240" w:lineRule="atLeast"/>
        <w:jc w:val="both"/>
      </w:pPr>
      <w:r>
        <w:rPr>
          <w:rFonts w:ascii="Arial" w:eastAsia="Arial" w:hAnsi="Arial" w:cs="Arial"/>
          <w:color w:val="000000"/>
          <w:sz w:val="18"/>
          <w:vertAlign w:val="superscript"/>
        </w:rPr>
        <w:t>15 </w:t>
      </w:r>
      <w:bookmarkStart w:id="5059" w:name="Bookmark_fnpara_15_5"/>
      <w:bookmarkEnd w:id="5059"/>
      <w:r>
        <w:rPr>
          <w:rFonts w:ascii="Arial" w:eastAsia="Arial" w:hAnsi="Arial" w:cs="Arial"/>
          <w:color w:val="000000"/>
          <w:sz w:val="18"/>
        </w:rPr>
        <w:t xml:space="preserve">The former strain of skepticism, we note, is at least empirically justifiable. </w:t>
      </w:r>
      <w:r>
        <w:rPr>
          <w:rFonts w:ascii="Arial" w:eastAsia="Arial" w:hAnsi="Arial" w:cs="Arial"/>
          <w:i/>
          <w:color w:val="000000"/>
          <w:sz w:val="18"/>
        </w:rPr>
        <w:t>See</w:t>
      </w:r>
      <w:r>
        <w:rPr>
          <w:rFonts w:ascii="Arial" w:eastAsia="Arial" w:hAnsi="Arial" w:cs="Arial"/>
          <w:color w:val="000000"/>
          <w:sz w:val="18"/>
        </w:rPr>
        <w:t xml:space="preserve"> Andraka-Christou, </w:t>
      </w:r>
      <w:r>
        <w:rPr>
          <w:rFonts w:ascii="Arial" w:eastAsia="Arial" w:hAnsi="Arial" w:cs="Arial"/>
          <w:i/>
          <w:color w:val="000000"/>
          <w:sz w:val="18"/>
        </w:rPr>
        <w:t>supra</w:t>
      </w:r>
      <w:r>
        <w:rPr>
          <w:rFonts w:ascii="Arial" w:eastAsia="Arial" w:hAnsi="Arial" w:cs="Arial"/>
          <w:color w:val="000000"/>
          <w:sz w:val="18"/>
        </w:rPr>
        <w:t xml:space="preserve">, at 221, 224; Gordon &amp; Gordon, </w:t>
      </w:r>
      <w:r>
        <w:rPr>
          <w:rFonts w:ascii="Arial" w:eastAsia="Arial" w:hAnsi="Arial" w:cs="Arial"/>
          <w:i/>
          <w:color w:val="000000"/>
          <w:sz w:val="18"/>
        </w:rPr>
        <w:t>supra</w:t>
      </w:r>
      <w:r>
        <w:rPr>
          <w:rFonts w:ascii="Arial" w:eastAsia="Arial" w:hAnsi="Arial" w:cs="Arial"/>
          <w:color w:val="000000"/>
          <w:sz w:val="18"/>
        </w:rPr>
        <w:t xml:space="preserve">, at 10-11 &amp; nn. 50, 54; </w:t>
      </w:r>
      <w:r>
        <w:rPr>
          <w:rFonts w:ascii="Arial" w:eastAsia="Arial" w:hAnsi="Arial" w:cs="Arial"/>
          <w:i/>
          <w:color w:val="000000"/>
          <w:sz w:val="18"/>
        </w:rPr>
        <w:t>Risk for Overdose, supra</w:t>
      </w:r>
      <w:r>
        <w:rPr>
          <w:rFonts w:ascii="Arial" w:eastAsia="Arial" w:hAnsi="Arial" w:cs="Arial"/>
          <w:color w:val="000000"/>
          <w:sz w:val="18"/>
        </w:rPr>
        <w:t xml:space="preserve">, at 493-94. And the latter is at least consistent with the fact that there now </w:t>
      </w:r>
      <w:r>
        <w:rPr>
          <w:rFonts w:ascii="Arial" w:eastAsia="Arial" w:hAnsi="Arial" w:cs="Arial"/>
          <w:i/>
          <w:color w:val="000000"/>
          <w:sz w:val="18"/>
        </w:rPr>
        <w:t>is</w:t>
      </w:r>
      <w:r>
        <w:rPr>
          <w:rFonts w:ascii="Arial" w:eastAsia="Arial" w:hAnsi="Arial" w:cs="Arial"/>
          <w:color w:val="000000"/>
          <w:sz w:val="18"/>
        </w:rPr>
        <w:t xml:space="preserve">, as TCH acknowledges, a methadone clinic in the Johnson City area. </w:t>
      </w:r>
      <w:r>
        <w:rPr>
          <w:rFonts w:ascii="Arial" w:eastAsia="Arial" w:hAnsi="Arial" w:cs="Arial"/>
          <w:i/>
          <w:color w:val="000000"/>
          <w:sz w:val="18"/>
        </w:rPr>
        <w:t>See TCH II</w:t>
      </w:r>
      <w:r>
        <w:rPr>
          <w:rFonts w:ascii="Arial" w:eastAsia="Arial" w:hAnsi="Arial" w:cs="Arial"/>
          <w:color w:val="000000"/>
          <w:sz w:val="18"/>
        </w:rPr>
        <w:t xml:space="preserve"> R. 214-9 (Tr. of MSHA CON Application Hr'g at 82) (Page ID #6131); </w:t>
      </w:r>
      <w:r>
        <w:rPr>
          <w:rFonts w:ascii="Arial" w:eastAsia="Arial" w:hAnsi="Arial" w:cs="Arial"/>
          <w:i/>
          <w:color w:val="000000"/>
          <w:sz w:val="18"/>
        </w:rPr>
        <w:t>TCH II</w:t>
      </w:r>
      <w:r>
        <w:rPr>
          <w:rFonts w:ascii="Arial" w:eastAsia="Arial" w:hAnsi="Arial" w:cs="Arial"/>
          <w:color w:val="000000"/>
          <w:sz w:val="18"/>
        </w:rPr>
        <w:t xml:space="preserve"> Appellants' Br. at 5 n.4.</w:t>
      </w:r>
    </w:p>
  </w:footnote>
  <w:footnote w:id="227">
    <w:p w:rsidR="00E456CD" w:rsidRDefault="00000000">
      <w:pPr>
        <w:pStyle w:val="Normal31"/>
        <w:widowControl w:val="0"/>
        <w:spacing w:before="200" w:line="240" w:lineRule="atLeast"/>
        <w:jc w:val="both"/>
      </w:pPr>
      <w:r>
        <w:rPr>
          <w:rFonts w:ascii="Arial" w:eastAsia="Arial" w:hAnsi="Arial" w:cs="Arial"/>
          <w:color w:val="000000"/>
          <w:sz w:val="18"/>
          <w:vertAlign w:val="superscript"/>
        </w:rPr>
        <w:t>16 </w:t>
      </w:r>
      <w:bookmarkStart w:id="5115" w:name="Bookmark_fnpara_16_5"/>
      <w:bookmarkEnd w:id="5115"/>
      <w:r>
        <w:rPr>
          <w:rFonts w:ascii="Arial" w:eastAsia="Arial" w:hAnsi="Arial" w:cs="Arial"/>
          <w:color w:val="000000"/>
          <w:sz w:val="18"/>
        </w:rPr>
        <w:t xml:space="preserve">ALJ Summers is also, as the state defendants note, </w:t>
      </w:r>
      <w:r>
        <w:rPr>
          <w:rFonts w:ascii="Arial" w:eastAsia="Arial" w:hAnsi="Arial" w:cs="Arial"/>
          <w:i/>
          <w:color w:val="000000"/>
          <w:sz w:val="18"/>
        </w:rPr>
        <w:t>TCH III</w:t>
      </w:r>
      <w:r>
        <w:rPr>
          <w:rFonts w:ascii="Arial" w:eastAsia="Arial" w:hAnsi="Arial" w:cs="Arial"/>
          <w:color w:val="000000"/>
          <w:sz w:val="18"/>
        </w:rPr>
        <w:t xml:space="preserve"> Appellees' Br. at 20 n.12, absolved of any damages for another reason: judicial immunity. </w:t>
      </w:r>
      <w:r>
        <w:rPr>
          <w:rFonts w:ascii="Arial" w:eastAsia="Arial" w:hAnsi="Arial" w:cs="Arial"/>
          <w:i/>
          <w:color w:val="000000"/>
          <w:sz w:val="18"/>
        </w:rPr>
        <w:t xml:space="preserve">See </w:t>
      </w:r>
      <w:bookmarkStart w:id="5116" w:name="Bookmark_I5RYPR0F2HM6VC0050000400"/>
      <w:bookmarkEnd w:id="5116"/>
      <w:r>
        <w:rPr>
          <w:rFonts w:ascii="Arial" w:eastAsia="Arial" w:hAnsi="Arial" w:cs="Arial"/>
          <w:i/>
          <w:color w:val="000000"/>
          <w:sz w:val="18"/>
        </w:rPr>
        <w:t>Mireles v. Waco</w:t>
      </w:r>
      <w:r>
        <w:rPr>
          <w:rFonts w:ascii="Arial" w:eastAsia="Arial" w:hAnsi="Arial" w:cs="Arial"/>
          <w:color w:val="000000"/>
          <w:sz w:val="18"/>
        </w:rPr>
        <w:t xml:space="preserve">, 502 U.S. 9, 11-12, 112 S. Ct. 286, 116 L. Ed. 2d 9 (1991); </w:t>
      </w:r>
      <w:bookmarkStart w:id="5117" w:name="Bookmark_I5RYPR0F2SF8060020000400"/>
      <w:bookmarkEnd w:id="5117"/>
      <w:r>
        <w:rPr>
          <w:rFonts w:ascii="Arial" w:eastAsia="Arial" w:hAnsi="Arial" w:cs="Arial"/>
          <w:i/>
          <w:color w:val="000000"/>
          <w:sz w:val="18"/>
        </w:rPr>
        <w:t>Dixon v. Clem</w:t>
      </w:r>
      <w:r>
        <w:rPr>
          <w:rFonts w:ascii="Arial" w:eastAsia="Arial" w:hAnsi="Arial" w:cs="Arial"/>
          <w:color w:val="000000"/>
          <w:sz w:val="18"/>
        </w:rPr>
        <w:t>, 492 F.3d 665, 674 (6th Cir. 2007).</w:t>
      </w:r>
    </w:p>
  </w:footnote>
  <w:footnote w:id="228">
    <w:p w:rsidR="00E456CD" w:rsidRDefault="00000000">
      <w:pPr>
        <w:pStyle w:val="Normal31"/>
        <w:widowControl w:val="0"/>
        <w:spacing w:before="200" w:line="240" w:lineRule="atLeast"/>
        <w:jc w:val="both"/>
      </w:pPr>
      <w:r>
        <w:rPr>
          <w:rFonts w:ascii="Arial" w:eastAsia="Arial" w:hAnsi="Arial" w:cs="Arial"/>
          <w:color w:val="000000"/>
          <w:sz w:val="18"/>
          <w:vertAlign w:val="superscript"/>
        </w:rPr>
        <w:t>17 </w:t>
      </w:r>
      <w:bookmarkStart w:id="5123" w:name="Bookmark_fnpara_17_5"/>
      <w:bookmarkStart w:id="5124" w:name="Bookmark_I5RYPR0F2D6MVV0040000400"/>
      <w:bookmarkStart w:id="5125" w:name="Bookmark_I5RYPR0F2SF8070010000400"/>
      <w:bookmarkEnd w:id="5123"/>
      <w:bookmarkEnd w:id="5124"/>
      <w:bookmarkEnd w:id="5125"/>
      <w:r>
        <w:rPr>
          <w:rFonts w:ascii="Arial" w:eastAsia="Arial" w:hAnsi="Arial" w:cs="Arial"/>
          <w:color w:val="000000"/>
          <w:sz w:val="18"/>
        </w:rPr>
        <w:t xml:space="preserve">TCH's argument that the state defendants have run afoul of this rule by failing to offer "specific facts showing any costs of a modification or their rules," </w:t>
      </w:r>
      <w:r>
        <w:rPr>
          <w:rFonts w:ascii="Arial" w:eastAsia="Arial" w:hAnsi="Arial" w:cs="Arial"/>
          <w:i/>
          <w:color w:val="000000"/>
          <w:sz w:val="18"/>
        </w:rPr>
        <w:t>TCH II</w:t>
      </w:r>
      <w:r>
        <w:rPr>
          <w:rFonts w:ascii="Arial" w:eastAsia="Arial" w:hAnsi="Arial" w:cs="Arial"/>
          <w:color w:val="000000"/>
          <w:sz w:val="18"/>
        </w:rPr>
        <w:t xml:space="preserve"> Appellants' Br. at 28, misunderstands what we have required of defendants. It is true, to be sure, that a district court errs if, </w:t>
      </w:r>
      <w:r>
        <w:rPr>
          <w:rFonts w:ascii="Arial" w:eastAsia="Arial" w:hAnsi="Arial" w:cs="Arial"/>
          <w:i/>
          <w:color w:val="000000"/>
          <w:sz w:val="18"/>
        </w:rPr>
        <w:t>at a pre-discovery stage</w:t>
      </w:r>
      <w:r>
        <w:rPr>
          <w:rFonts w:ascii="Arial" w:eastAsia="Arial" w:hAnsi="Arial" w:cs="Arial"/>
          <w:color w:val="000000"/>
          <w:sz w:val="18"/>
        </w:rPr>
        <w:t xml:space="preserve">, it "merely accept[s] [a] defendant's affirmative defense without requiring facts and evidence to support it." </w:t>
      </w:r>
      <w:bookmarkStart w:id="5126" w:name="Bookmark_I5RYPR0F2D6MVV0030000400"/>
      <w:bookmarkEnd w:id="5126"/>
      <w:r>
        <w:rPr>
          <w:rFonts w:ascii="Arial" w:eastAsia="Arial" w:hAnsi="Arial" w:cs="Arial"/>
          <w:i/>
          <w:color w:val="000000"/>
          <w:sz w:val="18"/>
        </w:rPr>
        <w:t>Hindel v. Husted</w:t>
      </w:r>
      <w:r>
        <w:rPr>
          <w:rFonts w:ascii="Arial" w:eastAsia="Arial" w:hAnsi="Arial" w:cs="Arial"/>
          <w:color w:val="000000"/>
          <w:sz w:val="18"/>
        </w:rPr>
        <w:t xml:space="preserve">, 875 F.3d 344, 347-48 (6th Cir. 2017). But here at summary judgment we have a more-than-ample record to which to refer, particularly given that the question of whether the HSDA should be required to adjust the CON criteria is more abstract than a "typically fact-based" case. </w:t>
      </w:r>
      <w:r>
        <w:rPr>
          <w:rFonts w:ascii="Arial" w:eastAsia="Arial" w:hAnsi="Arial" w:cs="Arial"/>
          <w:i/>
          <w:color w:val="000000"/>
          <w:sz w:val="18"/>
        </w:rPr>
        <w:t xml:space="preserve">See </w:t>
      </w:r>
      <w:bookmarkStart w:id="5127" w:name="Bookmark_I5RYPR0F2D6MVV0050000400"/>
      <w:bookmarkEnd w:id="5127"/>
      <w:r>
        <w:rPr>
          <w:rFonts w:ascii="Arial" w:eastAsia="Arial" w:hAnsi="Arial" w:cs="Arial"/>
          <w:i/>
          <w:color w:val="000000"/>
          <w:sz w:val="18"/>
        </w:rPr>
        <w:t>id.</w:t>
      </w:r>
      <w:r>
        <w:rPr>
          <w:rFonts w:ascii="Arial" w:eastAsia="Arial" w:hAnsi="Arial" w:cs="Arial"/>
          <w:color w:val="000000"/>
          <w:sz w:val="18"/>
        </w:rPr>
        <w:t xml:space="preserve"> at 347.</w:t>
      </w:r>
    </w:p>
  </w:footnote>
  <w:footnote w:id="229">
    <w:p w:rsidR="00E456CD" w:rsidRDefault="00000000">
      <w:pPr>
        <w:pStyle w:val="Normal31"/>
        <w:widowControl w:val="0"/>
        <w:spacing w:before="200" w:line="240" w:lineRule="atLeast"/>
        <w:jc w:val="both"/>
      </w:pPr>
      <w:r>
        <w:rPr>
          <w:rFonts w:ascii="Arial" w:eastAsia="Arial" w:hAnsi="Arial" w:cs="Arial"/>
          <w:color w:val="000000"/>
          <w:sz w:val="18"/>
          <w:vertAlign w:val="superscript"/>
        </w:rPr>
        <w:t>18 </w:t>
      </w:r>
      <w:bookmarkStart w:id="5159" w:name="Bookmark_fnpara_18_2"/>
      <w:bookmarkEnd w:id="5159"/>
      <w:r>
        <w:rPr>
          <w:rFonts w:ascii="Arial" w:eastAsia="Arial" w:hAnsi="Arial" w:cs="Arial"/>
          <w:color w:val="000000"/>
          <w:sz w:val="18"/>
        </w:rPr>
        <w:t xml:space="preserve">As with TCH's preceding claims, in the absence of any argument against so doing and in keeping with precedent, we analyze TCH's retaliation claims under the ADA and RA in tandem. </w:t>
      </w:r>
      <w:r>
        <w:rPr>
          <w:rFonts w:ascii="Arial" w:eastAsia="Arial" w:hAnsi="Arial" w:cs="Arial"/>
          <w:i/>
          <w:color w:val="000000"/>
          <w:sz w:val="18"/>
        </w:rPr>
        <w:t xml:space="preserve">See </w:t>
      </w:r>
      <w:bookmarkStart w:id="5160" w:name="Bookmark_I5RYPR0F2D6MVX0010000400"/>
      <w:bookmarkEnd w:id="5160"/>
      <w:r>
        <w:rPr>
          <w:rFonts w:ascii="Arial" w:eastAsia="Arial" w:hAnsi="Arial" w:cs="Arial"/>
          <w:i/>
          <w:color w:val="000000"/>
          <w:sz w:val="18"/>
        </w:rPr>
        <w:t>A.C. ex rel. J.C. v. Shelby Cty. Bd. of Educ.</w:t>
      </w:r>
      <w:r>
        <w:rPr>
          <w:rFonts w:ascii="Arial" w:eastAsia="Arial" w:hAnsi="Arial" w:cs="Arial"/>
          <w:color w:val="000000"/>
          <w:sz w:val="18"/>
        </w:rPr>
        <w:t>, 711 F.3d 687, 696-97 (6th Cir. 2013).</w:t>
      </w:r>
    </w:p>
  </w:footnote>
  <w:footnote w:id="230">
    <w:p w:rsidR="00E456CD" w:rsidRDefault="00000000">
      <w:pPr>
        <w:pStyle w:val="Normal32"/>
        <w:widowControl w:val="0"/>
        <w:spacing w:before="120" w:line="240" w:lineRule="atLeast"/>
        <w:jc w:val="both"/>
      </w:pPr>
      <w:r>
        <w:rPr>
          <w:rFonts w:ascii="Arial" w:eastAsia="Arial" w:hAnsi="Arial" w:cs="Arial"/>
          <w:color w:val="000000"/>
          <w:sz w:val="18"/>
          <w:vertAlign w:val="superscript"/>
        </w:rPr>
        <w:t>1 </w:t>
      </w:r>
      <w:bookmarkStart w:id="5234" w:name="Bookmark_fnpara_1_28"/>
      <w:bookmarkEnd w:id="5234"/>
      <w:r>
        <w:rPr>
          <w:rFonts w:ascii="Arial" w:eastAsia="Arial" w:hAnsi="Arial" w:cs="Arial"/>
          <w:color w:val="000000"/>
          <w:sz w:val="18"/>
        </w:rPr>
        <w:t>There is a problem with the heat in Tull's apartment, which would allegedly reach above ninety degrees in the winter, even with the windows open. Tull's medical conditions are affected by the intense heat, which NYCHA concedes can only be fixed by tearing down the wall between her bedroom and living room and insulating the heating pipes.</w:t>
      </w:r>
    </w:p>
  </w:footnote>
  <w:footnote w:id="231">
    <w:p w:rsidR="00E456CD" w:rsidRDefault="00000000">
      <w:pPr>
        <w:pStyle w:val="Normal33"/>
        <w:widowControl w:val="0"/>
        <w:spacing w:before="200" w:line="240" w:lineRule="atLeast"/>
        <w:jc w:val="both"/>
      </w:pPr>
      <w:r>
        <w:rPr>
          <w:rFonts w:ascii="Arial" w:eastAsia="Arial" w:hAnsi="Arial" w:cs="Arial"/>
          <w:color w:val="000000"/>
          <w:sz w:val="18"/>
          <w:vertAlign w:val="superscript"/>
        </w:rPr>
        <w:t>1 </w:t>
      </w:r>
      <w:bookmarkStart w:id="5267" w:name="Bookmark_fnpara_1_29"/>
      <w:bookmarkEnd w:id="5267"/>
      <w:r>
        <w:rPr>
          <w:rFonts w:ascii="Arial" w:eastAsia="Arial" w:hAnsi="Arial" w:cs="Arial"/>
          <w:color w:val="000000"/>
          <w:sz w:val="18"/>
        </w:rPr>
        <w:t xml:space="preserve">In addition to the allegations in the complaint, we may also consider other materials that are integral to the pleadings or are attached to the pleadings, including public records, and documents that are otherwise appropriate for the taking of judicial notice, such as transcripts and filings from a state court proceeding. </w:t>
      </w:r>
      <w:r>
        <w:rPr>
          <w:rFonts w:ascii="Arial" w:eastAsia="Arial" w:hAnsi="Arial" w:cs="Arial"/>
          <w:i/>
          <w:color w:val="000000"/>
          <w:sz w:val="18"/>
        </w:rPr>
        <w:t xml:space="preserve">See </w:t>
      </w:r>
      <w:bookmarkStart w:id="5268" w:name="Bookmark_I5RR3V122D6N8C0050000400"/>
      <w:bookmarkEnd w:id="5268"/>
      <w:r>
        <w:rPr>
          <w:rFonts w:ascii="Arial" w:eastAsia="Arial" w:hAnsi="Arial" w:cs="Arial"/>
          <w:i/>
          <w:color w:val="000000"/>
          <w:sz w:val="18"/>
        </w:rPr>
        <w:t>Ashland, Inc. v. Oppenheimer &amp; Co.</w:t>
      </w:r>
      <w:r>
        <w:rPr>
          <w:rFonts w:ascii="Arial" w:eastAsia="Arial" w:hAnsi="Arial" w:cs="Arial"/>
          <w:color w:val="000000"/>
          <w:sz w:val="18"/>
        </w:rPr>
        <w:t>, 648 F.3d 461, 467 (6th Cir. 2011).</w:t>
      </w:r>
    </w:p>
  </w:footnote>
  <w:footnote w:id="232">
    <w:p w:rsidR="00E456CD" w:rsidRDefault="00000000">
      <w:pPr>
        <w:pStyle w:val="Normal35"/>
        <w:widowControl w:val="0"/>
        <w:spacing w:before="120" w:line="240" w:lineRule="atLeast"/>
        <w:jc w:val="both"/>
      </w:pPr>
      <w:r>
        <w:rPr>
          <w:rFonts w:ascii="Arial" w:eastAsia="Arial" w:hAnsi="Arial" w:cs="Arial"/>
          <w:color w:val="000000"/>
          <w:sz w:val="18"/>
          <w:vertAlign w:val="superscript"/>
        </w:rPr>
        <w:t>** </w:t>
      </w:r>
      <w:bookmarkStart w:id="5416" w:name="Bookmark_fnpara_1_30"/>
      <w:bookmarkEnd w:id="5416"/>
      <w:r>
        <w:rPr>
          <w:rFonts w:ascii="Arial" w:eastAsia="Arial" w:hAnsi="Arial" w:cs="Arial"/>
          <w:color w:val="000000"/>
          <w:sz w:val="18"/>
        </w:rPr>
        <w:t>This summary constitutes no part of the opinion of the court. It has been prepared by court staff for the convenience of the reader.</w:t>
      </w:r>
    </w:p>
  </w:footnote>
  <w:footnote w:id="233">
    <w:p w:rsidR="00E456CD" w:rsidRDefault="00000000">
      <w:pPr>
        <w:pStyle w:val="Normal35"/>
        <w:widowControl w:val="0"/>
        <w:spacing w:before="120" w:line="240" w:lineRule="atLeast"/>
        <w:jc w:val="both"/>
      </w:pPr>
      <w:r>
        <w:rPr>
          <w:rFonts w:ascii="Arial" w:eastAsia="Arial" w:hAnsi="Arial" w:cs="Arial"/>
          <w:color w:val="000000"/>
          <w:sz w:val="18"/>
          <w:vertAlign w:val="superscript"/>
        </w:rPr>
        <w:t>* </w:t>
      </w:r>
      <w:bookmarkStart w:id="5424" w:name="Bookmark_fnpara_2_23"/>
      <w:bookmarkEnd w:id="5424"/>
      <w:r>
        <w:rPr>
          <w:rFonts w:ascii="Arial" w:eastAsia="Arial" w:hAnsi="Arial" w:cs="Arial"/>
          <w:color w:val="000000"/>
          <w:sz w:val="18"/>
        </w:rPr>
        <w:t>The Honorable Larry A. Burns, United States District Judge for the Southern District of California, sitting by designation.</w:t>
      </w:r>
    </w:p>
  </w:footnote>
  <w:footnote w:id="234">
    <w:p w:rsidR="00E456CD" w:rsidRDefault="00000000">
      <w:pPr>
        <w:pStyle w:val="Normal35"/>
        <w:widowControl w:val="0"/>
        <w:spacing w:before="120" w:line="240" w:lineRule="atLeast"/>
        <w:jc w:val="both"/>
      </w:pPr>
      <w:r>
        <w:rPr>
          <w:rFonts w:ascii="Arial" w:eastAsia="Arial" w:hAnsi="Arial" w:cs="Arial"/>
          <w:color w:val="000000"/>
          <w:sz w:val="18"/>
          <w:vertAlign w:val="superscript"/>
        </w:rPr>
        <w:t>1 </w:t>
      </w:r>
      <w:bookmarkStart w:id="5447" w:name="Bookmark_fnpara_3_19"/>
      <w:bookmarkEnd w:id="5447"/>
      <w:r>
        <w:rPr>
          <w:rFonts w:ascii="Arial" w:eastAsia="Arial" w:hAnsi="Arial" w:cs="Arial"/>
          <w:color w:val="000000"/>
          <w:sz w:val="18"/>
        </w:rPr>
        <w:t>The district court instructed:</w:t>
      </w:r>
    </w:p>
    <w:p w:rsidR="00E456CD" w:rsidRDefault="00000000">
      <w:pPr>
        <w:pStyle w:val="Normal35"/>
        <w:widowControl w:val="0"/>
        <w:spacing w:before="200" w:line="240" w:lineRule="atLeast"/>
        <w:ind w:left="400"/>
        <w:jc w:val="both"/>
      </w:pPr>
      <w:bookmarkStart w:id="5448" w:name="Bookmark_para_15_27"/>
      <w:bookmarkEnd w:id="5448"/>
      <w:r>
        <w:rPr>
          <w:rFonts w:ascii="Arial" w:eastAsia="Arial" w:hAnsi="Arial" w:cs="Arial"/>
          <w:color w:val="000000"/>
          <w:sz w:val="18"/>
        </w:rPr>
        <w:t>To establish or trigger the defendant's . . . duty to provide a reasonable accommodation, the plaintiff . . . must prove by a preponderance of the evidence both of the following elements: 1 comes in two alternatives. 1A deals with a request for awareness. 1A, plaintiff requested of defendant an accommodation due to a disability. [**6]  Or 1B, defendant became aware that plaintiff needed an accommodation. Either one of those is element No. 1.</w:t>
      </w:r>
    </w:p>
  </w:footnote>
  <w:footnote w:id="235">
    <w:p w:rsidR="00E456CD" w:rsidRDefault="00000000">
      <w:pPr>
        <w:pStyle w:val="Normal35"/>
        <w:widowControl w:val="0"/>
        <w:spacing w:before="120" w:line="240" w:lineRule="atLeast"/>
        <w:jc w:val="both"/>
      </w:pPr>
      <w:r>
        <w:rPr>
          <w:rFonts w:ascii="Arial" w:eastAsia="Arial" w:hAnsi="Arial" w:cs="Arial"/>
          <w:color w:val="000000"/>
          <w:sz w:val="18"/>
          <w:vertAlign w:val="superscript"/>
        </w:rPr>
        <w:t>2 </w:t>
      </w:r>
      <w:bookmarkStart w:id="5493" w:name="Bookmark_fnpara_4_17"/>
      <w:bookmarkEnd w:id="5493"/>
      <w:r>
        <w:rPr>
          <w:rFonts w:ascii="Arial" w:eastAsia="Arial" w:hAnsi="Arial" w:cs="Arial"/>
          <w:color w:val="000000"/>
          <w:sz w:val="18"/>
        </w:rPr>
        <w:t>The district court reasoned that:</w:t>
      </w:r>
    </w:p>
    <w:p w:rsidR="00E456CD" w:rsidRDefault="00000000">
      <w:pPr>
        <w:pStyle w:val="Normal35"/>
        <w:widowControl w:val="0"/>
        <w:spacing w:before="200" w:line="240" w:lineRule="atLeast"/>
        <w:ind w:left="400"/>
        <w:jc w:val="both"/>
      </w:pPr>
      <w:bookmarkStart w:id="5494" w:name="Bookmark_para_26_17"/>
      <w:bookmarkEnd w:id="5494"/>
      <w:r>
        <w:rPr>
          <w:rFonts w:ascii="Arial" w:eastAsia="Arial" w:hAnsi="Arial" w:cs="Arial"/>
          <w:color w:val="000000"/>
          <w:sz w:val="18"/>
        </w:rPr>
        <w:t>Although Plaintiff prevailed on her claim of disability discrimination, she did not prevail on her unrelated claims of workers' compensation discrimination, workers' compensation failure to reinstate, workers' compensation failure to reemploy, or whistleblowing. [**12]  In an equitable sense, it is not unfair to conclude that Plaintiff prevailed on between one-third and one-half of her claims (depending on how they are grouped). This is also generally consistent with the fact that Plaintiff asked the jury to award between $100,000 and $150,000 in emotional distress damages, and the jury awarded $70,000. The Court then added $13,200 in economic damages, for a total award of $83,200. This reflects approximately one-half of what Plaintiff was seeking. One-half of Plaintiff's requested attorney's fees of $235,038 is $117,519.</w:t>
      </w:r>
    </w:p>
  </w:footnote>
  <w:footnote w:id="236">
    <w:p w:rsidR="00E456CD" w:rsidRDefault="00000000">
      <w:pPr>
        <w:pStyle w:val="Normal35"/>
        <w:widowControl w:val="0"/>
        <w:spacing w:before="200" w:line="240" w:lineRule="atLeast"/>
        <w:jc w:val="both"/>
      </w:pPr>
      <w:r>
        <w:rPr>
          <w:rFonts w:ascii="Arial" w:eastAsia="Arial" w:hAnsi="Arial" w:cs="Arial"/>
          <w:color w:val="000000"/>
          <w:sz w:val="18"/>
          <w:vertAlign w:val="superscript"/>
        </w:rPr>
        <w:t>3 </w:t>
      </w:r>
      <w:bookmarkStart w:id="5496" w:name="Bookmark_fnpara_5_14"/>
      <w:bookmarkEnd w:id="5496"/>
      <w:r>
        <w:rPr>
          <w:rFonts w:ascii="Arial" w:eastAsia="Arial" w:hAnsi="Arial" w:cs="Arial"/>
          <w:color w:val="000000"/>
          <w:sz w:val="18"/>
        </w:rPr>
        <w:t xml:space="preserve">Contrary to Dunlap's assertions, </w:t>
      </w:r>
      <w:r>
        <w:rPr>
          <w:rFonts w:ascii="Arial" w:eastAsia="Arial" w:hAnsi="Arial" w:cs="Arial"/>
          <w:i/>
          <w:color w:val="000000"/>
          <w:sz w:val="18"/>
        </w:rPr>
        <w:t>Hensley v. Eckhart</w:t>
      </w:r>
      <w:r>
        <w:rPr>
          <w:rFonts w:ascii="Arial" w:eastAsia="Arial" w:hAnsi="Arial" w:cs="Arial"/>
          <w:color w:val="000000"/>
          <w:sz w:val="18"/>
        </w:rPr>
        <w:t xml:space="preserve"> does not prohibit reduction of the fee award for Dunlap's unsuccessful claims. </w:t>
      </w:r>
      <w:r>
        <w:rPr>
          <w:rFonts w:ascii="Arial" w:eastAsia="Arial" w:hAnsi="Arial" w:cs="Arial"/>
          <w:i/>
          <w:color w:val="000000"/>
          <w:sz w:val="18"/>
        </w:rPr>
        <w:t>See</w:t>
      </w:r>
      <w:r>
        <w:rPr>
          <w:rFonts w:ascii="Arial" w:eastAsia="Arial" w:hAnsi="Arial" w:cs="Arial"/>
          <w:color w:val="000000"/>
          <w:sz w:val="18"/>
        </w:rPr>
        <w:t xml:space="preserve"> </w:t>
      </w:r>
      <w:bookmarkStart w:id="5497" w:name="Bookmark_I5RHJJV02SF8160040000400"/>
      <w:bookmarkEnd w:id="5497"/>
      <w:r>
        <w:rPr>
          <w:rFonts w:ascii="Arial" w:eastAsia="Arial" w:hAnsi="Arial" w:cs="Arial"/>
          <w:color w:val="000000"/>
          <w:sz w:val="18"/>
        </w:rPr>
        <w:t>461 U.S. 424, 434, 103 S. Ct. 1933, 76 L. Ed. 2d 40 (1983) (conferring upon the district court discretion to reduce a fee award without regard to whether the unsuccessful claims were related to the underlying claim).</w:t>
      </w:r>
    </w:p>
  </w:footnote>
  <w:footnote w:id="237">
    <w:p w:rsidR="00E456CD" w:rsidRDefault="00000000">
      <w:pPr>
        <w:pStyle w:val="Normal36"/>
        <w:widowControl w:val="0"/>
        <w:spacing w:before="120" w:line="240" w:lineRule="atLeast"/>
        <w:jc w:val="both"/>
      </w:pPr>
      <w:r>
        <w:rPr>
          <w:rFonts w:ascii="Arial" w:eastAsia="Arial" w:hAnsi="Arial" w:cs="Arial"/>
          <w:color w:val="000000"/>
          <w:sz w:val="18"/>
          <w:vertAlign w:val="superscript"/>
        </w:rPr>
        <w:t>1 </w:t>
      </w:r>
      <w:bookmarkStart w:id="5512" w:name="Bookmark_fnpara_1_31"/>
      <w:bookmarkEnd w:id="5512"/>
      <w:r>
        <w:rPr>
          <w:rFonts w:ascii="Arial" w:eastAsia="Arial" w:hAnsi="Arial" w:cs="Arial"/>
          <w:color w:val="000000"/>
          <w:sz w:val="18"/>
        </w:rPr>
        <w:t>The doctor's note read in full:</w:t>
      </w:r>
    </w:p>
    <w:p w:rsidR="00E456CD" w:rsidRDefault="00000000">
      <w:pPr>
        <w:pStyle w:val="Normal36"/>
        <w:widowControl w:val="0"/>
        <w:spacing w:before="120" w:line="240" w:lineRule="atLeast"/>
        <w:ind w:left="400"/>
        <w:jc w:val="both"/>
      </w:pPr>
      <w:bookmarkStart w:id="5513" w:name="Bookmark_para_6_35"/>
      <w:bookmarkEnd w:id="5513"/>
      <w:r>
        <w:rPr>
          <w:rFonts w:ascii="Arial" w:eastAsia="Arial" w:hAnsi="Arial" w:cs="Arial"/>
          <w:color w:val="000000"/>
          <w:sz w:val="18"/>
        </w:rPr>
        <w:t>To Whom It May Concern:</w:t>
      </w:r>
    </w:p>
    <w:p w:rsidR="00E456CD" w:rsidRDefault="00000000">
      <w:pPr>
        <w:pStyle w:val="Normal36"/>
        <w:widowControl w:val="0"/>
        <w:spacing w:before="120" w:line="240" w:lineRule="atLeast"/>
        <w:ind w:left="400"/>
        <w:jc w:val="both"/>
      </w:pPr>
      <w:bookmarkStart w:id="5514" w:name="Bookmark_para_7_34"/>
      <w:bookmarkEnd w:id="5514"/>
      <w:r>
        <w:rPr>
          <w:rFonts w:ascii="Arial" w:eastAsia="Arial" w:hAnsi="Arial" w:cs="Arial"/>
          <w:color w:val="000000"/>
          <w:sz w:val="18"/>
        </w:rPr>
        <w:t>Dr. Windham is a patient of mine who suffers from severe stenosis of the cervical spine from disc disease at the C4/5 level.</w:t>
      </w:r>
    </w:p>
    <w:p w:rsidR="00E456CD" w:rsidRDefault="00000000">
      <w:pPr>
        <w:pStyle w:val="Normal36"/>
        <w:widowControl w:val="0"/>
        <w:spacing w:before="120" w:line="240" w:lineRule="atLeast"/>
        <w:ind w:left="400"/>
        <w:jc w:val="both"/>
      </w:pPr>
      <w:bookmarkStart w:id="5515" w:name="Bookmark_para_8_34"/>
      <w:bookmarkEnd w:id="5515"/>
      <w:r>
        <w:rPr>
          <w:rFonts w:ascii="Arial" w:eastAsia="Arial" w:hAnsi="Arial" w:cs="Arial"/>
          <w:color w:val="000000"/>
          <w:sz w:val="18"/>
        </w:rPr>
        <w:t>Dr. Windham's symptoms place him at risk for strenuous activities and particularly for driving in the unpredictable event of an accident. Dr. Windham is in the process of seeking surgical remedy for this problem, but that may take some time to unfold. Because of the patient's risk of neurologic injury from neck extension, he should also consider delaying his thyroid surgery until such time as his cervical spine issues have been addressed.</w:t>
      </w:r>
    </w:p>
    <w:p w:rsidR="00E456CD" w:rsidRDefault="00000000">
      <w:pPr>
        <w:pStyle w:val="Normal36"/>
        <w:widowControl w:val="0"/>
        <w:spacing w:before="120" w:line="240" w:lineRule="atLeast"/>
        <w:ind w:left="400"/>
        <w:jc w:val="both"/>
      </w:pPr>
      <w:bookmarkStart w:id="5516" w:name="Bookmark_para_9_34"/>
      <w:bookmarkEnd w:id="5516"/>
      <w:r>
        <w:rPr>
          <w:rFonts w:ascii="Arial" w:eastAsia="Arial" w:hAnsi="Arial" w:cs="Arial"/>
          <w:color w:val="000000"/>
          <w:sz w:val="18"/>
        </w:rPr>
        <w:t>Hopefully Dr. Windham's symptoms will be improving in a relatively short time frame. Kindly afford him the opportunity to address these issues in whatever way that you can help him.</w:t>
      </w:r>
    </w:p>
    <w:p w:rsidR="00E456CD" w:rsidRDefault="00000000">
      <w:pPr>
        <w:pStyle w:val="Normal36"/>
        <w:widowControl w:val="0"/>
        <w:spacing w:before="120" w:line="240" w:lineRule="atLeast"/>
        <w:ind w:left="400"/>
        <w:jc w:val="both"/>
      </w:pPr>
      <w:bookmarkStart w:id="5517" w:name="Bookmark_para_10_33"/>
      <w:bookmarkEnd w:id="5517"/>
      <w:r>
        <w:rPr>
          <w:rFonts w:ascii="Arial" w:eastAsia="Arial" w:hAnsi="Arial" w:cs="Arial"/>
          <w:color w:val="000000"/>
          <w:sz w:val="18"/>
        </w:rPr>
        <w:t>Sincerely,</w:t>
      </w:r>
    </w:p>
    <w:p w:rsidR="00E456CD" w:rsidRDefault="00000000">
      <w:pPr>
        <w:pStyle w:val="Normal36"/>
        <w:widowControl w:val="0"/>
        <w:spacing w:before="120" w:line="240" w:lineRule="atLeast"/>
        <w:ind w:left="400"/>
        <w:jc w:val="both"/>
      </w:pPr>
      <w:bookmarkStart w:id="5518" w:name="Bookmark_para_11_32"/>
      <w:bookmarkEnd w:id="5518"/>
      <w:r>
        <w:rPr>
          <w:rFonts w:ascii="Arial" w:eastAsia="Arial" w:hAnsi="Arial" w:cs="Arial"/>
          <w:color w:val="000000"/>
          <w:sz w:val="18"/>
        </w:rPr>
        <w:t>Mark D. Barhorst, M.D.</w:t>
      </w:r>
    </w:p>
  </w:footnote>
  <w:footnote w:id="238">
    <w:p w:rsidR="00E456CD" w:rsidRDefault="00000000">
      <w:pPr>
        <w:pStyle w:val="Normal36"/>
        <w:widowControl w:val="0"/>
        <w:spacing w:before="120" w:line="240" w:lineRule="atLeast"/>
        <w:jc w:val="both"/>
      </w:pPr>
      <w:r>
        <w:rPr>
          <w:rFonts w:ascii="Arial" w:eastAsia="Arial" w:hAnsi="Arial" w:cs="Arial"/>
          <w:color w:val="000000"/>
          <w:sz w:val="18"/>
          <w:vertAlign w:val="superscript"/>
        </w:rPr>
        <w:t>2 </w:t>
      </w:r>
      <w:bookmarkStart w:id="5520" w:name="Bookmark_fnpara_2_24"/>
      <w:bookmarkEnd w:id="5520"/>
      <w:r>
        <w:rPr>
          <w:rFonts w:ascii="Arial" w:eastAsia="Arial" w:hAnsi="Arial" w:cs="Arial"/>
          <w:color w:val="000000"/>
          <w:sz w:val="18"/>
        </w:rPr>
        <w:t>The parties' accounts differ as to when Windham was subjected to a horizontal gaze nystagmus test and when he was subjected to a vertical one. Because this distinction is immaterial, we refer only to general "gaze nystagmus tests."</w:t>
      </w:r>
    </w:p>
  </w:footnote>
  <w:footnote w:id="239">
    <w:p w:rsidR="00E456CD" w:rsidRDefault="00000000">
      <w:pPr>
        <w:pStyle w:val="Normal36"/>
        <w:widowControl w:val="0"/>
        <w:spacing w:before="200" w:line="240" w:lineRule="atLeast"/>
        <w:jc w:val="both"/>
      </w:pPr>
      <w:r>
        <w:rPr>
          <w:rFonts w:ascii="Arial" w:eastAsia="Arial" w:hAnsi="Arial" w:cs="Arial"/>
          <w:color w:val="000000"/>
          <w:sz w:val="18"/>
          <w:vertAlign w:val="superscript"/>
        </w:rPr>
        <w:t>3 </w:t>
      </w:r>
      <w:bookmarkStart w:id="5521" w:name="Bookmark_fnpara_3_20"/>
      <w:bookmarkStart w:id="5522" w:name="Bookmark_I5R4G3YD2D6NF20020000400"/>
      <w:bookmarkEnd w:id="5521"/>
      <w:bookmarkEnd w:id="5522"/>
      <w:r>
        <w:rPr>
          <w:rFonts w:ascii="Arial" w:eastAsia="Arial" w:hAnsi="Arial" w:cs="Arial"/>
          <w:color w:val="000000"/>
          <w:sz w:val="18"/>
        </w:rPr>
        <w:t xml:space="preserve">Although Windham's declaration arguably puts these events in a different sequence, we credit the order of events he provides in his appellant brief. </w:t>
      </w:r>
      <w:r>
        <w:rPr>
          <w:rFonts w:ascii="Arial" w:eastAsia="Arial" w:hAnsi="Arial" w:cs="Arial"/>
          <w:i/>
          <w:color w:val="000000"/>
          <w:sz w:val="18"/>
        </w:rPr>
        <w:t xml:space="preserve">See </w:t>
      </w:r>
      <w:bookmarkStart w:id="5523" w:name="Bookmark_I5R4G3YD2D6NF20010000400"/>
      <w:bookmarkEnd w:id="5523"/>
      <w:r>
        <w:rPr>
          <w:rFonts w:ascii="Arial" w:eastAsia="Arial" w:hAnsi="Arial" w:cs="Arial"/>
          <w:i/>
          <w:color w:val="000000"/>
          <w:sz w:val="18"/>
        </w:rPr>
        <w:t>United States v. Monkey</w:t>
      </w:r>
      <w:r>
        <w:rPr>
          <w:rFonts w:ascii="Arial" w:eastAsia="Arial" w:hAnsi="Arial" w:cs="Arial"/>
          <w:color w:val="000000"/>
          <w:sz w:val="18"/>
        </w:rPr>
        <w:t xml:space="preserve">, 725 F.2d 1007, 1010 (5th Cir. 1984); 10A Charles Alan Wright &amp; Arthur R. Miller, </w:t>
      </w:r>
      <w:r>
        <w:rPr>
          <w:rFonts w:ascii="Arial" w:eastAsia="Arial" w:hAnsi="Arial" w:cs="Arial"/>
          <w:i/>
          <w:color w:val="000000"/>
          <w:sz w:val="18"/>
        </w:rPr>
        <w:t>Federal Practice &amp; Procedure</w:t>
      </w:r>
      <w:r>
        <w:rPr>
          <w:rFonts w:ascii="Arial" w:eastAsia="Arial" w:hAnsi="Arial" w:cs="Arial"/>
          <w:color w:val="000000"/>
          <w:sz w:val="18"/>
        </w:rPr>
        <w:t xml:space="preserve"> § 2723 (4th ed. updated Apr. 2017) ("[A]dmissions in the brief of the party opposing the motion [for summary judgment] may be used in determining that there is no genuine dispute as to any material fact."). The distinction is in any event immaterial.</w:t>
      </w:r>
    </w:p>
  </w:footnote>
  <w:footnote w:id="240">
    <w:p w:rsidR="00E456CD" w:rsidRDefault="00000000">
      <w:pPr>
        <w:pStyle w:val="Normal36"/>
        <w:widowControl w:val="0"/>
        <w:spacing w:before="200" w:line="240" w:lineRule="atLeast"/>
        <w:jc w:val="both"/>
      </w:pPr>
      <w:r>
        <w:rPr>
          <w:rFonts w:ascii="Arial" w:eastAsia="Arial" w:hAnsi="Arial" w:cs="Arial"/>
          <w:color w:val="000000"/>
          <w:sz w:val="18"/>
          <w:vertAlign w:val="superscript"/>
        </w:rPr>
        <w:t>4 </w:t>
      </w:r>
      <w:bookmarkStart w:id="5552" w:name="Bookmark_fnpara_4_18"/>
      <w:bookmarkEnd w:id="5552"/>
      <w:r>
        <w:rPr>
          <w:rFonts w:ascii="Arial" w:eastAsia="Arial" w:hAnsi="Arial" w:cs="Arial"/>
          <w:color w:val="000000"/>
          <w:sz w:val="18"/>
        </w:rPr>
        <w:t xml:space="preserve">Harris County has not sought to avail itself of the exigent-circumstances exception to Title II we created in </w:t>
      </w:r>
      <w:r>
        <w:rPr>
          <w:rFonts w:ascii="Arial" w:eastAsia="Arial" w:hAnsi="Arial" w:cs="Arial"/>
          <w:i/>
          <w:color w:val="000000"/>
          <w:sz w:val="18"/>
        </w:rPr>
        <w:t>Hainze</w:t>
      </w:r>
      <w:r>
        <w:rPr>
          <w:rFonts w:ascii="Arial" w:eastAsia="Arial" w:hAnsi="Arial" w:cs="Arial"/>
          <w:color w:val="000000"/>
          <w:sz w:val="18"/>
        </w:rPr>
        <w:t>. Nor would that exception apply on these non-exigent facts.</w:t>
      </w:r>
    </w:p>
  </w:footnote>
  <w:footnote w:id="241">
    <w:p w:rsidR="00E456CD" w:rsidRDefault="00000000">
      <w:pPr>
        <w:pStyle w:val="Normal36"/>
        <w:widowControl w:val="0"/>
        <w:spacing w:before="200" w:line="240" w:lineRule="atLeast"/>
        <w:jc w:val="both"/>
      </w:pPr>
      <w:r>
        <w:rPr>
          <w:rFonts w:ascii="Arial" w:eastAsia="Arial" w:hAnsi="Arial" w:cs="Arial"/>
          <w:color w:val="000000"/>
          <w:sz w:val="18"/>
          <w:vertAlign w:val="superscript"/>
        </w:rPr>
        <w:t>5 </w:t>
      </w:r>
      <w:bookmarkStart w:id="5557" w:name="Bookmark_fnpara_5_15"/>
      <w:bookmarkStart w:id="5558" w:name="Bookmark_I5R4G3YD2HM6DW0020000400"/>
      <w:bookmarkStart w:id="5559" w:name="Bookmark_I5R4G3YF28T4YT0010000400"/>
      <w:bookmarkEnd w:id="5557"/>
      <w:bookmarkEnd w:id="5558"/>
      <w:bookmarkEnd w:id="5559"/>
      <w:r>
        <w:rPr>
          <w:rFonts w:ascii="Arial" w:eastAsia="Arial" w:hAnsi="Arial" w:cs="Arial"/>
          <w:color w:val="000000"/>
          <w:sz w:val="18"/>
        </w:rPr>
        <w:t xml:space="preserve">To recover compensatory damages for disability discrimination under Title II of the ADA, a plaintiff must also show that the discrimination was "intentional" in the sense that it was more than disparate impact. </w:t>
      </w:r>
      <w:bookmarkStart w:id="5560" w:name="Bookmark_I5R4G3YD2HM6DW0010000400"/>
      <w:bookmarkEnd w:id="5560"/>
      <w:r>
        <w:rPr>
          <w:rFonts w:ascii="Arial" w:eastAsia="Arial" w:hAnsi="Arial" w:cs="Arial"/>
          <w:i/>
          <w:color w:val="000000"/>
          <w:sz w:val="18"/>
        </w:rPr>
        <w:t>Delano-Pyle</w:t>
      </w:r>
      <w:r>
        <w:rPr>
          <w:rFonts w:ascii="Arial" w:eastAsia="Arial" w:hAnsi="Arial" w:cs="Arial"/>
          <w:color w:val="000000"/>
          <w:sz w:val="18"/>
        </w:rPr>
        <w:t xml:space="preserve">, 302 F.3d at 574 (citing </w:t>
      </w:r>
      <w:bookmarkStart w:id="5561" w:name="Bookmark_I5R4G3YD2HM6DW0030000400"/>
      <w:bookmarkEnd w:id="5561"/>
      <w:r>
        <w:rPr>
          <w:rFonts w:ascii="Arial" w:eastAsia="Arial" w:hAnsi="Arial" w:cs="Arial"/>
          <w:i/>
          <w:color w:val="000000"/>
          <w:sz w:val="18"/>
        </w:rPr>
        <w:t>Carter v. Orleans Par. Pub. Sch.</w:t>
      </w:r>
      <w:r>
        <w:rPr>
          <w:rFonts w:ascii="Arial" w:eastAsia="Arial" w:hAnsi="Arial" w:cs="Arial"/>
          <w:color w:val="000000"/>
          <w:sz w:val="18"/>
        </w:rPr>
        <w:t xml:space="preserve">, 725 F.2d 261, 264 (5th Cir. 1984)). </w:t>
      </w:r>
      <w:bookmarkStart w:id="5562" w:name="Bookmark_I5R4G3YF28T4YT0030000400"/>
      <w:bookmarkEnd w:id="5562"/>
      <w:r>
        <w:rPr>
          <w:rFonts w:ascii="Arial" w:eastAsia="Arial" w:hAnsi="Arial" w:cs="Arial"/>
          <w:color w:val="000000"/>
          <w:sz w:val="18"/>
        </w:rPr>
        <w:t xml:space="preserve">This requirement exists because Title II incorporates the remedies in Title VI of the Civil Rights Act of 1964, </w:t>
      </w:r>
      <w:r>
        <w:rPr>
          <w:rFonts w:ascii="Arial" w:eastAsia="Arial" w:hAnsi="Arial" w:cs="Arial"/>
          <w:i/>
          <w:color w:val="000000"/>
          <w:sz w:val="18"/>
        </w:rPr>
        <w:t>see</w:t>
      </w:r>
      <w:r>
        <w:rPr>
          <w:rFonts w:ascii="Arial" w:eastAsia="Arial" w:hAnsi="Arial" w:cs="Arial"/>
          <w:color w:val="000000"/>
          <w:sz w:val="18"/>
        </w:rPr>
        <w:t xml:space="preserve"> 42 U.S.C. § 12133; 29 U.S.C. § 794a(a)(2), and because "private individuals c[annot] recover compensatory damages under Title VI except for intentional discrimination," </w:t>
      </w:r>
      <w:bookmarkStart w:id="5563" w:name="Bookmark_I5R4G3YD2HM6DW0050000400"/>
      <w:bookmarkEnd w:id="5563"/>
      <w:r>
        <w:rPr>
          <w:rFonts w:ascii="Arial" w:eastAsia="Arial" w:hAnsi="Arial" w:cs="Arial"/>
          <w:i/>
          <w:color w:val="000000"/>
          <w:sz w:val="18"/>
        </w:rPr>
        <w:t>Alexander v. Sandoval</w:t>
      </w:r>
      <w:r>
        <w:rPr>
          <w:rFonts w:ascii="Arial" w:eastAsia="Arial" w:hAnsi="Arial" w:cs="Arial"/>
          <w:color w:val="000000"/>
          <w:sz w:val="18"/>
        </w:rPr>
        <w:t xml:space="preserve">, 532 U.S. 275, 282-83, 121 S. Ct. 1511, 149 L. Ed. 2d 517 (2001). </w:t>
      </w:r>
      <w:bookmarkStart w:id="5564" w:name="Bookmark_I5R4G3YF28T4YT0030000400_2"/>
      <w:bookmarkEnd w:id="5564"/>
      <w:r>
        <w:rPr>
          <w:rFonts w:ascii="Arial" w:eastAsia="Arial" w:hAnsi="Arial" w:cs="Arial"/>
          <w:color w:val="000000"/>
          <w:sz w:val="18"/>
        </w:rPr>
        <w:t xml:space="preserve">Here, the district court appears to have relied on the intentionality requirement to resolve Windham's failure-to-accommodate claim. </w:t>
      </w:r>
      <w:r>
        <w:rPr>
          <w:rFonts w:ascii="Arial" w:eastAsia="Arial" w:hAnsi="Arial" w:cs="Arial"/>
          <w:i/>
          <w:color w:val="000000"/>
          <w:sz w:val="18"/>
        </w:rPr>
        <w:t xml:space="preserve">See </w:t>
      </w:r>
      <w:bookmarkStart w:id="5565" w:name="Bookmark_I5R4G3YF28T4YT0020000400"/>
      <w:bookmarkEnd w:id="5565"/>
      <w:r>
        <w:rPr>
          <w:rFonts w:ascii="Arial" w:eastAsia="Arial" w:hAnsi="Arial" w:cs="Arial"/>
          <w:i/>
          <w:color w:val="000000"/>
          <w:sz w:val="18"/>
        </w:rPr>
        <w:t>Windham</w:t>
      </w:r>
      <w:r>
        <w:rPr>
          <w:rFonts w:ascii="Arial" w:eastAsia="Arial" w:hAnsi="Arial" w:cs="Arial"/>
          <w:color w:val="000000"/>
          <w:sz w:val="18"/>
        </w:rPr>
        <w:t>, 2016 U.S. Dist. LEXIS 124435, 2016 WL 4939563, at *7. The parties dispute whether that was proper. But because we conclude below that Windham has not established that the attending officers knew of Windham's limitation and necessary accommodation, such that Windham fails to establish a prima facie case in any event, we need not reach the issue.</w:t>
      </w:r>
    </w:p>
  </w:footnote>
  <w:footnote w:id="242">
    <w:p w:rsidR="00E456CD" w:rsidRDefault="00000000">
      <w:pPr>
        <w:pStyle w:val="Normal36"/>
        <w:widowControl w:val="0"/>
        <w:spacing w:before="200" w:line="240" w:lineRule="atLeast"/>
        <w:jc w:val="both"/>
      </w:pPr>
      <w:r>
        <w:rPr>
          <w:rFonts w:ascii="Arial" w:eastAsia="Arial" w:hAnsi="Arial" w:cs="Arial"/>
          <w:color w:val="000000"/>
          <w:sz w:val="18"/>
          <w:vertAlign w:val="superscript"/>
        </w:rPr>
        <w:t>6 </w:t>
      </w:r>
      <w:bookmarkStart w:id="5574" w:name="Bookmark_fnpara_6_11"/>
      <w:bookmarkEnd w:id="5574"/>
      <w:r>
        <w:rPr>
          <w:rFonts w:ascii="Arial" w:eastAsia="Arial" w:hAnsi="Arial" w:cs="Arial"/>
          <w:color w:val="000000"/>
          <w:sz w:val="18"/>
        </w:rPr>
        <w:t xml:space="preserve">Other circuits share this view. </w:t>
      </w:r>
      <w:r>
        <w:rPr>
          <w:rFonts w:ascii="Arial" w:eastAsia="Arial" w:hAnsi="Arial" w:cs="Arial"/>
          <w:i/>
          <w:color w:val="000000"/>
          <w:sz w:val="18"/>
        </w:rPr>
        <w:t xml:space="preserve">See, e.g., </w:t>
      </w:r>
      <w:bookmarkStart w:id="5575" w:name="Bookmark_I5R4G3YF2HM6DX0050000400"/>
      <w:bookmarkEnd w:id="5575"/>
      <w:r>
        <w:rPr>
          <w:rFonts w:ascii="Arial" w:eastAsia="Arial" w:hAnsi="Arial" w:cs="Arial"/>
          <w:i/>
          <w:color w:val="000000"/>
          <w:sz w:val="18"/>
        </w:rPr>
        <w:t>Robertson v. Las Animas Cty. Sheriff's Dep't</w:t>
      </w:r>
      <w:r>
        <w:rPr>
          <w:rFonts w:ascii="Arial" w:eastAsia="Arial" w:hAnsi="Arial" w:cs="Arial"/>
          <w:color w:val="000000"/>
          <w:sz w:val="18"/>
        </w:rPr>
        <w:t xml:space="preserve">, 500 F.3d 1185, 1195 n.8 (10th Cir. 2007) ("Title II's use of the term 'reasonable modifications' [in 42 U.S.C. § 12131] is essentially equivalent to Title I's use of the term 'reasonable accommodation.'"); </w:t>
      </w:r>
      <w:bookmarkStart w:id="5576" w:name="Bookmark_I5R4G3YF2D6NF50020000400"/>
      <w:bookmarkEnd w:id="5576"/>
      <w:r>
        <w:rPr>
          <w:rFonts w:ascii="Arial" w:eastAsia="Arial" w:hAnsi="Arial" w:cs="Arial"/>
          <w:i/>
          <w:color w:val="000000"/>
          <w:sz w:val="18"/>
        </w:rPr>
        <w:t>McGary v. City of Portland</w:t>
      </w:r>
      <w:r>
        <w:rPr>
          <w:rFonts w:ascii="Arial" w:eastAsia="Arial" w:hAnsi="Arial" w:cs="Arial"/>
          <w:color w:val="000000"/>
          <w:sz w:val="18"/>
        </w:rPr>
        <w:t xml:space="preserve">, 386 F.3d 1259, 1266 n.3 (9th Cir. 2004) ("Although Title II of the ADA uses the term 'reasonable modification,' rather than 'reasonable accommodation,' these terms create identical standards."); </w:t>
      </w:r>
      <w:bookmarkStart w:id="5577" w:name="Bookmark_I5R4G3YF2D6NF50040000400"/>
      <w:bookmarkEnd w:id="5577"/>
      <w:r>
        <w:rPr>
          <w:rFonts w:ascii="Arial" w:eastAsia="Arial" w:hAnsi="Arial" w:cs="Arial"/>
          <w:i/>
          <w:color w:val="000000"/>
          <w:sz w:val="18"/>
        </w:rPr>
        <w:t>Henrietta D. v. Bloomberg</w:t>
      </w:r>
      <w:r>
        <w:rPr>
          <w:rFonts w:ascii="Arial" w:eastAsia="Arial" w:hAnsi="Arial" w:cs="Arial"/>
          <w:color w:val="000000"/>
          <w:sz w:val="18"/>
        </w:rPr>
        <w:t xml:space="preserve">, 331 F.3d 261, 273 n.7 (2d Cir. 2003) ("'[D]iscrimination,' which is not defined in Title II, may take its meaning from Title I.'" (citation omitted)); </w:t>
      </w:r>
      <w:bookmarkStart w:id="5578" w:name="Bookmark_I5R4G3YF2N1RFV0010000400"/>
      <w:bookmarkEnd w:id="5578"/>
      <w:r>
        <w:rPr>
          <w:rFonts w:ascii="Arial" w:eastAsia="Arial" w:hAnsi="Arial" w:cs="Arial"/>
          <w:i/>
          <w:color w:val="000000"/>
          <w:sz w:val="18"/>
        </w:rPr>
        <w:t>Washington v. Ind. High Sch. Athletic Ass'n</w:t>
      </w:r>
      <w:r>
        <w:rPr>
          <w:rFonts w:ascii="Arial" w:eastAsia="Arial" w:hAnsi="Arial" w:cs="Arial"/>
          <w:color w:val="000000"/>
          <w:sz w:val="18"/>
        </w:rPr>
        <w:t>, 181 F.3d 840, 848 (7th Cir. 1999) ("Congress clearly intended the failure-to-accommodate method of proving discrimination to apply to Title II.").</w:t>
      </w:r>
    </w:p>
  </w:footnote>
  <w:footnote w:id="243">
    <w:p w:rsidR="00E456CD" w:rsidRDefault="00000000">
      <w:pPr>
        <w:pStyle w:val="Normal36"/>
        <w:widowControl w:val="0"/>
        <w:spacing w:before="200" w:line="240" w:lineRule="atLeast"/>
        <w:jc w:val="both"/>
      </w:pPr>
      <w:r>
        <w:rPr>
          <w:rFonts w:ascii="Arial" w:eastAsia="Arial" w:hAnsi="Arial" w:cs="Arial"/>
          <w:color w:val="000000"/>
          <w:sz w:val="18"/>
          <w:vertAlign w:val="superscript"/>
        </w:rPr>
        <w:t>7 </w:t>
      </w:r>
      <w:bookmarkStart w:id="5579" w:name="Bookmark_fnpara_7_10"/>
      <w:bookmarkEnd w:id="5579"/>
      <w:r>
        <w:rPr>
          <w:rFonts w:ascii="Arial" w:eastAsia="Arial" w:hAnsi="Arial" w:cs="Arial"/>
          <w:i/>
          <w:color w:val="000000"/>
          <w:sz w:val="18"/>
        </w:rPr>
        <w:t xml:space="preserve">See </w:t>
      </w:r>
      <w:bookmarkStart w:id="5580" w:name="Bookmark_I5R4G3YF2N1RFV0030000400"/>
      <w:bookmarkEnd w:id="5580"/>
      <w:r>
        <w:rPr>
          <w:rFonts w:ascii="Arial" w:eastAsia="Arial" w:hAnsi="Arial" w:cs="Arial"/>
          <w:i/>
          <w:color w:val="000000"/>
          <w:sz w:val="18"/>
        </w:rPr>
        <w:t>Delano-Pyle</w:t>
      </w:r>
      <w:r>
        <w:rPr>
          <w:rFonts w:ascii="Arial" w:eastAsia="Arial" w:hAnsi="Arial" w:cs="Arial"/>
          <w:color w:val="000000"/>
          <w:sz w:val="18"/>
        </w:rPr>
        <w:t xml:space="preserve">, 302 F.3d at 570-71, 575-76 (affirming jury verdict that police officers discriminated against deaf arrestee by failing to accommodate the limitations arising from his inability to hear); </w:t>
      </w:r>
      <w:bookmarkStart w:id="5581" w:name="Bookmark_I5R4G3YF2N1RFV0050000400"/>
      <w:bookmarkEnd w:id="5581"/>
      <w:r>
        <w:rPr>
          <w:rFonts w:ascii="Arial" w:eastAsia="Arial" w:hAnsi="Arial" w:cs="Arial"/>
          <w:i/>
          <w:color w:val="000000"/>
          <w:sz w:val="18"/>
        </w:rPr>
        <w:t>Hainze</w:t>
      </w:r>
      <w:r>
        <w:rPr>
          <w:rFonts w:ascii="Arial" w:eastAsia="Arial" w:hAnsi="Arial" w:cs="Arial"/>
          <w:color w:val="000000"/>
          <w:sz w:val="18"/>
        </w:rPr>
        <w:t xml:space="preserve">, 207 F.3d at 802 ("Once the area was secure and there was no threat to human safety, the Williamson County Sheriff's deputies would have been under a duty to reasonably accommodate Hainze's disability . . . ."); </w:t>
      </w:r>
      <w:r>
        <w:rPr>
          <w:rFonts w:ascii="Arial" w:eastAsia="Arial" w:hAnsi="Arial" w:cs="Arial"/>
          <w:i/>
          <w:color w:val="000000"/>
          <w:sz w:val="18"/>
        </w:rPr>
        <w:t xml:space="preserve">see also </w:t>
      </w:r>
      <w:bookmarkStart w:id="5582" w:name="Bookmark_I5R4G3YF28T4YV0020000400"/>
      <w:bookmarkEnd w:id="5582"/>
      <w:r>
        <w:rPr>
          <w:rFonts w:ascii="Arial" w:eastAsia="Arial" w:hAnsi="Arial" w:cs="Arial"/>
          <w:i/>
          <w:color w:val="000000"/>
          <w:sz w:val="18"/>
        </w:rPr>
        <w:t>Waller ex rel. Estate of Hunt v. City of Danville</w:t>
      </w:r>
      <w:r>
        <w:rPr>
          <w:rFonts w:ascii="Arial" w:eastAsia="Arial" w:hAnsi="Arial" w:cs="Arial"/>
          <w:color w:val="000000"/>
          <w:sz w:val="18"/>
        </w:rPr>
        <w:t>, 556 F.3d 171, 174 (4th Cir. 2009) ("In the context of arrests, courts have recognized two types of Title II claims: (1) wrongful arrest, where police arrest a suspect based on his disability, not for any criminal activity; and (2) reasonable accommodation, where police properly arrest a suspect but fail to reasonably accommodate his disability during the investigation or arrest, causing him to suffer greater injury or indignity than other arrestees.").</w:t>
      </w:r>
    </w:p>
  </w:footnote>
  <w:footnote w:id="244">
    <w:p w:rsidR="00E456CD" w:rsidRDefault="00000000">
      <w:pPr>
        <w:pStyle w:val="Normal36"/>
        <w:widowControl w:val="0"/>
        <w:spacing w:before="200" w:line="240" w:lineRule="atLeast"/>
        <w:jc w:val="both"/>
      </w:pPr>
      <w:r>
        <w:rPr>
          <w:rFonts w:ascii="Arial" w:eastAsia="Arial" w:hAnsi="Arial" w:cs="Arial"/>
          <w:color w:val="000000"/>
          <w:sz w:val="18"/>
          <w:vertAlign w:val="superscript"/>
        </w:rPr>
        <w:t>8 </w:t>
      </w:r>
      <w:bookmarkStart w:id="5593" w:name="Bookmark_fnpara_8_10"/>
      <w:bookmarkEnd w:id="5593"/>
      <w:r>
        <w:rPr>
          <w:rFonts w:ascii="Arial" w:eastAsia="Arial" w:hAnsi="Arial" w:cs="Arial"/>
          <w:color w:val="000000"/>
          <w:sz w:val="18"/>
        </w:rPr>
        <w:t xml:space="preserve">We have recently described </w:t>
      </w:r>
      <w:bookmarkStart w:id="5594" w:name="Bookmark_LNHNREFclscc9_17"/>
      <w:bookmarkEnd w:id="5594"/>
      <w:r>
        <w:rPr>
          <w:rFonts w:ascii="Arial" w:eastAsia="Arial" w:hAnsi="Arial" w:cs="Arial"/>
          <w:color w:val="000000"/>
          <w:sz w:val="18"/>
        </w:rPr>
        <w:t xml:space="preserve">a failure-to-accommodate claim under Title II as requiring the plaintiff to prove: "(1) he is a qualified individual with a disability; (2) the disability and its consequential limitations were known by the [public] entity; and (3) the entity failed to make reasonable accommodations." </w:t>
      </w:r>
      <w:bookmarkStart w:id="5595" w:name="Bookmark_I5R4G3YF2HM6F00040000400"/>
      <w:bookmarkEnd w:id="5595"/>
      <w:r>
        <w:rPr>
          <w:rFonts w:ascii="Arial" w:eastAsia="Arial" w:hAnsi="Arial" w:cs="Arial"/>
          <w:i/>
          <w:color w:val="000000"/>
          <w:sz w:val="18"/>
        </w:rPr>
        <w:t>Ball</w:t>
      </w:r>
      <w:r>
        <w:rPr>
          <w:rFonts w:ascii="Arial" w:eastAsia="Arial" w:hAnsi="Arial" w:cs="Arial"/>
          <w:color w:val="000000"/>
          <w:sz w:val="18"/>
        </w:rPr>
        <w:t xml:space="preserve">, 792 F.3d at 596 n.9; </w:t>
      </w:r>
      <w:r>
        <w:rPr>
          <w:rFonts w:ascii="Arial" w:eastAsia="Arial" w:hAnsi="Arial" w:cs="Arial"/>
          <w:i/>
          <w:color w:val="000000"/>
          <w:sz w:val="18"/>
        </w:rPr>
        <w:t xml:space="preserve">accord </w:t>
      </w:r>
      <w:bookmarkStart w:id="5596" w:name="Bookmark_I5R4G3YF2D6NF60010000400"/>
      <w:bookmarkEnd w:id="5596"/>
      <w:r>
        <w:rPr>
          <w:rFonts w:ascii="Arial" w:eastAsia="Arial" w:hAnsi="Arial" w:cs="Arial"/>
          <w:i/>
          <w:color w:val="000000"/>
          <w:sz w:val="18"/>
        </w:rPr>
        <w:t>Jin Choi</w:t>
      </w:r>
      <w:r>
        <w:rPr>
          <w:rFonts w:ascii="Arial" w:eastAsia="Arial" w:hAnsi="Arial" w:cs="Arial"/>
          <w:color w:val="000000"/>
          <w:sz w:val="18"/>
        </w:rPr>
        <w:t xml:space="preserve">, 633 F. App'x at 215. Proof of these elements suffices to establish a prima facie case as defined in </w:t>
      </w:r>
      <w:bookmarkStart w:id="5597" w:name="Bookmark_I5R4G3YF2D6NF60030000400"/>
      <w:bookmarkEnd w:id="5597"/>
      <w:r>
        <w:rPr>
          <w:rFonts w:ascii="Arial" w:eastAsia="Arial" w:hAnsi="Arial" w:cs="Arial"/>
          <w:i/>
          <w:color w:val="000000"/>
          <w:sz w:val="18"/>
        </w:rPr>
        <w:t>Melton</w:t>
      </w:r>
      <w:r>
        <w:rPr>
          <w:rFonts w:ascii="Arial" w:eastAsia="Arial" w:hAnsi="Arial" w:cs="Arial"/>
          <w:color w:val="000000"/>
          <w:sz w:val="18"/>
        </w:rPr>
        <w:t>, 391 F.3d at 671-72.</w:t>
      </w:r>
    </w:p>
  </w:footnote>
  <w:footnote w:id="245">
    <w:p w:rsidR="00E456CD" w:rsidRDefault="00000000">
      <w:pPr>
        <w:pStyle w:val="Normal36"/>
        <w:widowControl w:val="0"/>
        <w:spacing w:before="200" w:line="240" w:lineRule="atLeast"/>
        <w:jc w:val="both"/>
      </w:pPr>
      <w:r>
        <w:rPr>
          <w:rFonts w:ascii="Arial" w:eastAsia="Arial" w:hAnsi="Arial" w:cs="Arial"/>
          <w:color w:val="000000"/>
          <w:sz w:val="18"/>
          <w:vertAlign w:val="superscript"/>
        </w:rPr>
        <w:t>9 </w:t>
      </w:r>
      <w:bookmarkStart w:id="5601" w:name="Bookmark_fnpara_9_9"/>
      <w:bookmarkEnd w:id="5601"/>
      <w:r>
        <w:rPr>
          <w:rFonts w:ascii="Arial" w:eastAsia="Arial" w:hAnsi="Arial" w:cs="Arial"/>
          <w:color w:val="000000"/>
          <w:sz w:val="18"/>
        </w:rPr>
        <w:t xml:space="preserve">Although we developed these principles in cases applying Title I, </w:t>
      </w:r>
      <w:r>
        <w:rPr>
          <w:rFonts w:ascii="Arial" w:eastAsia="Arial" w:hAnsi="Arial" w:cs="Arial"/>
          <w:i/>
          <w:color w:val="000000"/>
          <w:sz w:val="18"/>
        </w:rPr>
        <w:t xml:space="preserve">e.g., </w:t>
      </w:r>
      <w:bookmarkStart w:id="5602" w:name="Bookmark_I5R4G3YF2D6NF60050000400"/>
      <w:bookmarkEnd w:id="5602"/>
      <w:r>
        <w:rPr>
          <w:rFonts w:ascii="Arial" w:eastAsia="Arial" w:hAnsi="Arial" w:cs="Arial"/>
          <w:i/>
          <w:color w:val="000000"/>
          <w:sz w:val="18"/>
        </w:rPr>
        <w:t>Taylor</w:t>
      </w:r>
      <w:r>
        <w:rPr>
          <w:rFonts w:ascii="Arial" w:eastAsia="Arial" w:hAnsi="Arial" w:cs="Arial"/>
          <w:color w:val="000000"/>
          <w:sz w:val="18"/>
        </w:rPr>
        <w:t xml:space="preserve">, 93 F.3d at 163-65, the rules are "no less applicable in the context of Title II," </w:t>
      </w:r>
      <w:bookmarkStart w:id="5603" w:name="Bookmark_I5R4G3YF28T4YW0020000400"/>
      <w:bookmarkEnd w:id="5603"/>
      <w:r>
        <w:rPr>
          <w:rFonts w:ascii="Arial" w:eastAsia="Arial" w:hAnsi="Arial" w:cs="Arial"/>
          <w:i/>
          <w:color w:val="000000"/>
          <w:sz w:val="18"/>
        </w:rPr>
        <w:t>Robertson</w:t>
      </w:r>
      <w:r>
        <w:rPr>
          <w:rFonts w:ascii="Arial" w:eastAsia="Arial" w:hAnsi="Arial" w:cs="Arial"/>
          <w:color w:val="000000"/>
          <w:sz w:val="18"/>
        </w:rPr>
        <w:t xml:space="preserve">, 500 F.3d at 1196; </w:t>
      </w:r>
      <w:r>
        <w:rPr>
          <w:rFonts w:ascii="Arial" w:eastAsia="Arial" w:hAnsi="Arial" w:cs="Arial"/>
          <w:i/>
          <w:color w:val="000000"/>
          <w:sz w:val="18"/>
        </w:rPr>
        <w:t xml:space="preserve">see </w:t>
      </w:r>
      <w:bookmarkStart w:id="5604" w:name="Bookmark_I5R4G3YF28T4YW0040000400"/>
      <w:bookmarkEnd w:id="5604"/>
      <w:r>
        <w:rPr>
          <w:rFonts w:ascii="Arial" w:eastAsia="Arial" w:hAnsi="Arial" w:cs="Arial"/>
          <w:i/>
          <w:color w:val="000000"/>
          <w:sz w:val="18"/>
        </w:rPr>
        <w:t>id.</w:t>
      </w:r>
      <w:r>
        <w:rPr>
          <w:rFonts w:ascii="Arial" w:eastAsia="Arial" w:hAnsi="Arial" w:cs="Arial"/>
          <w:color w:val="000000"/>
          <w:sz w:val="18"/>
        </w:rPr>
        <w:t xml:space="preserve"> at 1195-98; </w:t>
      </w:r>
      <w:bookmarkStart w:id="5605" w:name="Bookmark_I5R4G3YF2N1RFY0010000400"/>
      <w:bookmarkEnd w:id="5605"/>
      <w:r>
        <w:rPr>
          <w:rFonts w:ascii="Arial" w:eastAsia="Arial" w:hAnsi="Arial" w:cs="Arial"/>
          <w:i/>
          <w:color w:val="000000"/>
          <w:sz w:val="18"/>
        </w:rPr>
        <w:t>Jin Choi</w:t>
      </w:r>
      <w:r>
        <w:rPr>
          <w:rFonts w:ascii="Arial" w:eastAsia="Arial" w:hAnsi="Arial" w:cs="Arial"/>
          <w:color w:val="000000"/>
          <w:sz w:val="18"/>
        </w:rPr>
        <w:t xml:space="preserve">, 633 F. App'x at 215-16; </w:t>
      </w:r>
      <w:bookmarkStart w:id="5606" w:name="Bookmark_I5R4G3YF2N1RFY0030000400"/>
      <w:bookmarkEnd w:id="5606"/>
      <w:r>
        <w:rPr>
          <w:rFonts w:ascii="Arial" w:eastAsia="Arial" w:hAnsi="Arial" w:cs="Arial"/>
          <w:i/>
          <w:color w:val="000000"/>
          <w:sz w:val="18"/>
        </w:rPr>
        <w:t>Ball</w:t>
      </w:r>
      <w:r>
        <w:rPr>
          <w:rFonts w:ascii="Arial" w:eastAsia="Arial" w:hAnsi="Arial" w:cs="Arial"/>
          <w:color w:val="000000"/>
          <w:sz w:val="18"/>
        </w:rPr>
        <w:t>, 792 F.3d at 596 n.9.</w:t>
      </w:r>
    </w:p>
  </w:footnote>
  <w:footnote w:id="246">
    <w:p w:rsidR="00E456CD" w:rsidRDefault="00000000">
      <w:pPr>
        <w:pStyle w:val="Normal36"/>
        <w:widowControl w:val="0"/>
        <w:spacing w:before="200" w:line="240" w:lineRule="atLeast"/>
        <w:jc w:val="both"/>
      </w:pPr>
      <w:r>
        <w:rPr>
          <w:rFonts w:ascii="Arial" w:eastAsia="Arial" w:hAnsi="Arial" w:cs="Arial"/>
          <w:color w:val="000000"/>
          <w:sz w:val="18"/>
          <w:vertAlign w:val="superscript"/>
        </w:rPr>
        <w:t>10 </w:t>
      </w:r>
      <w:bookmarkStart w:id="5607" w:name="Bookmark_fnpara_10_8"/>
      <w:bookmarkStart w:id="5608" w:name="Bookmark_I5R4G3YF2SF7XY0010000400"/>
      <w:bookmarkStart w:id="5609" w:name="Bookmark_I5R4G3YF2SF7XY0030000400"/>
      <w:bookmarkStart w:id="5610" w:name="Bookmark_I5R4G3YF2SF7XY0050000400"/>
      <w:bookmarkEnd w:id="5607"/>
      <w:bookmarkEnd w:id="5608"/>
      <w:bookmarkEnd w:id="5609"/>
      <w:bookmarkEnd w:id="5610"/>
      <w:r>
        <w:rPr>
          <w:rFonts w:ascii="Arial" w:eastAsia="Arial" w:hAnsi="Arial" w:cs="Arial"/>
          <w:color w:val="000000"/>
          <w:sz w:val="18"/>
        </w:rPr>
        <w:t xml:space="preserve">As we have explained, </w:t>
      </w:r>
      <w:bookmarkStart w:id="5611" w:name="Bookmark_LNHNREFclscc10_16"/>
      <w:bookmarkEnd w:id="5611"/>
      <w:r>
        <w:rPr>
          <w:rFonts w:ascii="Arial" w:eastAsia="Arial" w:hAnsi="Arial" w:cs="Arial"/>
          <w:color w:val="000000"/>
          <w:sz w:val="18"/>
        </w:rPr>
        <w:t xml:space="preserve">"the ADA requires [public entities] to reasonably accommodate limitations, not disabilities." </w:t>
      </w:r>
      <w:bookmarkStart w:id="5612" w:name="Bookmark_I5R4G3YF2N1RFY0050000400"/>
      <w:bookmarkEnd w:id="5612"/>
      <w:r>
        <w:rPr>
          <w:rFonts w:ascii="Arial" w:eastAsia="Arial" w:hAnsi="Arial" w:cs="Arial"/>
          <w:i/>
          <w:color w:val="000000"/>
          <w:sz w:val="18"/>
        </w:rPr>
        <w:t>Taylor</w:t>
      </w:r>
      <w:r>
        <w:rPr>
          <w:rFonts w:ascii="Arial" w:eastAsia="Arial" w:hAnsi="Arial" w:cs="Arial"/>
          <w:color w:val="000000"/>
          <w:sz w:val="18"/>
        </w:rPr>
        <w:t xml:space="preserve">, 93 F.3d at 164. To borrow </w:t>
      </w:r>
      <w:r>
        <w:rPr>
          <w:rFonts w:ascii="Arial" w:eastAsia="Arial" w:hAnsi="Arial" w:cs="Arial"/>
          <w:i/>
          <w:color w:val="000000"/>
          <w:sz w:val="18"/>
        </w:rPr>
        <w:t>Taylor</w:t>
      </w:r>
      <w:r>
        <w:rPr>
          <w:rFonts w:ascii="Arial" w:eastAsia="Arial" w:hAnsi="Arial" w:cs="Arial"/>
          <w:color w:val="000000"/>
          <w:sz w:val="18"/>
        </w:rPr>
        <w:t xml:space="preserve">'s example: A hearing-impaired worker may require significant accommodations while working as a telephone operator, but have no difficulty working in an assembly line, despite the same disability. </w:t>
      </w:r>
      <w:bookmarkStart w:id="5613" w:name="Bookmark_I5R4G3YF2SF7XY0020000400"/>
      <w:bookmarkEnd w:id="5613"/>
      <w:r>
        <w:rPr>
          <w:rFonts w:ascii="Arial" w:eastAsia="Arial" w:hAnsi="Arial" w:cs="Arial"/>
          <w:color w:val="000000"/>
          <w:sz w:val="18"/>
        </w:rPr>
        <w:t xml:space="preserve">93 F.3d at 164. Similarly, a police detainee with a broken leg may suffer unnecessary pain if required to perform the one-leg-stand sobriety test, but face no limitations in tracking a pen with his eyes. In Title II cases, "the critical component of the entity's knowledge is that it is aware not just that the individual is disabled, but that the individual's disability affects his ability to receive the benefits of the entity's services," </w:t>
      </w:r>
      <w:bookmarkStart w:id="5614" w:name="Bookmark_I5R4G3YF2SF7XY0040000400"/>
      <w:bookmarkEnd w:id="5614"/>
      <w:r>
        <w:rPr>
          <w:rFonts w:ascii="Arial" w:eastAsia="Arial" w:hAnsi="Arial" w:cs="Arial"/>
          <w:i/>
          <w:color w:val="000000"/>
          <w:sz w:val="18"/>
        </w:rPr>
        <w:t>Robertson</w:t>
      </w:r>
      <w:r>
        <w:rPr>
          <w:rFonts w:ascii="Arial" w:eastAsia="Arial" w:hAnsi="Arial" w:cs="Arial"/>
          <w:color w:val="000000"/>
          <w:sz w:val="18"/>
        </w:rPr>
        <w:t xml:space="preserve">, 500 F.3d at 1197 n.10, or—in the context of police detentions, "caus[es] him to suffer greater injury or indignity than other [detainees]," </w:t>
      </w:r>
      <w:bookmarkStart w:id="5615" w:name="Bookmark_I5R4G3YF2SF7Y00010000400"/>
      <w:bookmarkEnd w:id="5615"/>
      <w:r>
        <w:rPr>
          <w:rFonts w:ascii="Arial" w:eastAsia="Arial" w:hAnsi="Arial" w:cs="Arial"/>
          <w:i/>
          <w:color w:val="000000"/>
          <w:sz w:val="18"/>
        </w:rPr>
        <w:t>Waller</w:t>
      </w:r>
      <w:r>
        <w:rPr>
          <w:rFonts w:ascii="Arial" w:eastAsia="Arial" w:hAnsi="Arial" w:cs="Arial"/>
          <w:color w:val="000000"/>
          <w:sz w:val="18"/>
        </w:rPr>
        <w:t>, 556 F.3d at 174.</w:t>
      </w:r>
    </w:p>
  </w:footnote>
  <w:footnote w:id="247">
    <w:p w:rsidR="00E456CD" w:rsidRDefault="00000000">
      <w:pPr>
        <w:pStyle w:val="Normal36"/>
        <w:widowControl w:val="0"/>
        <w:spacing w:before="200" w:line="240" w:lineRule="atLeast"/>
        <w:jc w:val="both"/>
      </w:pPr>
      <w:r>
        <w:rPr>
          <w:rFonts w:ascii="Arial" w:eastAsia="Arial" w:hAnsi="Arial" w:cs="Arial"/>
          <w:color w:val="000000"/>
          <w:sz w:val="18"/>
          <w:vertAlign w:val="superscript"/>
        </w:rPr>
        <w:t>11 </w:t>
      </w:r>
      <w:bookmarkStart w:id="5620" w:name="Bookmark_fnpara_11_7"/>
      <w:bookmarkStart w:id="5621" w:name="Bookmark_I5R4G3YF2SF7Y00040000400"/>
      <w:bookmarkEnd w:id="5620"/>
      <w:bookmarkEnd w:id="5621"/>
      <w:r>
        <w:rPr>
          <w:rFonts w:ascii="Arial" w:eastAsia="Arial" w:hAnsi="Arial" w:cs="Arial"/>
          <w:color w:val="000000"/>
          <w:sz w:val="18"/>
        </w:rPr>
        <w:t xml:space="preserve">Of course, </w:t>
      </w:r>
      <w:bookmarkStart w:id="5622" w:name="Bookmark_LNHNREFclscc11_14"/>
      <w:bookmarkEnd w:id="5622"/>
      <w:r>
        <w:rPr>
          <w:rFonts w:ascii="Arial" w:eastAsia="Arial" w:hAnsi="Arial" w:cs="Arial"/>
          <w:color w:val="000000"/>
          <w:sz w:val="18"/>
        </w:rPr>
        <w:t xml:space="preserve">a plaintiff need not request, or even know, the particular reasonable accommodation he ultimately requires. That judgment "is best determined through a flexible, interactive process" involving both the plaintiff and the public entity. </w:t>
      </w:r>
      <w:bookmarkStart w:id="5623" w:name="Bookmark_I5R4G3YF2SF7Y00030000400"/>
      <w:bookmarkEnd w:id="5623"/>
      <w:r>
        <w:rPr>
          <w:rFonts w:ascii="Arial" w:eastAsia="Arial" w:hAnsi="Arial" w:cs="Arial"/>
          <w:i/>
          <w:color w:val="000000"/>
          <w:sz w:val="18"/>
        </w:rPr>
        <w:t>Taylor</w:t>
      </w:r>
      <w:r>
        <w:rPr>
          <w:rFonts w:ascii="Arial" w:eastAsia="Arial" w:hAnsi="Arial" w:cs="Arial"/>
          <w:color w:val="000000"/>
          <w:sz w:val="18"/>
        </w:rPr>
        <w:t>, 93 F.3d at 165. A police detainee with a broken leg, for example, may not know enough about police investigatory procedures to specifically request a gaze nystagmus test; it is enough for him to ask generally for an alternative to the one-leg stand.</w:t>
      </w:r>
    </w:p>
  </w:footnote>
  <w:footnote w:id="248">
    <w:p w:rsidR="00E456CD" w:rsidRDefault="00000000">
      <w:pPr>
        <w:pStyle w:val="Normal36"/>
        <w:widowControl w:val="0"/>
        <w:spacing w:before="200" w:line="240" w:lineRule="atLeast"/>
        <w:jc w:val="both"/>
      </w:pPr>
      <w:r>
        <w:rPr>
          <w:rFonts w:ascii="Arial" w:eastAsia="Arial" w:hAnsi="Arial" w:cs="Arial"/>
          <w:color w:val="000000"/>
          <w:sz w:val="18"/>
          <w:vertAlign w:val="superscript"/>
        </w:rPr>
        <w:t>12 </w:t>
      </w:r>
      <w:bookmarkStart w:id="5633" w:name="Bookmark_fnpara_12_7"/>
      <w:bookmarkStart w:id="5634" w:name="Bookmark_I5R6856N2SF7S40040000400"/>
      <w:bookmarkEnd w:id="5633"/>
      <w:bookmarkEnd w:id="5634"/>
      <w:r>
        <w:rPr>
          <w:rFonts w:ascii="Arial" w:eastAsia="Arial" w:hAnsi="Arial" w:cs="Arial"/>
          <w:i/>
          <w:color w:val="000000"/>
          <w:sz w:val="18"/>
        </w:rPr>
        <w:t xml:space="preserve">E.g., </w:t>
      </w:r>
      <w:bookmarkStart w:id="5635" w:name="Bookmark_I5R6856N2SF7S40030000400"/>
      <w:bookmarkEnd w:id="5635"/>
      <w:r>
        <w:rPr>
          <w:rFonts w:ascii="Arial" w:eastAsia="Arial" w:hAnsi="Arial" w:cs="Arial"/>
          <w:i/>
          <w:color w:val="000000"/>
          <w:sz w:val="18"/>
        </w:rPr>
        <w:t>Patton</w:t>
      </w:r>
      <w:r>
        <w:rPr>
          <w:rFonts w:ascii="Arial" w:eastAsia="Arial" w:hAnsi="Arial" w:cs="Arial"/>
          <w:color w:val="000000"/>
          <w:sz w:val="18"/>
        </w:rPr>
        <w:t xml:space="preserve">, 874 F.3d 437, 2017 U.S. App. LEXIS 21028, 2017 WL 4784586, at *4 (affirming grant of summary judgment because "there is insufficient evidence to prove [the relevant agents'] knowledge of [the plaintiff's] disability"); </w:t>
      </w:r>
      <w:bookmarkStart w:id="5636" w:name="Bookmark_I5R4G3YF2D6NF80050000400"/>
      <w:bookmarkEnd w:id="5636"/>
      <w:r>
        <w:rPr>
          <w:rFonts w:ascii="Arial" w:eastAsia="Arial" w:hAnsi="Arial" w:cs="Arial"/>
          <w:i/>
          <w:color w:val="000000"/>
          <w:sz w:val="18"/>
        </w:rPr>
        <w:t>Taylor</w:t>
      </w:r>
      <w:r>
        <w:rPr>
          <w:rFonts w:ascii="Arial" w:eastAsia="Arial" w:hAnsi="Arial" w:cs="Arial"/>
          <w:color w:val="000000"/>
          <w:sz w:val="18"/>
        </w:rPr>
        <w:t>, 93 F.3d at 163-64 (affirming grant of summary judgment because the plaintiff failed to adduce "evidence which would allow a reasonable trier of fact to find that [the entity] knew of [the plaintiff's] limitations").</w:t>
      </w:r>
    </w:p>
  </w:footnote>
  <w:footnote w:id="249">
    <w:p w:rsidR="00E456CD" w:rsidRDefault="00000000">
      <w:pPr>
        <w:pStyle w:val="Normal36"/>
        <w:widowControl w:val="0"/>
        <w:spacing w:before="120" w:line="240" w:lineRule="atLeast"/>
        <w:jc w:val="both"/>
      </w:pPr>
      <w:r>
        <w:rPr>
          <w:rFonts w:ascii="Arial" w:eastAsia="Arial" w:hAnsi="Arial" w:cs="Arial"/>
          <w:color w:val="000000"/>
          <w:sz w:val="18"/>
          <w:vertAlign w:val="superscript"/>
        </w:rPr>
        <w:t>13 </w:t>
      </w:r>
      <w:bookmarkStart w:id="5657" w:name="Bookmark_fnpara_13_7"/>
      <w:bookmarkEnd w:id="5657"/>
      <w:r>
        <w:rPr>
          <w:rFonts w:ascii="Arial" w:eastAsia="Arial" w:hAnsi="Arial" w:cs="Arial"/>
          <w:color w:val="000000"/>
          <w:sz w:val="18"/>
        </w:rPr>
        <w:t>Our own review of the record revealed a more explicit statement of Windham's limitation: According to Windham's declaration, he told Pasket at the outset that—in Windham's words—"neck extension would risk neurologic injury" and "movement of [his] head from a downward looking position to a neutral position was in fact extending [his] neck."</w:t>
      </w:r>
    </w:p>
    <w:p w:rsidR="00E456CD" w:rsidRDefault="00000000">
      <w:pPr>
        <w:pStyle w:val="Normal36"/>
        <w:widowControl w:val="0"/>
        <w:spacing w:before="200" w:line="240" w:lineRule="atLeast"/>
        <w:jc w:val="both"/>
      </w:pPr>
      <w:bookmarkStart w:id="5658" w:name="Bookmark_fnpara_14_6"/>
      <w:bookmarkStart w:id="5659" w:name="Bookmark_I5R4G3YF2SF7Y10010000400"/>
      <w:bookmarkEnd w:id="5658"/>
      <w:bookmarkEnd w:id="5659"/>
      <w:r>
        <w:rPr>
          <w:rFonts w:ascii="Arial" w:eastAsia="Arial" w:hAnsi="Arial" w:cs="Arial"/>
          <w:color w:val="000000"/>
          <w:sz w:val="18"/>
        </w:rPr>
        <w:t xml:space="preserve">But Windham never relied on or even mentioned this statement in his briefs (either here or in district court). We will not consider it now. </w:t>
      </w:r>
      <w:r>
        <w:rPr>
          <w:rFonts w:ascii="Arial" w:eastAsia="Arial" w:hAnsi="Arial" w:cs="Arial"/>
          <w:i/>
          <w:color w:val="000000"/>
          <w:sz w:val="18"/>
        </w:rPr>
        <w:t xml:space="preserve">See </w:t>
      </w:r>
      <w:bookmarkStart w:id="5660" w:name="Bookmark_I5R4G3YF2N1RG10050000400"/>
      <w:bookmarkEnd w:id="5660"/>
      <w:r>
        <w:rPr>
          <w:rFonts w:ascii="Arial" w:eastAsia="Arial" w:hAnsi="Arial" w:cs="Arial"/>
          <w:i/>
          <w:color w:val="000000"/>
          <w:sz w:val="18"/>
        </w:rPr>
        <w:t>P&amp;G v. Amway Corp.</w:t>
      </w:r>
      <w:r>
        <w:rPr>
          <w:rFonts w:ascii="Arial" w:eastAsia="Arial" w:hAnsi="Arial" w:cs="Arial"/>
          <w:color w:val="000000"/>
          <w:sz w:val="18"/>
        </w:rPr>
        <w:t xml:space="preserve">, 376 F.3d 496, 499 (5th Cir. 2004) ("Failure adequately to brief an issue on appeal constitutes waiver of that argument."); </w:t>
      </w:r>
      <w:bookmarkStart w:id="5661" w:name="Bookmark_I5R4G3YF2SF7Y10020000400"/>
      <w:bookmarkEnd w:id="5661"/>
      <w:r>
        <w:rPr>
          <w:rFonts w:ascii="Arial" w:eastAsia="Arial" w:hAnsi="Arial" w:cs="Arial"/>
          <w:i/>
          <w:color w:val="000000"/>
          <w:sz w:val="18"/>
        </w:rPr>
        <w:t>Skotak v. Tenneco Resins, Inc.</w:t>
      </w:r>
      <w:r>
        <w:rPr>
          <w:rFonts w:ascii="Arial" w:eastAsia="Arial" w:hAnsi="Arial" w:cs="Arial"/>
          <w:color w:val="000000"/>
          <w:sz w:val="18"/>
        </w:rPr>
        <w:t xml:space="preserve">, 953 F.2d 909, 915 (5th Cir. 1992) ("Although on summary judgment the record is reviewed de novo, this court, for obvious reasons, will not consider evidence or arguments that were not presented to the district court for its consideration in ruling on the motion."); </w:t>
      </w:r>
      <w:r>
        <w:rPr>
          <w:rFonts w:ascii="Arial" w:eastAsia="Arial" w:hAnsi="Arial" w:cs="Arial"/>
          <w:i/>
          <w:color w:val="000000"/>
          <w:sz w:val="18"/>
        </w:rPr>
        <w:t>see also</w:t>
      </w:r>
      <w:r>
        <w:rPr>
          <w:rFonts w:ascii="Arial" w:eastAsia="Arial" w:hAnsi="Arial" w:cs="Arial"/>
          <w:color w:val="000000"/>
          <w:sz w:val="18"/>
        </w:rPr>
        <w:t xml:space="preserve"> Fed. R. Civ. P. 56(c)(3) ("The court need consider only the cited materials . . . .").</w:t>
      </w:r>
    </w:p>
  </w:footnote>
  <w:footnote w:id="250">
    <w:p w:rsidR="00E456CD" w:rsidRDefault="00000000">
      <w:pPr>
        <w:pStyle w:val="Normal36"/>
        <w:widowControl w:val="0"/>
        <w:spacing w:before="200" w:line="240" w:lineRule="atLeast"/>
        <w:jc w:val="both"/>
      </w:pPr>
      <w:r>
        <w:rPr>
          <w:rFonts w:ascii="Arial" w:eastAsia="Arial" w:hAnsi="Arial" w:cs="Arial"/>
          <w:color w:val="000000"/>
          <w:sz w:val="18"/>
          <w:vertAlign w:val="superscript"/>
        </w:rPr>
        <w:t>14 </w:t>
      </w:r>
      <w:bookmarkStart w:id="5670" w:name="Bookmark_fnpara_15_6"/>
      <w:bookmarkStart w:id="5671" w:name="Bookmark_I0MVJKYV30Y000VXMXW004NW"/>
      <w:bookmarkStart w:id="5672" w:name="Bookmark_I5R4G3YF28T5000040000400"/>
      <w:bookmarkStart w:id="5673" w:name="Bookmark_I5R4G3YF2HM6F30010000400"/>
      <w:bookmarkEnd w:id="5670"/>
      <w:bookmarkEnd w:id="5671"/>
      <w:bookmarkEnd w:id="5672"/>
      <w:bookmarkEnd w:id="5673"/>
      <w:r>
        <w:rPr>
          <w:rFonts w:ascii="Arial" w:eastAsia="Arial" w:hAnsi="Arial" w:cs="Arial"/>
          <w:color w:val="000000"/>
          <w:sz w:val="18"/>
        </w:rPr>
        <w:t xml:space="preserve">The other case on which Windham relies, </w:t>
      </w:r>
      <w:bookmarkStart w:id="5674" w:name="Bookmark_I5R4G3YF28T5000030000400"/>
      <w:bookmarkEnd w:id="5674"/>
      <w:r>
        <w:rPr>
          <w:rFonts w:ascii="Arial" w:eastAsia="Arial" w:hAnsi="Arial" w:cs="Arial"/>
          <w:i/>
          <w:color w:val="000000"/>
          <w:sz w:val="18"/>
        </w:rPr>
        <w:t>Perez v. Doctors Hospital at Renaissance, Ltd.</w:t>
      </w:r>
      <w:r>
        <w:rPr>
          <w:rFonts w:ascii="Arial" w:eastAsia="Arial" w:hAnsi="Arial" w:cs="Arial"/>
          <w:color w:val="000000"/>
          <w:sz w:val="18"/>
        </w:rPr>
        <w:t xml:space="preserve">, 624 F. App'x 180 (5th Cir. 2015), is even less apposite. Unlike Windham, the </w:t>
      </w:r>
      <w:r>
        <w:rPr>
          <w:rFonts w:ascii="Arial" w:eastAsia="Arial" w:hAnsi="Arial" w:cs="Arial"/>
          <w:i/>
          <w:color w:val="000000"/>
          <w:sz w:val="18"/>
        </w:rPr>
        <w:t>Perez</w:t>
      </w:r>
      <w:r>
        <w:rPr>
          <w:rFonts w:ascii="Arial" w:eastAsia="Arial" w:hAnsi="Arial" w:cs="Arial"/>
          <w:color w:val="000000"/>
          <w:sz w:val="18"/>
        </w:rPr>
        <w:t xml:space="preserve"> plaintiff repeatedly requested an accommodation for his disability, obviating the need for the court to determine whether the disability was obvious. </w:t>
      </w:r>
      <w:bookmarkStart w:id="5675" w:name="Bookmark_I5R4G3YF28T5000050000400"/>
      <w:bookmarkEnd w:id="5675"/>
      <w:r>
        <w:rPr>
          <w:rFonts w:ascii="Arial" w:eastAsia="Arial" w:hAnsi="Arial" w:cs="Arial"/>
          <w:i/>
          <w:color w:val="000000"/>
          <w:sz w:val="18"/>
        </w:rPr>
        <w:t>Id.</w:t>
      </w:r>
      <w:r>
        <w:rPr>
          <w:rFonts w:ascii="Arial" w:eastAsia="Arial" w:hAnsi="Arial" w:cs="Arial"/>
          <w:color w:val="000000"/>
          <w:sz w:val="18"/>
        </w:rPr>
        <w:t xml:space="preserve"> at 185-86.</w:t>
      </w:r>
    </w:p>
  </w:footnote>
  <w:footnote w:id="251">
    <w:p w:rsidR="00E456CD" w:rsidRDefault="00000000">
      <w:pPr>
        <w:pStyle w:val="Normal36"/>
        <w:widowControl w:val="0"/>
        <w:spacing w:before="200" w:line="240" w:lineRule="atLeast"/>
        <w:jc w:val="both"/>
      </w:pPr>
      <w:r>
        <w:rPr>
          <w:rFonts w:ascii="Arial" w:eastAsia="Arial" w:hAnsi="Arial" w:cs="Arial"/>
          <w:color w:val="000000"/>
          <w:sz w:val="18"/>
          <w:vertAlign w:val="superscript"/>
        </w:rPr>
        <w:t>15 </w:t>
      </w:r>
      <w:bookmarkStart w:id="5718" w:name="Bookmark_fnpara_16_6"/>
      <w:bookmarkStart w:id="5719" w:name="Bookmark_I5R4G3YF2HM6F50020000400"/>
      <w:bookmarkEnd w:id="5718"/>
      <w:bookmarkEnd w:id="5719"/>
      <w:r>
        <w:rPr>
          <w:rFonts w:ascii="Arial" w:eastAsia="Arial" w:hAnsi="Arial" w:cs="Arial"/>
          <w:i/>
          <w:color w:val="000000"/>
          <w:sz w:val="18"/>
        </w:rPr>
        <w:t xml:space="preserve">See, e.g., </w:t>
      </w:r>
      <w:bookmarkStart w:id="5720" w:name="Bookmark_I5R4G3YF2HM6F50010000400"/>
      <w:bookmarkEnd w:id="5720"/>
      <w:r>
        <w:rPr>
          <w:rFonts w:ascii="Arial" w:eastAsia="Arial" w:hAnsi="Arial" w:cs="Arial"/>
          <w:i/>
          <w:color w:val="000000"/>
          <w:sz w:val="18"/>
        </w:rPr>
        <w:t>United States v. Dortch</w:t>
      </w:r>
      <w:r>
        <w:rPr>
          <w:rFonts w:ascii="Arial" w:eastAsia="Arial" w:hAnsi="Arial" w:cs="Arial"/>
          <w:color w:val="000000"/>
          <w:sz w:val="18"/>
        </w:rPr>
        <w:t xml:space="preserve">, 199 F.3d 193, 198 (5th Cir. 1999) ("[W]hat began as a consensual encounter quickly became an investigative detention once the agents received [defendant's] driver's license and did not return it to him." (quoting </w:t>
      </w:r>
      <w:bookmarkStart w:id="5721" w:name="Bookmark_I5R4G3YF2HM6F50030000400"/>
      <w:bookmarkEnd w:id="5721"/>
      <w:r>
        <w:rPr>
          <w:rFonts w:ascii="Arial" w:eastAsia="Arial" w:hAnsi="Arial" w:cs="Arial"/>
          <w:i/>
          <w:color w:val="000000"/>
          <w:sz w:val="18"/>
        </w:rPr>
        <w:t>United States v. Lambert</w:t>
      </w:r>
      <w:r>
        <w:rPr>
          <w:rFonts w:ascii="Arial" w:eastAsia="Arial" w:hAnsi="Arial" w:cs="Arial"/>
          <w:color w:val="000000"/>
          <w:sz w:val="18"/>
        </w:rPr>
        <w:t xml:space="preserve">, 46 F.3d 1064, 1068 (10th Cir. 1995))), </w:t>
      </w:r>
      <w:r>
        <w:rPr>
          <w:rFonts w:ascii="Arial" w:eastAsia="Arial" w:hAnsi="Arial" w:cs="Arial"/>
          <w:i/>
          <w:color w:val="000000"/>
          <w:sz w:val="18"/>
        </w:rPr>
        <w:t>modified on denial of reh'g</w:t>
      </w:r>
      <w:r>
        <w:rPr>
          <w:rFonts w:ascii="Arial" w:eastAsia="Arial" w:hAnsi="Arial" w:cs="Arial"/>
          <w:color w:val="000000"/>
          <w:sz w:val="18"/>
        </w:rPr>
        <w:t>, 203 F.3d 883 (2000). We note that, in this case, Pasket inadvertently failed to return the driver's license to Windham after Windham was free to go. Pasket returned the license to Windham's residence later that evening. Windham does not argue that this oversight is relevant to the unjustified detention claim.</w:t>
      </w:r>
    </w:p>
  </w:footnote>
  <w:footnote w:id="252">
    <w:p w:rsidR="00E456CD" w:rsidRDefault="00000000">
      <w:pPr>
        <w:pStyle w:val="Normal36"/>
        <w:widowControl w:val="0"/>
        <w:spacing w:before="120" w:line="240" w:lineRule="atLeast"/>
        <w:jc w:val="both"/>
      </w:pPr>
      <w:r>
        <w:rPr>
          <w:rFonts w:ascii="Arial" w:eastAsia="Arial" w:hAnsi="Arial" w:cs="Arial"/>
          <w:color w:val="000000"/>
          <w:sz w:val="18"/>
          <w:vertAlign w:val="superscript"/>
        </w:rPr>
        <w:t>16 </w:t>
      </w:r>
      <w:bookmarkStart w:id="5737" w:name="Bookmark_fnpara_17_6"/>
      <w:bookmarkEnd w:id="5737"/>
      <w:r>
        <w:rPr>
          <w:rFonts w:ascii="Arial" w:eastAsia="Arial" w:hAnsi="Arial" w:cs="Arial"/>
          <w:color w:val="000000"/>
          <w:sz w:val="18"/>
        </w:rPr>
        <w:t>Windham also failed to support this factual assertion in his summary judgment brief in district court. Although that brief lacked discernable organization, as far as we can tell, it contained only one relevant citation. That citation referred to Pasket's deposition testimony describing the inconclusive results of his initial testing. That evidence does nothing to establish that Pasket's decision to seek further testing from a certified expert officer was, in fact, unreasonable.</w:t>
      </w:r>
    </w:p>
  </w:footnote>
  <w:footnote w:id="253">
    <w:p w:rsidR="00E456CD" w:rsidRDefault="00000000">
      <w:pPr>
        <w:pStyle w:val="Normal36"/>
        <w:widowControl w:val="0"/>
        <w:spacing w:before="200" w:line="240" w:lineRule="atLeast"/>
        <w:jc w:val="both"/>
      </w:pPr>
      <w:r>
        <w:rPr>
          <w:rFonts w:ascii="Arial" w:eastAsia="Arial" w:hAnsi="Arial" w:cs="Arial"/>
          <w:color w:val="000000"/>
          <w:sz w:val="18"/>
          <w:vertAlign w:val="superscript"/>
        </w:rPr>
        <w:t>17 </w:t>
      </w:r>
      <w:bookmarkStart w:id="5755" w:name="Bookmark_fnpara_18_3"/>
      <w:bookmarkStart w:id="5756" w:name="Bookmark_I5R4G3YF2N1RG50010000400"/>
      <w:bookmarkStart w:id="5757" w:name="Bookmark_I5R4G3YF2N1RG50030000400"/>
      <w:bookmarkStart w:id="5758" w:name="Bookmark_I5R4G3YF2SF7Y40020000400"/>
      <w:bookmarkEnd w:id="5755"/>
      <w:bookmarkEnd w:id="5756"/>
      <w:bookmarkEnd w:id="5757"/>
      <w:bookmarkEnd w:id="5758"/>
      <w:r>
        <w:rPr>
          <w:rFonts w:ascii="Arial" w:eastAsia="Arial" w:hAnsi="Arial" w:cs="Arial"/>
          <w:color w:val="000000"/>
          <w:sz w:val="18"/>
        </w:rPr>
        <w:t xml:space="preserve">The district court also went too far in stating, as a categorical matter, that "an excessive force claim cannot survive when the police did not touch the plaintiff." </w:t>
      </w:r>
      <w:bookmarkStart w:id="5759" w:name="Bookmark_I5R4G3YF2N1RG40050000400"/>
      <w:bookmarkEnd w:id="5759"/>
      <w:r>
        <w:rPr>
          <w:rFonts w:ascii="Arial" w:eastAsia="Arial" w:hAnsi="Arial" w:cs="Arial"/>
          <w:i/>
          <w:color w:val="000000"/>
          <w:sz w:val="18"/>
        </w:rPr>
        <w:t>Windham</w:t>
      </w:r>
      <w:r>
        <w:rPr>
          <w:rFonts w:ascii="Arial" w:eastAsia="Arial" w:hAnsi="Arial" w:cs="Arial"/>
          <w:color w:val="000000"/>
          <w:sz w:val="18"/>
        </w:rPr>
        <w:t xml:space="preserve">, 2016 U.S. Dist. LEXIS 124435, 2016 WL 4939563, at *5 n.3. We have not so held. Other circuits, moreover, "have recognized excessive force claims where the force is expressed by means other than physical contact," </w:t>
      </w:r>
      <w:bookmarkStart w:id="5760" w:name="Bookmark_I5R4G3YF2N1RG50020000400"/>
      <w:bookmarkEnd w:id="5760"/>
      <w:r>
        <w:rPr>
          <w:rFonts w:ascii="Arial" w:eastAsia="Arial" w:hAnsi="Arial" w:cs="Arial"/>
          <w:i/>
          <w:color w:val="000000"/>
          <w:sz w:val="18"/>
        </w:rPr>
        <w:t>Martin v. Bd. of Cty. Comm'rs</w:t>
      </w:r>
      <w:r>
        <w:rPr>
          <w:rFonts w:ascii="Arial" w:eastAsia="Arial" w:hAnsi="Arial" w:cs="Arial"/>
          <w:color w:val="000000"/>
          <w:sz w:val="18"/>
        </w:rPr>
        <w:t xml:space="preserve">, 909 F.2d 402, 406 (10th Cir. 1990) (collecting cases), including in circumstances resembling those of the case at bar, </w:t>
      </w:r>
      <w:bookmarkStart w:id="5761" w:name="Bookmark_I5R4G3YF2N1RG50040000400"/>
      <w:bookmarkEnd w:id="5761"/>
      <w:r>
        <w:rPr>
          <w:rFonts w:ascii="Arial" w:eastAsia="Arial" w:hAnsi="Arial" w:cs="Arial"/>
          <w:i/>
          <w:color w:val="000000"/>
          <w:sz w:val="18"/>
        </w:rPr>
        <w:t>id.</w:t>
      </w:r>
      <w:r>
        <w:rPr>
          <w:rFonts w:ascii="Arial" w:eastAsia="Arial" w:hAnsi="Arial" w:cs="Arial"/>
          <w:color w:val="000000"/>
          <w:sz w:val="18"/>
        </w:rPr>
        <w:t xml:space="preserve"> at 403-04, 407 (police use of threats of arrest to force wheelchair-bound detainee to walk, causing her injury, constituted excessive use of force). </w:t>
      </w:r>
      <w:r>
        <w:rPr>
          <w:rFonts w:ascii="Arial" w:eastAsia="Arial" w:hAnsi="Arial" w:cs="Arial"/>
          <w:i/>
          <w:color w:val="000000"/>
          <w:sz w:val="18"/>
        </w:rPr>
        <w:t xml:space="preserve">See also, e.g., </w:t>
      </w:r>
      <w:bookmarkStart w:id="5762" w:name="Bookmark_I5R4G3YF2SF7Y40010000400"/>
      <w:bookmarkEnd w:id="5762"/>
      <w:r>
        <w:rPr>
          <w:rFonts w:ascii="Arial" w:eastAsia="Arial" w:hAnsi="Arial" w:cs="Arial"/>
          <w:i/>
          <w:color w:val="000000"/>
          <w:sz w:val="18"/>
        </w:rPr>
        <w:t>Davis v. Bergeon</w:t>
      </w:r>
      <w:r>
        <w:rPr>
          <w:rFonts w:ascii="Arial" w:eastAsia="Arial" w:hAnsi="Arial" w:cs="Arial"/>
          <w:color w:val="000000"/>
          <w:sz w:val="18"/>
        </w:rPr>
        <w:t xml:space="preserve">, 187 F.3d 635, [published in full-text format at </w:t>
      </w:r>
      <w:bookmarkStart w:id="5763" w:name="Bookmark_I5R4G3YF2SF7Y40030000400"/>
      <w:bookmarkEnd w:id="5763"/>
      <w:r>
        <w:rPr>
          <w:rFonts w:ascii="Arial" w:eastAsia="Arial" w:hAnsi="Arial" w:cs="Arial"/>
          <w:color w:val="000000"/>
          <w:sz w:val="18"/>
        </w:rPr>
        <w:t>1999 U.S. App. LEXIS 17984]1999 WL 591448, at *5 (6th Cir. 1999) (unpublished) ("We also do not believe that proof of physical contact is an essential element of an excessive force claim.").</w:t>
      </w:r>
    </w:p>
  </w:footnote>
  <w:footnote w:id="254">
    <w:p w:rsidR="00E456CD" w:rsidRDefault="00000000">
      <w:pPr>
        <w:pStyle w:val="Normal36"/>
        <w:widowControl w:val="0"/>
        <w:spacing w:before="200" w:line="240" w:lineRule="atLeast"/>
        <w:jc w:val="both"/>
      </w:pPr>
      <w:r>
        <w:rPr>
          <w:rFonts w:ascii="Arial" w:eastAsia="Arial" w:hAnsi="Arial" w:cs="Arial"/>
          <w:color w:val="000000"/>
          <w:sz w:val="18"/>
          <w:vertAlign w:val="superscript"/>
        </w:rPr>
        <w:t>18 </w:t>
      </w:r>
      <w:bookmarkStart w:id="5774" w:name="Bookmark_fnpara_19_1"/>
      <w:bookmarkEnd w:id="5774"/>
      <w:r>
        <w:rPr>
          <w:rFonts w:ascii="Arial" w:eastAsia="Arial" w:hAnsi="Arial" w:cs="Arial"/>
          <w:color w:val="000000"/>
          <w:sz w:val="18"/>
        </w:rPr>
        <w:t xml:space="preserve">This holding is consistent with </w:t>
      </w:r>
      <w:r>
        <w:rPr>
          <w:rFonts w:ascii="Arial" w:eastAsia="Arial" w:hAnsi="Arial" w:cs="Arial"/>
          <w:i/>
          <w:color w:val="000000"/>
          <w:sz w:val="18"/>
        </w:rPr>
        <w:t>Dunn</w:t>
      </w:r>
      <w:r>
        <w:rPr>
          <w:rFonts w:ascii="Arial" w:eastAsia="Arial" w:hAnsi="Arial" w:cs="Arial"/>
          <w:color w:val="000000"/>
          <w:sz w:val="18"/>
        </w:rPr>
        <w:t xml:space="preserve">. The fact that a use of force aggravates a preexisting injury does not preclude a finding that the injury "resulted directly and only from the use of force." </w:t>
      </w:r>
      <w:bookmarkStart w:id="5775" w:name="Bookmark_I5R4G3YF2SF7Y50030000400"/>
      <w:bookmarkEnd w:id="5775"/>
      <w:r>
        <w:rPr>
          <w:rFonts w:ascii="Arial" w:eastAsia="Arial" w:hAnsi="Arial" w:cs="Arial"/>
          <w:color w:val="000000"/>
          <w:sz w:val="18"/>
        </w:rPr>
        <w:t xml:space="preserve">79 F.3d at 403. But an </w:t>
      </w:r>
      <w:r>
        <w:rPr>
          <w:rFonts w:ascii="Arial" w:eastAsia="Arial" w:hAnsi="Arial" w:cs="Arial"/>
          <w:i/>
          <w:color w:val="000000"/>
          <w:sz w:val="18"/>
        </w:rPr>
        <w:t>unknown</w:t>
      </w:r>
      <w:r>
        <w:rPr>
          <w:rFonts w:ascii="Arial" w:eastAsia="Arial" w:hAnsi="Arial" w:cs="Arial"/>
          <w:color w:val="000000"/>
          <w:sz w:val="18"/>
        </w:rPr>
        <w:t xml:space="preserve"> preexisting injury cannot transform what would otherwise be a reasonable use of force into an unreasonable one. </w:t>
      </w:r>
      <w:bookmarkStart w:id="5776" w:name="Bookmark_I5R4G3YF2SF7Y50050000400"/>
      <w:bookmarkEnd w:id="5776"/>
      <w:r>
        <w:rPr>
          <w:rFonts w:ascii="Arial" w:eastAsia="Arial" w:hAnsi="Arial" w:cs="Arial"/>
          <w:i/>
          <w:color w:val="000000"/>
          <w:sz w:val="18"/>
        </w:rPr>
        <w:t>Rodriguez</w:t>
      </w:r>
      <w:r>
        <w:rPr>
          <w:rFonts w:ascii="Arial" w:eastAsia="Arial" w:hAnsi="Arial" w:cs="Arial"/>
          <w:color w:val="000000"/>
          <w:sz w:val="18"/>
        </w:rPr>
        <w:t>, 280 F.3d at 1353.</w:t>
      </w:r>
    </w:p>
  </w:footnote>
  <w:footnote w:id="255">
    <w:p w:rsidR="00E456CD" w:rsidRDefault="00000000">
      <w:pPr>
        <w:pStyle w:val="Normal36"/>
        <w:widowControl w:val="0"/>
        <w:spacing w:before="200" w:line="240" w:lineRule="atLeast"/>
        <w:jc w:val="both"/>
      </w:pPr>
      <w:r>
        <w:rPr>
          <w:rFonts w:ascii="Arial" w:eastAsia="Arial" w:hAnsi="Arial" w:cs="Arial"/>
          <w:color w:val="000000"/>
          <w:sz w:val="18"/>
          <w:vertAlign w:val="superscript"/>
        </w:rPr>
        <w:t>19 </w:t>
      </w:r>
      <w:bookmarkStart w:id="5778" w:name="Bookmark_fnpara_20_1"/>
      <w:bookmarkEnd w:id="5778"/>
      <w:r>
        <w:rPr>
          <w:rFonts w:ascii="Arial" w:eastAsia="Arial" w:hAnsi="Arial" w:cs="Arial"/>
          <w:color w:val="000000"/>
          <w:sz w:val="18"/>
        </w:rPr>
        <w:t xml:space="preserve">Our conclusion also disposes of Windham's late-raised bystander liability claim against Pasket. </w:t>
      </w:r>
      <w:r>
        <w:rPr>
          <w:rFonts w:ascii="Arial" w:eastAsia="Arial" w:hAnsi="Arial" w:cs="Arial"/>
          <w:i/>
          <w:color w:val="000000"/>
          <w:sz w:val="18"/>
        </w:rPr>
        <w:t xml:space="preserve">See </w:t>
      </w:r>
      <w:bookmarkStart w:id="5779" w:name="Bookmark_I5R4G3YF2D6NFG0020000400"/>
      <w:bookmarkEnd w:id="5779"/>
      <w:r>
        <w:rPr>
          <w:rFonts w:ascii="Arial" w:eastAsia="Arial" w:hAnsi="Arial" w:cs="Arial"/>
          <w:i/>
          <w:color w:val="000000"/>
          <w:sz w:val="18"/>
        </w:rPr>
        <w:t>Kitchen v. Dallas Cty.</w:t>
      </w:r>
      <w:r>
        <w:rPr>
          <w:rFonts w:ascii="Arial" w:eastAsia="Arial" w:hAnsi="Arial" w:cs="Arial"/>
          <w:color w:val="000000"/>
          <w:sz w:val="18"/>
        </w:rPr>
        <w:t xml:space="preserve">, 759 F.3d 468, 481 (5th Cir. 2014) ("[B]ystander liability arises . . . only where the plaintiff can allege and prove 'another officer's use of excessive force.'" (quoting </w:t>
      </w:r>
      <w:bookmarkStart w:id="5780" w:name="Bookmark_I5R4G3YF2D6NFG0040000400"/>
      <w:bookmarkEnd w:id="5780"/>
      <w:r>
        <w:rPr>
          <w:rFonts w:ascii="Arial" w:eastAsia="Arial" w:hAnsi="Arial" w:cs="Arial"/>
          <w:i/>
          <w:color w:val="000000"/>
          <w:sz w:val="18"/>
        </w:rPr>
        <w:t>Hale v. Townley</w:t>
      </w:r>
      <w:r>
        <w:rPr>
          <w:rFonts w:ascii="Arial" w:eastAsia="Arial" w:hAnsi="Arial" w:cs="Arial"/>
          <w:color w:val="000000"/>
          <w:sz w:val="18"/>
        </w:rPr>
        <w:t xml:space="preserve">, 45 F.3d 914, 919 (5th Cir. 1995))), </w:t>
      </w:r>
      <w:r>
        <w:rPr>
          <w:rFonts w:ascii="Arial" w:eastAsia="Arial" w:hAnsi="Arial" w:cs="Arial"/>
          <w:i/>
          <w:color w:val="000000"/>
          <w:sz w:val="18"/>
        </w:rPr>
        <w:t xml:space="preserve">abrogated on other grounds, </w:t>
      </w:r>
      <w:bookmarkStart w:id="5781" w:name="Bookmark_I5R4G3YF28T5040010000400"/>
      <w:bookmarkEnd w:id="5781"/>
      <w:r>
        <w:rPr>
          <w:rFonts w:ascii="Arial" w:eastAsia="Arial" w:hAnsi="Arial" w:cs="Arial"/>
          <w:i/>
          <w:color w:val="000000"/>
          <w:sz w:val="18"/>
        </w:rPr>
        <w:t>Kingsley v. Hendrickson</w:t>
      </w:r>
      <w:r>
        <w:rPr>
          <w:rFonts w:ascii="Arial" w:eastAsia="Arial" w:hAnsi="Arial" w:cs="Arial"/>
          <w:color w:val="000000"/>
          <w:sz w:val="18"/>
        </w:rPr>
        <w:t>, 135 S. Ct. 2466, 2472-73, 192 L. Ed. 2d 416 (2015).</w:t>
      </w:r>
    </w:p>
  </w:footnote>
  <w:footnote w:id="256">
    <w:p w:rsidR="00E456CD" w:rsidRDefault="00000000">
      <w:pPr>
        <w:pStyle w:val="Normal37"/>
        <w:widowControl w:val="0"/>
        <w:spacing w:before="200" w:line="240" w:lineRule="atLeast"/>
        <w:jc w:val="both"/>
      </w:pPr>
      <w:r>
        <w:rPr>
          <w:rFonts w:ascii="Arial" w:eastAsia="Arial" w:hAnsi="Arial" w:cs="Arial"/>
          <w:color w:val="000000"/>
          <w:sz w:val="18"/>
          <w:vertAlign w:val="superscript"/>
        </w:rPr>
        <w:t>1 </w:t>
      </w:r>
      <w:bookmarkStart w:id="5800" w:name="Bookmark_fnpara_1_32"/>
      <w:bookmarkEnd w:id="5800"/>
      <w:r>
        <w:rPr>
          <w:rFonts w:ascii="Arial" w:eastAsia="Arial" w:hAnsi="Arial" w:cs="Arial"/>
          <w:color w:val="000000"/>
          <w:sz w:val="18"/>
        </w:rPr>
        <w:t xml:space="preserve">In accordance with the Uniformed and Overseas Civilian Absentee Voting Act of 1986, 42 U.S.C. § 1973ff, </w:t>
      </w:r>
      <w:r>
        <w:rPr>
          <w:rFonts w:ascii="Arial" w:eastAsia="Arial" w:hAnsi="Arial" w:cs="Arial"/>
          <w:i/>
          <w:color w:val="000000"/>
          <w:sz w:val="18"/>
        </w:rPr>
        <w:t>et seq.</w:t>
      </w:r>
      <w:r>
        <w:rPr>
          <w:rFonts w:ascii="Arial" w:eastAsia="Arial" w:hAnsi="Arial" w:cs="Arial"/>
          <w:color w:val="000000"/>
          <w:sz w:val="18"/>
        </w:rPr>
        <w:t xml:space="preserve">, military personnel and overseas civilians may vote via email. This section was editorially reclassified to 52 U.S.C. § 20301, </w:t>
      </w:r>
      <w:r>
        <w:rPr>
          <w:rFonts w:ascii="Arial" w:eastAsia="Arial" w:hAnsi="Arial" w:cs="Arial"/>
          <w:i/>
          <w:color w:val="000000"/>
          <w:sz w:val="18"/>
        </w:rPr>
        <w:t>et seq.</w:t>
      </w:r>
      <w:r>
        <w:rPr>
          <w:rFonts w:ascii="Arial" w:eastAsia="Arial" w:hAnsi="Arial" w:cs="Arial"/>
          <w:color w:val="000000"/>
          <w:sz w:val="18"/>
        </w:rPr>
        <w:t>, and made part of the Voting Assistance and Election Administration.</w:t>
      </w:r>
    </w:p>
  </w:footnote>
  <w:footnote w:id="257">
    <w:p w:rsidR="00E456CD" w:rsidRDefault="00000000">
      <w:pPr>
        <w:pStyle w:val="Normal37"/>
        <w:widowControl w:val="0"/>
        <w:spacing w:before="120" w:line="240" w:lineRule="atLeast"/>
        <w:jc w:val="both"/>
      </w:pPr>
      <w:r>
        <w:rPr>
          <w:rFonts w:ascii="Arial" w:eastAsia="Arial" w:hAnsi="Arial" w:cs="Arial"/>
          <w:color w:val="000000"/>
          <w:sz w:val="18"/>
          <w:vertAlign w:val="superscript"/>
        </w:rPr>
        <w:t>2 </w:t>
      </w:r>
      <w:bookmarkStart w:id="5802" w:name="Bookmark_fnpara_2_25"/>
      <w:bookmarkEnd w:id="5802"/>
      <w:r>
        <w:rPr>
          <w:rFonts w:ascii="Arial" w:eastAsia="Arial" w:hAnsi="Arial" w:cs="Arial"/>
          <w:color w:val="000000"/>
          <w:sz w:val="18"/>
        </w:rPr>
        <w:t>Plaintiff also complained about Ohio's voter website, which the district court resolved in plaintiffs' favor by way of a permanent injunction, and which neither party has appealed. Accordingly, the absentee voting claim is the only one before us.</w:t>
      </w:r>
    </w:p>
  </w:footnote>
  <w:footnote w:id="258">
    <w:p w:rsidR="00E456CD" w:rsidRDefault="00000000">
      <w:pPr>
        <w:pStyle w:val="Normal37"/>
        <w:widowControl w:val="0"/>
        <w:spacing w:before="200" w:line="240" w:lineRule="atLeast"/>
        <w:jc w:val="both"/>
      </w:pPr>
      <w:r>
        <w:rPr>
          <w:rFonts w:ascii="Arial" w:eastAsia="Arial" w:hAnsi="Arial" w:cs="Arial"/>
          <w:color w:val="000000"/>
          <w:sz w:val="18"/>
          <w:vertAlign w:val="superscript"/>
        </w:rPr>
        <w:t>3 </w:t>
      </w:r>
      <w:bookmarkStart w:id="5829" w:name="Bookmark_fnpara_3_21"/>
      <w:bookmarkStart w:id="5830" w:name="Bookmark_LNHNREFclscc3_29"/>
      <w:bookmarkEnd w:id="5829"/>
      <w:bookmarkEnd w:id="5830"/>
      <w:r>
        <w:rPr>
          <w:rFonts w:ascii="Arial" w:eastAsia="Arial" w:hAnsi="Arial" w:cs="Arial"/>
          <w:color w:val="000000"/>
          <w:sz w:val="18"/>
        </w:rPr>
        <w:t xml:space="preserve">Within the ADA, Congress granted the Attorney General the authority to promulgate regulations necessary to its implementation, 42 U.S.C. § 12134(a), which "are entitled to 'controlling weight, unless they are arbitrary, capricious, or manifestly contrary to the statute.'" </w:t>
      </w:r>
      <w:bookmarkStart w:id="5831" w:name="Bookmark_I5R4G3V52HM6510030000400"/>
      <w:bookmarkEnd w:id="5831"/>
      <w:r>
        <w:rPr>
          <w:rFonts w:ascii="Arial" w:eastAsia="Arial" w:hAnsi="Arial" w:cs="Arial"/>
          <w:i/>
          <w:color w:val="000000"/>
          <w:sz w:val="18"/>
        </w:rPr>
        <w:t>Johnson v. City of Saline</w:t>
      </w:r>
      <w:r>
        <w:rPr>
          <w:rFonts w:ascii="Arial" w:eastAsia="Arial" w:hAnsi="Arial" w:cs="Arial"/>
          <w:color w:val="000000"/>
          <w:sz w:val="18"/>
        </w:rPr>
        <w:t xml:space="preserve">, 151 F.3d 564, 570 (6th Cir. 1998) (quoting </w:t>
      </w:r>
      <w:bookmarkStart w:id="5832" w:name="Bookmark_I5R4G3V52HM6510050000400"/>
      <w:bookmarkEnd w:id="5832"/>
      <w:r>
        <w:rPr>
          <w:rFonts w:ascii="Arial" w:eastAsia="Arial" w:hAnsi="Arial" w:cs="Arial"/>
          <w:i/>
          <w:color w:val="000000"/>
          <w:sz w:val="18"/>
        </w:rPr>
        <w:t>Chevron, U.S.A., Inc. v. Nat. Res. Def. Council, Inc.</w:t>
      </w:r>
      <w:r>
        <w:rPr>
          <w:rFonts w:ascii="Arial" w:eastAsia="Arial" w:hAnsi="Arial" w:cs="Arial"/>
          <w:color w:val="000000"/>
          <w:sz w:val="18"/>
        </w:rPr>
        <w:t>, 467 U.S. 837, 843-44, 104 S. Ct. 2778, 81 L. Ed. 2d 694 (1984)).</w:t>
      </w:r>
    </w:p>
  </w:footnote>
  <w:footnote w:id="259">
    <w:p w:rsidR="00E456CD" w:rsidRDefault="00000000">
      <w:pPr>
        <w:pStyle w:val="Normal37"/>
        <w:widowControl w:val="0"/>
        <w:spacing w:before="120" w:line="240" w:lineRule="atLeast"/>
        <w:jc w:val="both"/>
      </w:pPr>
      <w:r>
        <w:rPr>
          <w:rFonts w:ascii="Arial" w:eastAsia="Arial" w:hAnsi="Arial" w:cs="Arial"/>
          <w:color w:val="000000"/>
          <w:sz w:val="18"/>
          <w:vertAlign w:val="superscript"/>
        </w:rPr>
        <w:t>4 </w:t>
      </w:r>
      <w:bookmarkStart w:id="5867" w:name="Bookmark_fnpara_4_19"/>
      <w:bookmarkEnd w:id="5867"/>
      <w:r>
        <w:rPr>
          <w:rFonts w:ascii="Arial" w:eastAsia="Arial" w:hAnsi="Arial" w:cs="Arial"/>
          <w:color w:val="000000"/>
          <w:sz w:val="18"/>
        </w:rPr>
        <w:t>In its entirety, Ohio Rev. Code § 3506.05(C)(1) provides:</w:t>
      </w:r>
    </w:p>
    <w:p w:rsidR="00E456CD" w:rsidRDefault="00000000">
      <w:pPr>
        <w:pStyle w:val="Normal37"/>
        <w:widowControl w:val="0"/>
        <w:spacing w:before="200" w:line="240" w:lineRule="atLeast"/>
        <w:ind w:left="400"/>
        <w:jc w:val="both"/>
      </w:pPr>
      <w:bookmarkStart w:id="5868" w:name="Bookmark_para_22_22"/>
      <w:bookmarkEnd w:id="5868"/>
      <w:r>
        <w:rPr>
          <w:rFonts w:ascii="Arial" w:eastAsia="Arial" w:hAnsi="Arial" w:cs="Arial"/>
          <w:color w:val="000000"/>
          <w:sz w:val="18"/>
        </w:rPr>
        <w:t>A vendor who desires [**12]  to have the secretary of state certify equipment shall first submit the equipment, all current related procedural manuals, and a current description of all related support arrangements to the board of voting machine examiners for examination, testing, and approval. The submission shall be accompanied by a fee of two thousand four hundred dollars and a detailed explanation of the construction and method of operation of the equipment, a full statement of its advantages, and a list of the patents and copyrights used in operations essential to the processes of vote recording and tabulating, vote storage, system security, pollbook storage and security, and other crucial operations of the equipment as may be determined by the board. An additional fee, in an amount to be set by rules promulgated by the board, may be imposed to pay for the costs of alternative testing or testing by persons other than board members, record-keeping, and other extraordinary costs incurred in the examination process. Moneys not used shall be returned to the person or entity submitting the equipment for examination.</w:t>
      </w:r>
    </w:p>
    <w:p w:rsidR="00E456CD" w:rsidRDefault="00000000">
      <w:pPr>
        <w:pStyle w:val="Normal37"/>
        <w:widowControl w:val="0"/>
        <w:spacing w:before="200" w:line="240" w:lineRule="atLeast"/>
        <w:jc w:val="both"/>
      </w:pPr>
      <w:r>
        <w:rPr>
          <w:rFonts w:ascii="Arial" w:eastAsia="Arial" w:hAnsi="Arial" w:cs="Arial"/>
          <w:i/>
          <w:color w:val="000000"/>
          <w:sz w:val="18"/>
        </w:rPr>
        <w:t>See also</w:t>
      </w:r>
      <w:r>
        <w:rPr>
          <w:rFonts w:ascii="Arial" w:eastAsia="Arial" w:hAnsi="Arial" w:cs="Arial"/>
          <w:color w:val="000000"/>
          <w:sz w:val="18"/>
        </w:rPr>
        <w:t xml:space="preserve"> § 3506.05(H)(1) ("The guidelines shall establish procedures requiring vendors or computer software developers to place in escrow with an independent escrow agent approved by the secretary of state a copy of all source code and related documentation, together with periodic updates as they become known or available.").</w:t>
      </w:r>
    </w:p>
  </w:footnote>
  <w:footnote w:id="260">
    <w:p w:rsidR="00E456CD" w:rsidRDefault="00000000">
      <w:pPr>
        <w:pStyle w:val="Normal39"/>
        <w:widowControl w:val="0"/>
        <w:spacing w:before="200" w:line="240" w:lineRule="atLeast"/>
        <w:jc w:val="both"/>
      </w:pPr>
      <w:r>
        <w:rPr>
          <w:rFonts w:ascii="Arial" w:eastAsia="Arial" w:hAnsi="Arial" w:cs="Arial"/>
          <w:color w:val="000000"/>
          <w:sz w:val="18"/>
          <w:vertAlign w:val="superscript"/>
        </w:rPr>
        <w:t>* </w:t>
      </w:r>
      <w:bookmarkStart w:id="5919" w:name="Bookmark_fnpara_1_33"/>
      <w:bookmarkEnd w:id="5919"/>
      <w:r>
        <w:rPr>
          <w:rFonts w:ascii="Arial" w:eastAsia="Arial" w:hAnsi="Arial" w:cs="Arial"/>
          <w:color w:val="000000"/>
          <w:sz w:val="18"/>
        </w:rPr>
        <w:t xml:space="preserve">This order and judgment is not binding precedent except under the doctrines of law of the case, res judicata, and collateral estoppel. It may be cited, however, for its persuasive value consistent with </w:t>
      </w:r>
      <w:r>
        <w:rPr>
          <w:rFonts w:ascii="Arial" w:eastAsia="Arial" w:hAnsi="Arial" w:cs="Arial"/>
          <w:smallCaps/>
          <w:color w:val="000000"/>
          <w:sz w:val="18"/>
        </w:rPr>
        <w:t>Fed. R. App. P.</w:t>
      </w:r>
      <w:r>
        <w:rPr>
          <w:rFonts w:ascii="Arial" w:eastAsia="Arial" w:hAnsi="Arial" w:cs="Arial"/>
          <w:color w:val="000000"/>
          <w:sz w:val="18"/>
        </w:rPr>
        <w:t xml:space="preserve"> 32.1 and </w:t>
      </w:r>
      <w:r>
        <w:rPr>
          <w:rFonts w:ascii="Arial" w:eastAsia="Arial" w:hAnsi="Arial" w:cs="Arial"/>
          <w:smallCaps/>
          <w:color w:val="000000"/>
          <w:sz w:val="18"/>
        </w:rPr>
        <w:t>10th Cir. R.</w:t>
      </w:r>
      <w:r>
        <w:rPr>
          <w:rFonts w:ascii="Arial" w:eastAsia="Arial" w:hAnsi="Arial" w:cs="Arial"/>
          <w:color w:val="000000"/>
          <w:sz w:val="18"/>
        </w:rPr>
        <w:t xml:space="preserve"> 32.1.</w:t>
      </w:r>
    </w:p>
  </w:footnote>
  <w:footnote w:id="261">
    <w:p w:rsidR="00E456CD" w:rsidRDefault="00000000">
      <w:pPr>
        <w:pStyle w:val="Normal39"/>
        <w:widowControl w:val="0"/>
        <w:spacing w:before="200" w:line="240" w:lineRule="atLeast"/>
        <w:jc w:val="both"/>
      </w:pPr>
      <w:r>
        <w:rPr>
          <w:rFonts w:ascii="Arial" w:eastAsia="Arial" w:hAnsi="Arial" w:cs="Arial"/>
          <w:color w:val="000000"/>
          <w:sz w:val="18"/>
          <w:vertAlign w:val="superscript"/>
        </w:rPr>
        <w:t>1 </w:t>
      </w:r>
      <w:bookmarkStart w:id="5923" w:name="Bookmark_fnpara_2_26"/>
      <w:bookmarkEnd w:id="5923"/>
      <w:r>
        <w:rPr>
          <w:rFonts w:ascii="Arial" w:eastAsia="Arial" w:hAnsi="Arial" w:cs="Arial"/>
          <w:color w:val="000000"/>
          <w:sz w:val="18"/>
        </w:rPr>
        <w:t xml:space="preserve">This is a qualified-immunity case decided at the summary-judgment phase, so we accept the plaintiff's version of the facts, so long as those facts have some support in the record. </w:t>
      </w:r>
      <w:r>
        <w:rPr>
          <w:rFonts w:ascii="Arial" w:eastAsia="Arial" w:hAnsi="Arial" w:cs="Arial"/>
          <w:i/>
          <w:color w:val="000000"/>
          <w:sz w:val="18"/>
        </w:rPr>
        <w:t xml:space="preserve">See, e.g., </w:t>
      </w:r>
      <w:bookmarkStart w:id="5924" w:name="Bookmark_I5PV58Y22HM6JX0010000400"/>
      <w:bookmarkEnd w:id="5924"/>
      <w:r>
        <w:rPr>
          <w:rFonts w:ascii="Arial" w:eastAsia="Arial" w:hAnsi="Arial" w:cs="Arial"/>
          <w:i/>
          <w:color w:val="000000"/>
          <w:sz w:val="18"/>
        </w:rPr>
        <w:t>Thomson v. Salt Lake City</w:t>
      </w:r>
      <w:r>
        <w:rPr>
          <w:rFonts w:ascii="Arial" w:eastAsia="Arial" w:hAnsi="Arial" w:cs="Arial"/>
          <w:color w:val="000000"/>
          <w:sz w:val="18"/>
        </w:rPr>
        <w:t xml:space="preserve">, 584 F.3d 1304, 1312 (10th Cir. 2009); </w:t>
      </w:r>
      <w:bookmarkStart w:id="5925" w:name="Bookmark_I5PV58Y22HM6JX0030000400"/>
      <w:bookmarkEnd w:id="5925"/>
      <w:r>
        <w:rPr>
          <w:rFonts w:ascii="Arial" w:eastAsia="Arial" w:hAnsi="Arial" w:cs="Arial"/>
          <w:i/>
          <w:color w:val="000000"/>
          <w:sz w:val="18"/>
        </w:rPr>
        <w:t>Riggins v. Goodman</w:t>
      </w:r>
      <w:r>
        <w:rPr>
          <w:rFonts w:ascii="Arial" w:eastAsia="Arial" w:hAnsi="Arial" w:cs="Arial"/>
          <w:color w:val="000000"/>
          <w:sz w:val="18"/>
        </w:rPr>
        <w:t>, 572 F.3d 1101, 1107 (10th Cir. 2009).</w:t>
      </w:r>
    </w:p>
  </w:footnote>
  <w:footnote w:id="262">
    <w:p w:rsidR="00E456CD" w:rsidRDefault="00000000">
      <w:pPr>
        <w:pStyle w:val="Normal39"/>
        <w:widowControl w:val="0"/>
        <w:spacing w:before="120" w:line="240" w:lineRule="atLeast"/>
        <w:jc w:val="both"/>
      </w:pPr>
      <w:r>
        <w:rPr>
          <w:rFonts w:ascii="Arial" w:eastAsia="Arial" w:hAnsi="Arial" w:cs="Arial"/>
          <w:color w:val="000000"/>
          <w:sz w:val="18"/>
          <w:vertAlign w:val="superscript"/>
        </w:rPr>
        <w:t>2 </w:t>
      </w:r>
      <w:bookmarkStart w:id="5926" w:name="Bookmark_fnpara_3_22"/>
      <w:bookmarkEnd w:id="5926"/>
      <w:r>
        <w:rPr>
          <w:rFonts w:ascii="Arial" w:eastAsia="Arial" w:hAnsi="Arial" w:cs="Arial"/>
          <w:color w:val="000000"/>
          <w:sz w:val="18"/>
        </w:rPr>
        <w:t>Though a minor at the time of his arrest, Quentin is apparently "now an adult." Aplt.'s App. at 306 (Dist. Ct. Order, dated Aug. 17, 2015). In his appellate briefing, his counsel refers to the plaintiff simply by his last name, "Scott"; thus, hereinafter, so do we. To avoid any possible confusion, we refer to Scott's mother, Charlotte Scott, by her full name.</w:t>
      </w:r>
    </w:p>
  </w:footnote>
  <w:footnote w:id="263">
    <w:p w:rsidR="00E456CD" w:rsidRDefault="00000000">
      <w:pPr>
        <w:pStyle w:val="Normal39"/>
        <w:widowControl w:val="0"/>
        <w:spacing w:before="200" w:line="240" w:lineRule="atLeast"/>
        <w:jc w:val="both"/>
      </w:pPr>
      <w:r>
        <w:rPr>
          <w:rFonts w:ascii="Arial" w:eastAsia="Arial" w:hAnsi="Arial" w:cs="Arial"/>
          <w:color w:val="000000"/>
          <w:sz w:val="18"/>
          <w:vertAlign w:val="superscript"/>
        </w:rPr>
        <w:t>3 </w:t>
      </w:r>
      <w:bookmarkStart w:id="5931" w:name="Bookmark_fnpara_4_20"/>
      <w:bookmarkEnd w:id="5931"/>
      <w:r>
        <w:rPr>
          <w:rFonts w:ascii="Arial" w:eastAsia="Arial" w:hAnsi="Arial" w:cs="Arial"/>
          <w:color w:val="000000"/>
          <w:sz w:val="18"/>
        </w:rPr>
        <w:t xml:space="preserve">It is unclear what Ms. Griego said, or whether Scott heard her. Officer Hensley testified that Ms. Griego stopped Scott and asked him why he was in the hallway, and the Incident Report notes that Scott told Ms. Griego that he was helping the janitors. </w:t>
      </w:r>
      <w:bookmarkStart w:id="5932" w:name="Bookmark_I5PV58Y22HM6JY0010000400"/>
      <w:bookmarkEnd w:id="5932"/>
      <w:r>
        <w:rPr>
          <w:rFonts w:ascii="Arial" w:eastAsia="Arial" w:hAnsi="Arial" w:cs="Arial"/>
          <w:color w:val="000000"/>
          <w:sz w:val="18"/>
        </w:rPr>
        <w:t xml:space="preserve">Yet Scott testified that if Ms. Griego "yelled at [him]," he "just didn't hear her," and that he "never talked to anybody on that walk" to the janitor's office. Aplt.'s App. at 206. We accept Scott's version of the facts as true, as we must. </w:t>
      </w:r>
      <w:r>
        <w:rPr>
          <w:rFonts w:ascii="Arial" w:eastAsia="Arial" w:hAnsi="Arial" w:cs="Arial"/>
          <w:i/>
          <w:color w:val="000000"/>
          <w:sz w:val="18"/>
        </w:rPr>
        <w:t xml:space="preserve">See </w:t>
      </w:r>
      <w:bookmarkStart w:id="5933" w:name="Bookmark_I5PV58Y22HM6JX0050000400"/>
      <w:bookmarkEnd w:id="5933"/>
      <w:r>
        <w:rPr>
          <w:rFonts w:ascii="Arial" w:eastAsia="Arial" w:hAnsi="Arial" w:cs="Arial"/>
          <w:i/>
          <w:color w:val="000000"/>
          <w:sz w:val="18"/>
        </w:rPr>
        <w:t>Thomson</w:t>
      </w:r>
      <w:r>
        <w:rPr>
          <w:rFonts w:ascii="Arial" w:eastAsia="Arial" w:hAnsi="Arial" w:cs="Arial"/>
          <w:color w:val="000000"/>
          <w:sz w:val="18"/>
        </w:rPr>
        <w:t xml:space="preserve">, 584 F.3d at 1312; </w:t>
      </w:r>
      <w:bookmarkStart w:id="5934" w:name="Bookmark_I5PV58Y22HM6JY0020000400"/>
      <w:bookmarkEnd w:id="5934"/>
      <w:r>
        <w:rPr>
          <w:rFonts w:ascii="Arial" w:eastAsia="Arial" w:hAnsi="Arial" w:cs="Arial"/>
          <w:i/>
          <w:color w:val="000000"/>
          <w:sz w:val="18"/>
        </w:rPr>
        <w:t>Riggins</w:t>
      </w:r>
      <w:r>
        <w:rPr>
          <w:rFonts w:ascii="Arial" w:eastAsia="Arial" w:hAnsi="Arial" w:cs="Arial"/>
          <w:color w:val="000000"/>
          <w:sz w:val="18"/>
        </w:rPr>
        <w:t>, 572 F.3d at 1107.</w:t>
      </w:r>
    </w:p>
  </w:footnote>
  <w:footnote w:id="264">
    <w:p w:rsidR="00E456CD" w:rsidRDefault="00000000">
      <w:pPr>
        <w:pStyle w:val="Normal39"/>
        <w:widowControl w:val="0"/>
        <w:spacing w:before="200" w:line="240" w:lineRule="atLeast"/>
        <w:jc w:val="both"/>
      </w:pPr>
      <w:r>
        <w:rPr>
          <w:rFonts w:ascii="Arial" w:eastAsia="Arial" w:hAnsi="Arial" w:cs="Arial"/>
          <w:color w:val="000000"/>
          <w:sz w:val="18"/>
          <w:vertAlign w:val="superscript"/>
        </w:rPr>
        <w:t>4 </w:t>
      </w:r>
      <w:bookmarkStart w:id="5940" w:name="Bookmark_fnpara_5_16"/>
      <w:bookmarkEnd w:id="5940"/>
      <w:r>
        <w:rPr>
          <w:rFonts w:ascii="Arial" w:eastAsia="Arial" w:hAnsi="Arial" w:cs="Arial"/>
          <w:color w:val="000000"/>
          <w:sz w:val="18"/>
        </w:rPr>
        <w:t xml:space="preserve">Charlotte Scott, Scott's mother, testified that she remembered seeing red marks and bruising on his wrists. She said that "you could absolutely see the handcuff [indentation] and the bruising like around it." </w:t>
      </w:r>
      <w:r>
        <w:rPr>
          <w:rFonts w:ascii="Arial" w:eastAsia="Arial" w:hAnsi="Arial" w:cs="Arial"/>
          <w:i/>
          <w:color w:val="000000"/>
          <w:sz w:val="18"/>
        </w:rPr>
        <w:t>Id.</w:t>
      </w:r>
      <w:r>
        <w:rPr>
          <w:rFonts w:ascii="Arial" w:eastAsia="Arial" w:hAnsi="Arial" w:cs="Arial"/>
          <w:color w:val="000000"/>
          <w:sz w:val="18"/>
        </w:rPr>
        <w:t xml:space="preserve"> at 210. But she acknowledged that Scott suffered no permanent injuries and did not see a doctor about the injuries. </w:t>
      </w:r>
      <w:r>
        <w:rPr>
          <w:rFonts w:ascii="Arial" w:eastAsia="Arial" w:hAnsi="Arial" w:cs="Arial"/>
          <w:i/>
          <w:color w:val="000000"/>
          <w:sz w:val="18"/>
        </w:rPr>
        <w:t>Id.</w:t>
      </w:r>
      <w:r>
        <w:rPr>
          <w:rFonts w:ascii="Arial" w:eastAsia="Arial" w:hAnsi="Arial" w:cs="Arial"/>
          <w:color w:val="000000"/>
          <w:sz w:val="18"/>
        </w:rPr>
        <w:t xml:space="preserve"> at 210, 269.</w:t>
      </w:r>
    </w:p>
  </w:footnote>
  <w:footnote w:id="265">
    <w:p w:rsidR="00E456CD" w:rsidRDefault="00000000">
      <w:pPr>
        <w:pStyle w:val="Normal39"/>
        <w:widowControl w:val="0"/>
        <w:spacing w:before="120" w:line="240" w:lineRule="atLeast"/>
        <w:jc w:val="both"/>
      </w:pPr>
      <w:r>
        <w:rPr>
          <w:rFonts w:ascii="Arial" w:eastAsia="Arial" w:hAnsi="Arial" w:cs="Arial"/>
          <w:color w:val="000000"/>
          <w:sz w:val="18"/>
          <w:vertAlign w:val="superscript"/>
        </w:rPr>
        <w:t>5 </w:t>
      </w:r>
      <w:bookmarkStart w:id="5943" w:name="Bookmark_fnpara_6_12"/>
      <w:bookmarkEnd w:id="5943"/>
      <w:r>
        <w:rPr>
          <w:rFonts w:ascii="Arial" w:eastAsia="Arial" w:hAnsi="Arial" w:cs="Arial"/>
          <w:color w:val="000000"/>
          <w:sz w:val="18"/>
        </w:rPr>
        <w:t>Scott also brought claims against Officer Hensley for violations of procedural and substantive due process, state tort law, and the New Mexico state constitution. However, he only appeals from the district court's rulings on his Fourth Amendment claims, his ADA claim, and his municipal-liability claim.</w:t>
      </w:r>
    </w:p>
  </w:footnote>
  <w:footnote w:id="266">
    <w:p w:rsidR="00E456CD" w:rsidRDefault="00000000">
      <w:pPr>
        <w:pStyle w:val="Normal39"/>
        <w:widowControl w:val="0"/>
        <w:spacing w:before="200" w:line="240" w:lineRule="atLeast"/>
        <w:jc w:val="both"/>
      </w:pPr>
      <w:r>
        <w:rPr>
          <w:rFonts w:ascii="Arial" w:eastAsia="Arial" w:hAnsi="Arial" w:cs="Arial"/>
          <w:color w:val="000000"/>
          <w:sz w:val="18"/>
          <w:vertAlign w:val="superscript"/>
        </w:rPr>
        <w:t>6 </w:t>
      </w:r>
      <w:bookmarkStart w:id="6016" w:name="Bookmark_fnpara_7_11"/>
      <w:bookmarkStart w:id="6017" w:name="Bookmark_I5PV58Y22N1PMH0020000400"/>
      <w:bookmarkStart w:id="6018" w:name="Bookmark_I5PV58Y22N1PMH0040000400"/>
      <w:bookmarkEnd w:id="6016"/>
      <w:bookmarkEnd w:id="6017"/>
      <w:bookmarkEnd w:id="6018"/>
      <w:r>
        <w:rPr>
          <w:rFonts w:ascii="Arial" w:eastAsia="Arial" w:hAnsi="Arial" w:cs="Arial"/>
          <w:color w:val="000000"/>
          <w:sz w:val="18"/>
        </w:rPr>
        <w:t xml:space="preserve">In </w:t>
      </w:r>
      <w:r>
        <w:rPr>
          <w:rFonts w:ascii="Arial" w:eastAsia="Arial" w:hAnsi="Arial" w:cs="Arial"/>
          <w:i/>
          <w:color w:val="000000"/>
          <w:sz w:val="18"/>
        </w:rPr>
        <w:t>Heien</w:t>
      </w:r>
      <w:r>
        <w:rPr>
          <w:rFonts w:ascii="Arial" w:eastAsia="Arial" w:hAnsi="Arial" w:cs="Arial"/>
          <w:color w:val="000000"/>
          <w:sz w:val="18"/>
        </w:rPr>
        <w:t xml:space="preserve">, in a traffic-stop scenario where reasonable suspicion is ordinarily required, the Supreme Court held that "because [the officer's] mistake of law was reasonable, there was reasonable suspicion justifying the stop." </w:t>
      </w:r>
      <w:bookmarkStart w:id="6019" w:name="Bookmark_I5PV58Y22N1PMH0010000400"/>
      <w:bookmarkEnd w:id="6019"/>
      <w:r>
        <w:rPr>
          <w:rFonts w:ascii="Arial" w:eastAsia="Arial" w:hAnsi="Arial" w:cs="Arial"/>
          <w:color w:val="000000"/>
          <w:sz w:val="18"/>
        </w:rPr>
        <w:t xml:space="preserve">135 S. Ct. at 540. The Court explained that its mistake-of-law holding does not relate to the appropriate remedy for a constitutional violation. </w:t>
      </w:r>
      <w:r>
        <w:rPr>
          <w:rFonts w:ascii="Arial" w:eastAsia="Arial" w:hAnsi="Arial" w:cs="Arial"/>
          <w:i/>
          <w:color w:val="000000"/>
          <w:sz w:val="18"/>
        </w:rPr>
        <w:t xml:space="preserve">See </w:t>
      </w:r>
      <w:bookmarkStart w:id="6020" w:name="Bookmark_I5PV58Y22N1PMH0030000400"/>
      <w:bookmarkEnd w:id="6020"/>
      <w:r>
        <w:rPr>
          <w:rFonts w:ascii="Arial" w:eastAsia="Arial" w:hAnsi="Arial" w:cs="Arial"/>
          <w:i/>
          <w:color w:val="000000"/>
          <w:sz w:val="18"/>
        </w:rPr>
        <w:t>id.</w:t>
      </w:r>
      <w:r>
        <w:rPr>
          <w:rFonts w:ascii="Arial" w:eastAsia="Arial" w:hAnsi="Arial" w:cs="Arial"/>
          <w:color w:val="000000"/>
          <w:sz w:val="18"/>
        </w:rPr>
        <w:t xml:space="preserve"> at 539. "[B]y contrast, the mistake of law relates to the antecedent question of whether it was reasonable for an officer to suspect that the defendant's conduct was illegal. </w:t>
      </w:r>
      <w:bookmarkStart w:id="6021" w:name="Bookmark_I3WXY41X27300079WNY003SW"/>
      <w:bookmarkStart w:id="6022" w:name="Bookmark_I5PV58Y22HM6K20010000400"/>
      <w:bookmarkEnd w:id="6021"/>
      <w:bookmarkEnd w:id="6022"/>
      <w:r>
        <w:rPr>
          <w:rFonts w:ascii="Arial" w:eastAsia="Arial" w:hAnsi="Arial" w:cs="Arial"/>
          <w:color w:val="000000"/>
          <w:sz w:val="18"/>
        </w:rPr>
        <w:t xml:space="preserve">If so, there was no violation of the Fourth Amendment in the first place." </w:t>
      </w:r>
      <w:r>
        <w:rPr>
          <w:rFonts w:ascii="Arial" w:eastAsia="Arial" w:hAnsi="Arial" w:cs="Arial"/>
          <w:i/>
          <w:color w:val="000000"/>
          <w:sz w:val="18"/>
        </w:rPr>
        <w:t>Id.</w:t>
      </w:r>
      <w:r>
        <w:rPr>
          <w:rFonts w:ascii="Arial" w:eastAsia="Arial" w:hAnsi="Arial" w:cs="Arial"/>
          <w:color w:val="000000"/>
          <w:sz w:val="18"/>
        </w:rPr>
        <w:t xml:space="preserve"> Though Officer Hensley does not cite </w:t>
      </w:r>
      <w:r>
        <w:rPr>
          <w:rFonts w:ascii="Arial" w:eastAsia="Arial" w:hAnsi="Arial" w:cs="Arial"/>
          <w:i/>
          <w:color w:val="000000"/>
          <w:sz w:val="18"/>
        </w:rPr>
        <w:t>Heien</w:t>
      </w:r>
      <w:r>
        <w:rPr>
          <w:rFonts w:ascii="Arial" w:eastAsia="Arial" w:hAnsi="Arial" w:cs="Arial"/>
          <w:color w:val="000000"/>
          <w:sz w:val="18"/>
        </w:rPr>
        <w:t xml:space="preserve"> or contend that he committed a mistake of law in arresting (i.e., seizing) Scott, assuming </w:t>
      </w:r>
      <w:r>
        <w:rPr>
          <w:rFonts w:ascii="Arial" w:eastAsia="Arial" w:hAnsi="Arial" w:cs="Arial"/>
          <w:i/>
          <w:color w:val="000000"/>
          <w:sz w:val="18"/>
        </w:rPr>
        <w:t>arguendo</w:t>
      </w:r>
      <w:r>
        <w:rPr>
          <w:rFonts w:ascii="Arial" w:eastAsia="Arial" w:hAnsi="Arial" w:cs="Arial"/>
          <w:color w:val="000000"/>
          <w:sz w:val="18"/>
        </w:rPr>
        <w:t xml:space="preserve"> that </w:t>
      </w:r>
      <w:r>
        <w:rPr>
          <w:rFonts w:ascii="Arial" w:eastAsia="Arial" w:hAnsi="Arial" w:cs="Arial"/>
          <w:i/>
          <w:color w:val="000000"/>
          <w:sz w:val="18"/>
        </w:rPr>
        <w:t>Heien</w:t>
      </w:r>
      <w:r>
        <w:rPr>
          <w:rFonts w:ascii="Arial" w:eastAsia="Arial" w:hAnsi="Arial" w:cs="Arial"/>
          <w:color w:val="000000"/>
          <w:sz w:val="18"/>
        </w:rPr>
        <w:t>'s principles apply with full force to Fourth Amendment seizures resulting in arrests, and not just traffic stops, we believe two observations may clarify the course of our analysis.</w:t>
      </w:r>
    </w:p>
    <w:p w:rsidR="00E456CD" w:rsidRDefault="00000000">
      <w:pPr>
        <w:pStyle w:val="Normal39"/>
        <w:widowControl w:val="0"/>
        <w:spacing w:before="200" w:line="240" w:lineRule="atLeast"/>
        <w:jc w:val="both"/>
      </w:pPr>
      <w:bookmarkStart w:id="6023" w:name="Bookmark_fnpara_8_11"/>
      <w:bookmarkStart w:id="6024" w:name="Bookmark_I5PV58Y22HM6K20010000400_2"/>
      <w:bookmarkStart w:id="6025" w:name="Bookmark_I5PV58Y22D6NV60020000400"/>
      <w:bookmarkEnd w:id="6023"/>
      <w:bookmarkEnd w:id="6024"/>
      <w:bookmarkEnd w:id="6025"/>
      <w:r>
        <w:rPr>
          <w:rFonts w:ascii="Arial" w:eastAsia="Arial" w:hAnsi="Arial" w:cs="Arial"/>
          <w:i/>
          <w:color w:val="000000"/>
          <w:sz w:val="18"/>
        </w:rPr>
        <w:t>First</w:t>
      </w:r>
      <w:r>
        <w:rPr>
          <w:rFonts w:ascii="Arial" w:eastAsia="Arial" w:hAnsi="Arial" w:cs="Arial"/>
          <w:color w:val="000000"/>
          <w:sz w:val="18"/>
        </w:rPr>
        <w:t xml:space="preserve">, the </w:t>
      </w:r>
      <w:r>
        <w:rPr>
          <w:rFonts w:ascii="Arial" w:eastAsia="Arial" w:hAnsi="Arial" w:cs="Arial"/>
          <w:i/>
          <w:color w:val="000000"/>
          <w:sz w:val="18"/>
        </w:rPr>
        <w:t>Heien</w:t>
      </w:r>
      <w:r>
        <w:rPr>
          <w:rFonts w:ascii="Arial" w:eastAsia="Arial" w:hAnsi="Arial" w:cs="Arial"/>
          <w:color w:val="000000"/>
          <w:sz w:val="18"/>
        </w:rPr>
        <w:t xml:space="preserve"> majority stressed that "[t]he Fourth Amendment tolerates only </w:t>
      </w:r>
      <w:r>
        <w:rPr>
          <w:rFonts w:ascii="Arial" w:eastAsia="Arial" w:hAnsi="Arial" w:cs="Arial"/>
          <w:i/>
          <w:color w:val="000000"/>
          <w:sz w:val="18"/>
        </w:rPr>
        <w:t>reasonable</w:t>
      </w:r>
      <w:r>
        <w:rPr>
          <w:rFonts w:ascii="Arial" w:eastAsia="Arial" w:hAnsi="Arial" w:cs="Arial"/>
          <w:color w:val="000000"/>
          <w:sz w:val="18"/>
        </w:rPr>
        <w:t xml:space="preserve"> mistakes," </w:t>
      </w:r>
      <w:bookmarkStart w:id="6026" w:name="Bookmark_I5PV58Y22N1PMH0050000400"/>
      <w:bookmarkEnd w:id="6026"/>
      <w:r>
        <w:rPr>
          <w:rFonts w:ascii="Arial" w:eastAsia="Arial" w:hAnsi="Arial" w:cs="Arial"/>
          <w:i/>
          <w:color w:val="000000"/>
          <w:sz w:val="18"/>
        </w:rPr>
        <w:t>id.</w:t>
      </w:r>
      <w:r>
        <w:rPr>
          <w:rFonts w:ascii="Arial" w:eastAsia="Arial" w:hAnsi="Arial" w:cs="Arial"/>
          <w:color w:val="000000"/>
          <w:sz w:val="18"/>
        </w:rPr>
        <w:t xml:space="preserve"> at 539, and Justice Kagan helpfully elaborated in concurrence that the laws that might be amenable to such mistakes of law are "genuinely ambiguous" and "pose[] a quite difficult question of interpretation" that involves "hard interpretive work," </w:t>
      </w:r>
      <w:bookmarkStart w:id="6027" w:name="Bookmark_I5PV58Y22HM6K20020000400"/>
      <w:bookmarkEnd w:id="6027"/>
      <w:r>
        <w:rPr>
          <w:rFonts w:ascii="Arial" w:eastAsia="Arial" w:hAnsi="Arial" w:cs="Arial"/>
          <w:i/>
          <w:color w:val="000000"/>
          <w:sz w:val="18"/>
        </w:rPr>
        <w:t>id.</w:t>
      </w:r>
      <w:r>
        <w:rPr>
          <w:rFonts w:ascii="Arial" w:eastAsia="Arial" w:hAnsi="Arial" w:cs="Arial"/>
          <w:color w:val="000000"/>
          <w:sz w:val="18"/>
        </w:rPr>
        <w:t xml:space="preserve"> at 541 (Kagan, J., concurring); </w:t>
      </w:r>
      <w:r>
        <w:rPr>
          <w:rFonts w:ascii="Arial" w:eastAsia="Arial" w:hAnsi="Arial" w:cs="Arial"/>
          <w:i/>
          <w:color w:val="000000"/>
          <w:sz w:val="18"/>
        </w:rPr>
        <w:t xml:space="preserve">see also </w:t>
      </w:r>
      <w:bookmarkStart w:id="6028" w:name="Bookmark_I5PV58Y22HM6K20040000400"/>
      <w:bookmarkEnd w:id="6028"/>
      <w:r>
        <w:rPr>
          <w:rFonts w:ascii="Arial" w:eastAsia="Arial" w:hAnsi="Arial" w:cs="Arial"/>
          <w:i/>
          <w:color w:val="000000"/>
          <w:sz w:val="18"/>
        </w:rPr>
        <w:t>United States v. Diaz</w:t>
      </w:r>
      <w:r>
        <w:rPr>
          <w:rFonts w:ascii="Arial" w:eastAsia="Arial" w:hAnsi="Arial" w:cs="Arial"/>
          <w:color w:val="000000"/>
          <w:sz w:val="18"/>
        </w:rPr>
        <w:t xml:space="preserve">, 854 F.3d 197, 204 n.12 (2d Cir. 2017) (noting that "it is only when the legal question is unsettled that an officer's erroneous assessment of the law can be objectively reasonable"). </w:t>
      </w:r>
      <w:bookmarkStart w:id="6029" w:name="Bookmark_I5PV58Y22D6NV60020000400_2"/>
      <w:bookmarkEnd w:id="6029"/>
      <w:r>
        <w:rPr>
          <w:rFonts w:ascii="Arial" w:eastAsia="Arial" w:hAnsi="Arial" w:cs="Arial"/>
          <w:color w:val="000000"/>
          <w:sz w:val="18"/>
        </w:rPr>
        <w:t xml:space="preserve">A panel of our court has similarly viewed </w:t>
      </w:r>
      <w:r>
        <w:rPr>
          <w:rFonts w:ascii="Arial" w:eastAsia="Arial" w:hAnsi="Arial" w:cs="Arial"/>
          <w:i/>
          <w:color w:val="000000"/>
          <w:sz w:val="18"/>
        </w:rPr>
        <w:t>Heien</w:t>
      </w:r>
      <w:r>
        <w:rPr>
          <w:rFonts w:ascii="Arial" w:eastAsia="Arial" w:hAnsi="Arial" w:cs="Arial"/>
          <w:color w:val="000000"/>
          <w:sz w:val="18"/>
        </w:rPr>
        <w:t xml:space="preserve"> as laying down restrictive "ground rules" governing its applicability. </w:t>
      </w:r>
      <w:bookmarkStart w:id="6030" w:name="Bookmark_I5PV58Y22D6NV60040000400"/>
      <w:bookmarkStart w:id="6031" w:name="Bookmark_I5PV58Y22D6NV60010000400"/>
      <w:bookmarkEnd w:id="6030"/>
      <w:bookmarkEnd w:id="6031"/>
      <w:r>
        <w:rPr>
          <w:rFonts w:ascii="Arial" w:eastAsia="Arial" w:hAnsi="Arial" w:cs="Arial"/>
          <w:i/>
          <w:color w:val="000000"/>
          <w:sz w:val="18"/>
        </w:rPr>
        <w:t>United States v. Cunningham</w:t>
      </w:r>
      <w:r>
        <w:rPr>
          <w:rFonts w:ascii="Arial" w:eastAsia="Arial" w:hAnsi="Arial" w:cs="Arial"/>
          <w:color w:val="000000"/>
          <w:sz w:val="18"/>
        </w:rPr>
        <w:t xml:space="preserve">, 630 F. App'x 873, 876 (10th Cir. 2015) (unpublished). </w:t>
      </w:r>
      <w:bookmarkStart w:id="6032" w:name="Bookmark_I5PV58Y22D6NV60040000400_2"/>
      <w:bookmarkEnd w:id="6032"/>
      <w:r>
        <w:rPr>
          <w:rFonts w:ascii="Arial" w:eastAsia="Arial" w:hAnsi="Arial" w:cs="Arial"/>
          <w:color w:val="000000"/>
          <w:sz w:val="18"/>
        </w:rPr>
        <w:t xml:space="preserve">Given our assessment of the unambiguous nature of section 30-20-13(D), even if Officer Hensley had claimed a mistake of law, he could not avail himself of </w:t>
      </w:r>
      <w:r>
        <w:rPr>
          <w:rFonts w:ascii="Arial" w:eastAsia="Arial" w:hAnsi="Arial" w:cs="Arial"/>
          <w:i/>
          <w:color w:val="000000"/>
          <w:sz w:val="18"/>
        </w:rPr>
        <w:t>Heien</w:t>
      </w:r>
      <w:r>
        <w:rPr>
          <w:rFonts w:ascii="Arial" w:eastAsia="Arial" w:hAnsi="Arial" w:cs="Arial"/>
          <w:color w:val="000000"/>
          <w:sz w:val="18"/>
        </w:rPr>
        <w:t xml:space="preserve">'s holding. </w:t>
      </w:r>
      <w:r>
        <w:rPr>
          <w:rFonts w:ascii="Arial" w:eastAsia="Arial" w:hAnsi="Arial" w:cs="Arial"/>
          <w:i/>
          <w:color w:val="000000"/>
          <w:sz w:val="18"/>
        </w:rPr>
        <w:t xml:space="preserve">Cf. </w:t>
      </w:r>
      <w:bookmarkStart w:id="6033" w:name="Bookmark_I5PV58Y22D6NV60030000400"/>
      <w:bookmarkEnd w:id="6033"/>
      <w:r>
        <w:rPr>
          <w:rFonts w:ascii="Arial" w:eastAsia="Arial" w:hAnsi="Arial" w:cs="Arial"/>
          <w:i/>
          <w:color w:val="000000"/>
          <w:sz w:val="18"/>
        </w:rPr>
        <w:t>Heien</w:t>
      </w:r>
      <w:r>
        <w:rPr>
          <w:rFonts w:ascii="Arial" w:eastAsia="Arial" w:hAnsi="Arial" w:cs="Arial"/>
          <w:color w:val="000000"/>
          <w:sz w:val="18"/>
        </w:rPr>
        <w:t xml:space="preserve">, 135 S. Ct. at 540 (discussing the ambiguities of the North Carolina statute at issue that permitted a reasonable mistake of law); </w:t>
      </w:r>
      <w:bookmarkStart w:id="6034" w:name="Bookmark_I5PV58Y22D6NV60050000400"/>
      <w:bookmarkEnd w:id="6034"/>
      <w:r>
        <w:rPr>
          <w:rFonts w:ascii="Arial" w:eastAsia="Arial" w:hAnsi="Arial" w:cs="Arial"/>
          <w:i/>
          <w:color w:val="000000"/>
          <w:sz w:val="18"/>
        </w:rPr>
        <w:t>Cunningham</w:t>
      </w:r>
      <w:r>
        <w:rPr>
          <w:rFonts w:ascii="Arial" w:eastAsia="Arial" w:hAnsi="Arial" w:cs="Arial"/>
          <w:color w:val="000000"/>
          <w:sz w:val="18"/>
        </w:rPr>
        <w:t xml:space="preserve">, 630 F. App'x at 878 &amp; n.6 (conducting a similar analysis of the ambiguities of a Colorado statute). </w:t>
      </w:r>
      <w:bookmarkStart w:id="6035" w:name="Bookmark_I5PV58Y22N1PMJ0030000400"/>
      <w:bookmarkEnd w:id="6035"/>
      <w:r>
        <w:rPr>
          <w:rFonts w:ascii="Arial" w:eastAsia="Arial" w:hAnsi="Arial" w:cs="Arial"/>
          <w:color w:val="000000"/>
          <w:sz w:val="18"/>
        </w:rPr>
        <w:t>That is, we would still conclude that his arrest of Scott violated the Fourth Amendment.</w:t>
      </w:r>
    </w:p>
    <w:p w:rsidR="00E456CD" w:rsidRDefault="00000000">
      <w:pPr>
        <w:pStyle w:val="Normal39"/>
        <w:widowControl w:val="0"/>
        <w:spacing w:before="200" w:line="240" w:lineRule="atLeast"/>
        <w:jc w:val="both"/>
      </w:pPr>
      <w:bookmarkStart w:id="6036" w:name="Bookmark_fnpara_9_10"/>
      <w:bookmarkStart w:id="6037" w:name="Bookmark_I5PV58Y228T3VB0020000400"/>
      <w:bookmarkStart w:id="6038" w:name="Bookmark_I5PV58Y22N1PMJ0030000400_2"/>
      <w:bookmarkEnd w:id="6036"/>
      <w:bookmarkEnd w:id="6037"/>
      <w:bookmarkEnd w:id="6038"/>
      <w:r>
        <w:rPr>
          <w:rFonts w:ascii="Arial" w:eastAsia="Arial" w:hAnsi="Arial" w:cs="Arial"/>
          <w:color w:val="000000"/>
          <w:sz w:val="18"/>
        </w:rPr>
        <w:t xml:space="preserve">And, </w:t>
      </w:r>
      <w:r>
        <w:rPr>
          <w:rFonts w:ascii="Arial" w:eastAsia="Arial" w:hAnsi="Arial" w:cs="Arial"/>
          <w:i/>
          <w:color w:val="000000"/>
          <w:sz w:val="18"/>
        </w:rPr>
        <w:t>second</w:t>
      </w:r>
      <w:r>
        <w:rPr>
          <w:rFonts w:ascii="Arial" w:eastAsia="Arial" w:hAnsi="Arial" w:cs="Arial"/>
          <w:color w:val="000000"/>
          <w:sz w:val="18"/>
        </w:rPr>
        <w:t xml:space="preserve">, our conclusion that Officer Hensley could not claim a reasonable mistake of law does not mean that he cannot demonstrate that he satisfies the qualified-immunity standard on the clearly-established-law element, and indeed we conclude </w:t>
      </w:r>
      <w:r>
        <w:rPr>
          <w:rFonts w:ascii="Arial" w:eastAsia="Arial" w:hAnsi="Arial" w:cs="Arial"/>
          <w:i/>
          <w:color w:val="000000"/>
          <w:sz w:val="18"/>
        </w:rPr>
        <w:t>infra</w:t>
      </w:r>
      <w:r>
        <w:rPr>
          <w:rFonts w:ascii="Arial" w:eastAsia="Arial" w:hAnsi="Arial" w:cs="Arial"/>
          <w:color w:val="000000"/>
          <w:sz w:val="18"/>
        </w:rPr>
        <w:t xml:space="preserve"> that he has. In this regard, </w:t>
      </w:r>
      <w:r>
        <w:rPr>
          <w:rFonts w:ascii="Arial" w:eastAsia="Arial" w:hAnsi="Arial" w:cs="Arial"/>
          <w:i/>
          <w:color w:val="000000"/>
          <w:sz w:val="18"/>
        </w:rPr>
        <w:t>Heien</w:t>
      </w:r>
      <w:r>
        <w:rPr>
          <w:rFonts w:ascii="Arial" w:eastAsia="Arial" w:hAnsi="Arial" w:cs="Arial"/>
          <w:color w:val="000000"/>
          <w:sz w:val="18"/>
        </w:rPr>
        <w:t xml:space="preserve"> stressed that "qualified immunity . . . depends on an inquiry distinct from whether an officer has committed a constitutional violation" and that "the [constitutional-violation] inquiry is </w:t>
      </w:r>
      <w:r>
        <w:rPr>
          <w:rFonts w:ascii="Arial" w:eastAsia="Arial" w:hAnsi="Arial" w:cs="Arial"/>
          <w:i/>
          <w:color w:val="000000"/>
          <w:sz w:val="18"/>
        </w:rPr>
        <w:t>not as forgiving</w:t>
      </w:r>
      <w:r>
        <w:rPr>
          <w:rFonts w:ascii="Arial" w:eastAsia="Arial" w:hAnsi="Arial" w:cs="Arial"/>
          <w:color w:val="000000"/>
          <w:sz w:val="18"/>
        </w:rPr>
        <w:t xml:space="preserve"> as the one employed in the distinct context of deciding whether an officer is entitled to qualified immunity for a constitutional or statutory violation." </w:t>
      </w:r>
      <w:bookmarkStart w:id="6039" w:name="Bookmark_I5PV58Y22N1PMJ0020000400"/>
      <w:bookmarkEnd w:id="6039"/>
      <w:r>
        <w:rPr>
          <w:rFonts w:ascii="Arial" w:eastAsia="Arial" w:hAnsi="Arial" w:cs="Arial"/>
          <w:i/>
          <w:color w:val="000000"/>
          <w:sz w:val="18"/>
        </w:rPr>
        <w:t>Heien</w:t>
      </w:r>
      <w:r>
        <w:rPr>
          <w:rFonts w:ascii="Arial" w:eastAsia="Arial" w:hAnsi="Arial" w:cs="Arial"/>
          <w:color w:val="000000"/>
          <w:sz w:val="18"/>
        </w:rPr>
        <w:t xml:space="preserve">, 135 S. Ct. at 537, 539 (emphasis added); </w:t>
      </w:r>
      <w:r>
        <w:rPr>
          <w:rFonts w:ascii="Arial" w:eastAsia="Arial" w:hAnsi="Arial" w:cs="Arial"/>
          <w:i/>
          <w:color w:val="000000"/>
          <w:sz w:val="18"/>
        </w:rPr>
        <w:t xml:space="preserve">see also </w:t>
      </w:r>
      <w:bookmarkStart w:id="6040" w:name="Bookmark_I5PV58Y22N1PMJ0040000400"/>
      <w:bookmarkEnd w:id="6040"/>
      <w:r>
        <w:rPr>
          <w:rFonts w:ascii="Arial" w:eastAsia="Arial" w:hAnsi="Arial" w:cs="Arial"/>
          <w:i/>
          <w:color w:val="000000"/>
          <w:sz w:val="18"/>
        </w:rPr>
        <w:t>Corrigan v. District of Columbia</w:t>
      </w:r>
      <w:r>
        <w:rPr>
          <w:rFonts w:ascii="Arial" w:eastAsia="Arial" w:hAnsi="Arial" w:cs="Arial"/>
          <w:color w:val="000000"/>
          <w:sz w:val="18"/>
        </w:rPr>
        <w:t xml:space="preserve">, 841 F.3d 1022, 1046 (D.C. Cir. 2016) (Brown, J., dissenting) ("What 'every reasonable' official would have understood to be 'clearly established' in case law is not the same question as what is 'objectively reasonable' for purposes of determining a Fourth Amendment violation."). Therefore, under the less stringent qualified-immunity inquiry, we may conclude (as we do) that Officer Hensley is entitled to qualified immunity because his "conclusions rest[ed] on an objectively reasonable, even if mistaken, belief that probable cause exist[ed]." </w:t>
      </w:r>
      <w:bookmarkStart w:id="6041" w:name="Bookmark_I5PV58Y228T3VB0010000400"/>
      <w:bookmarkEnd w:id="6041"/>
      <w:r>
        <w:rPr>
          <w:rFonts w:ascii="Arial" w:eastAsia="Arial" w:hAnsi="Arial" w:cs="Arial"/>
          <w:i/>
          <w:color w:val="000000"/>
          <w:sz w:val="18"/>
        </w:rPr>
        <w:t>Stonecipher v. Valles</w:t>
      </w:r>
      <w:r>
        <w:rPr>
          <w:rFonts w:ascii="Arial" w:eastAsia="Arial" w:hAnsi="Arial" w:cs="Arial"/>
          <w:color w:val="000000"/>
          <w:sz w:val="18"/>
        </w:rPr>
        <w:t xml:space="preserve">, 759 F.3d 1134, 1141 (10th Cir. 2014); </w:t>
      </w:r>
      <w:r>
        <w:rPr>
          <w:rFonts w:ascii="Arial" w:eastAsia="Arial" w:hAnsi="Arial" w:cs="Arial"/>
          <w:i/>
          <w:color w:val="000000"/>
          <w:sz w:val="18"/>
        </w:rPr>
        <w:t xml:space="preserve">see </w:t>
      </w:r>
      <w:bookmarkStart w:id="6042" w:name="Bookmark_I5PV58Y228T3VB0030000400"/>
      <w:bookmarkEnd w:id="6042"/>
      <w:r>
        <w:rPr>
          <w:rFonts w:ascii="Arial" w:eastAsia="Arial" w:hAnsi="Arial" w:cs="Arial"/>
          <w:i/>
          <w:color w:val="000000"/>
          <w:sz w:val="18"/>
        </w:rPr>
        <w:t>A.M.</w:t>
      </w:r>
      <w:r>
        <w:rPr>
          <w:rFonts w:ascii="Arial" w:eastAsia="Arial" w:hAnsi="Arial" w:cs="Arial"/>
          <w:color w:val="000000"/>
          <w:sz w:val="18"/>
        </w:rPr>
        <w:t>, 830 F.3d at 1140 (collecting cases regarding the concept of "arguable probable cause").</w:t>
      </w:r>
    </w:p>
  </w:footnote>
  <w:footnote w:id="267">
    <w:p w:rsidR="00E456CD" w:rsidRDefault="00000000">
      <w:pPr>
        <w:pStyle w:val="Normal39"/>
        <w:widowControl w:val="0"/>
        <w:spacing w:before="200" w:line="240" w:lineRule="atLeast"/>
        <w:jc w:val="both"/>
      </w:pPr>
      <w:r>
        <w:rPr>
          <w:rFonts w:ascii="Arial" w:eastAsia="Arial" w:hAnsi="Arial" w:cs="Arial"/>
          <w:color w:val="000000"/>
          <w:sz w:val="18"/>
          <w:vertAlign w:val="superscript"/>
        </w:rPr>
        <w:t>7 </w:t>
      </w:r>
      <w:bookmarkStart w:id="6073" w:name="Bookmark_fnpara_10_9"/>
      <w:bookmarkStart w:id="6074" w:name="Bookmark_I5PV58Y32D6NV70030000400"/>
      <w:bookmarkStart w:id="6075" w:name="Bookmark_I3WXY41XP3300079WNY003T1"/>
      <w:bookmarkStart w:id="6076" w:name="Bookmark_I5PV58Y32D6NV70050000400"/>
      <w:bookmarkEnd w:id="6073"/>
      <w:bookmarkEnd w:id="6074"/>
      <w:bookmarkEnd w:id="6075"/>
      <w:bookmarkEnd w:id="6076"/>
      <w:r>
        <w:rPr>
          <w:rFonts w:ascii="Arial" w:eastAsia="Arial" w:hAnsi="Arial" w:cs="Arial"/>
          <w:color w:val="000000"/>
          <w:sz w:val="18"/>
        </w:rPr>
        <w:t xml:space="preserve">We recognize that pre-2009 Supreme Court authority in New Mexico had established a general understanding of the term "willful," </w:t>
      </w:r>
      <w:bookmarkStart w:id="6077" w:name="Bookmark_I5PV58Y32D6NV70020000400"/>
      <w:bookmarkEnd w:id="6077"/>
      <w:r>
        <w:rPr>
          <w:rFonts w:ascii="Arial" w:eastAsia="Arial" w:hAnsi="Arial" w:cs="Arial"/>
          <w:i/>
          <w:color w:val="000000"/>
          <w:sz w:val="18"/>
        </w:rPr>
        <w:t>Gilbert</w:t>
      </w:r>
      <w:r>
        <w:rPr>
          <w:rFonts w:ascii="Arial" w:eastAsia="Arial" w:hAnsi="Arial" w:cs="Arial"/>
          <w:color w:val="000000"/>
          <w:sz w:val="18"/>
        </w:rPr>
        <w:t xml:space="preserve">, 491 P.2d at 164, 166, and (as demonstrated </w:t>
      </w:r>
      <w:r>
        <w:rPr>
          <w:rFonts w:ascii="Arial" w:eastAsia="Arial" w:hAnsi="Arial" w:cs="Arial"/>
          <w:i/>
          <w:color w:val="000000"/>
          <w:sz w:val="18"/>
        </w:rPr>
        <w:t>supra</w:t>
      </w:r>
      <w:r>
        <w:rPr>
          <w:rFonts w:ascii="Arial" w:eastAsia="Arial" w:hAnsi="Arial" w:cs="Arial"/>
          <w:color w:val="000000"/>
          <w:sz w:val="18"/>
        </w:rPr>
        <w:t xml:space="preserve">) the illegality of Officer Hensley's arrest of Scott turns at least in substantial part on that understanding. In contrast, this was arguably not true in the analogous case of </w:t>
      </w:r>
      <w:r>
        <w:rPr>
          <w:rFonts w:ascii="Arial" w:eastAsia="Arial" w:hAnsi="Arial" w:cs="Arial"/>
          <w:i/>
          <w:color w:val="000000"/>
          <w:sz w:val="18"/>
        </w:rPr>
        <w:t>A.M. See e.g.</w:t>
      </w:r>
      <w:r>
        <w:rPr>
          <w:rFonts w:ascii="Arial" w:eastAsia="Arial" w:hAnsi="Arial" w:cs="Arial"/>
          <w:color w:val="000000"/>
          <w:sz w:val="18"/>
        </w:rPr>
        <w:t xml:space="preserve">, </w:t>
      </w:r>
      <w:bookmarkStart w:id="6078" w:name="Bookmark_I5PV58Y32D6NV70040000400"/>
      <w:bookmarkEnd w:id="6078"/>
      <w:r>
        <w:rPr>
          <w:rFonts w:ascii="Arial" w:eastAsia="Arial" w:hAnsi="Arial" w:cs="Arial"/>
          <w:color w:val="000000"/>
          <w:sz w:val="18"/>
        </w:rPr>
        <w:t xml:space="preserve">830 F.3d at 1148 (arresting student for "repeatedly fake-burping, laughing, and (later) leaning into the classroom"). </w:t>
      </w:r>
      <w:bookmarkStart w:id="6079" w:name="Bookmark_I5PV58Y328T3VC0020000400"/>
      <w:bookmarkEnd w:id="6079"/>
      <w:r>
        <w:rPr>
          <w:rFonts w:ascii="Arial" w:eastAsia="Arial" w:hAnsi="Arial" w:cs="Arial"/>
          <w:color w:val="000000"/>
          <w:sz w:val="18"/>
        </w:rPr>
        <w:t xml:space="preserve">However, as </w:t>
      </w:r>
      <w:r>
        <w:rPr>
          <w:rFonts w:ascii="Arial" w:eastAsia="Arial" w:hAnsi="Arial" w:cs="Arial"/>
          <w:i/>
          <w:color w:val="000000"/>
          <w:sz w:val="18"/>
        </w:rPr>
        <w:t>A.M.</w:t>
      </w:r>
      <w:r>
        <w:rPr>
          <w:rFonts w:ascii="Arial" w:eastAsia="Arial" w:hAnsi="Arial" w:cs="Arial"/>
          <w:color w:val="000000"/>
          <w:sz w:val="18"/>
        </w:rPr>
        <w:t xml:space="preserve"> indicates, no controlling federal or New Mexico caselaw had clearly established the requirements for probable cause under section 30-20-13(D) in January 2009—including regarding the "willfulness" requirement. </w:t>
      </w:r>
      <w:bookmarkStart w:id="6080" w:name="Bookmark_I5PV58Y328T3VC0020000400_2"/>
      <w:bookmarkStart w:id="6081" w:name="Bookmark_I5PV58Y32SF8HV0050000400"/>
      <w:bookmarkEnd w:id="6080"/>
      <w:bookmarkEnd w:id="6081"/>
      <w:r>
        <w:rPr>
          <w:rFonts w:ascii="Arial" w:eastAsia="Arial" w:hAnsi="Arial" w:cs="Arial"/>
          <w:color w:val="000000"/>
          <w:sz w:val="18"/>
        </w:rPr>
        <w:t xml:space="preserve">More specifically, no New Mexico appellate court had applied the general understanding of "willfulness" to a prosecution under section 30-20-13(D). </w:t>
      </w:r>
      <w:bookmarkStart w:id="6082" w:name="Bookmark_I5PV58Y32N1PMM0020000400"/>
      <w:bookmarkEnd w:id="6082"/>
      <w:r>
        <w:rPr>
          <w:rFonts w:ascii="Arial" w:eastAsia="Arial" w:hAnsi="Arial" w:cs="Arial"/>
          <w:color w:val="000000"/>
          <w:sz w:val="18"/>
        </w:rPr>
        <w:t xml:space="preserve">In our view, in the circumstances of this case, that forecloses the possibility of finding clearly-established law. "As th[e] [Supreme] Court explained decades ago, </w:t>
      </w:r>
      <w:bookmarkStart w:id="6083" w:name="Bookmark_LNHNREFclscc12_13"/>
      <w:bookmarkEnd w:id="6083"/>
      <w:r>
        <w:rPr>
          <w:rFonts w:ascii="Arial" w:eastAsia="Arial" w:hAnsi="Arial" w:cs="Arial"/>
          <w:color w:val="000000"/>
          <w:sz w:val="18"/>
        </w:rPr>
        <w:t xml:space="preserve">the clearly established law must be 'particularized' to the facts of the case." </w:t>
      </w:r>
      <w:bookmarkStart w:id="6084" w:name="Bookmark_I5PV58Y328T3VC0010000400"/>
      <w:bookmarkEnd w:id="6084"/>
      <w:r>
        <w:rPr>
          <w:rFonts w:ascii="Arial" w:eastAsia="Arial" w:hAnsi="Arial" w:cs="Arial"/>
          <w:i/>
          <w:color w:val="000000"/>
          <w:sz w:val="18"/>
        </w:rPr>
        <w:t>White v. Pauly</w:t>
      </w:r>
      <w:r>
        <w:rPr>
          <w:rFonts w:ascii="Arial" w:eastAsia="Arial" w:hAnsi="Arial" w:cs="Arial"/>
          <w:color w:val="000000"/>
          <w:sz w:val="18"/>
        </w:rPr>
        <w:t xml:space="preserve">, </w:t>
      </w:r>
      <w:r>
        <w:rPr>
          <w:rFonts w:ascii="Arial" w:eastAsia="Arial" w:hAnsi="Arial" w:cs="Arial"/>
          <w:color w:val="000000"/>
          <w:sz w:val="18"/>
          <w:u w:val="single"/>
        </w:rPr>
        <w:t>   </w:t>
      </w:r>
      <w:r>
        <w:rPr>
          <w:rFonts w:ascii="Arial" w:eastAsia="Arial" w:hAnsi="Arial" w:cs="Arial"/>
          <w:color w:val="000000"/>
          <w:sz w:val="18"/>
        </w:rPr>
        <w:t xml:space="preserve"> U.S. </w:t>
      </w:r>
      <w:r>
        <w:rPr>
          <w:rFonts w:ascii="Arial" w:eastAsia="Arial" w:hAnsi="Arial" w:cs="Arial"/>
          <w:color w:val="000000"/>
          <w:sz w:val="18"/>
          <w:u w:val="single"/>
        </w:rPr>
        <w:t>   </w:t>
      </w:r>
      <w:r>
        <w:rPr>
          <w:rFonts w:ascii="Arial" w:eastAsia="Arial" w:hAnsi="Arial" w:cs="Arial"/>
          <w:color w:val="000000"/>
          <w:sz w:val="18"/>
        </w:rPr>
        <w:t xml:space="preserve">, 137 S.Ct. 548, 552, 196 L. Ed. 2d 463 (2017) (per curiam) (quoting </w:t>
      </w:r>
      <w:bookmarkStart w:id="6085" w:name="Bookmark_I5PV58Y328T3VC0030000400"/>
      <w:bookmarkEnd w:id="6085"/>
      <w:r>
        <w:rPr>
          <w:rFonts w:ascii="Arial" w:eastAsia="Arial" w:hAnsi="Arial" w:cs="Arial"/>
          <w:i/>
          <w:color w:val="000000"/>
          <w:sz w:val="18"/>
        </w:rPr>
        <w:t>Anderson v. Creighton</w:t>
      </w:r>
      <w:r>
        <w:rPr>
          <w:rFonts w:ascii="Arial" w:eastAsia="Arial" w:hAnsi="Arial" w:cs="Arial"/>
          <w:color w:val="000000"/>
          <w:sz w:val="18"/>
        </w:rPr>
        <w:t xml:space="preserve">, 483 U.S. 635, 640, 107 S. Ct. 3034, 97 L. Ed. 2d 523 (1987)); </w:t>
      </w:r>
      <w:r>
        <w:rPr>
          <w:rFonts w:ascii="Arial" w:eastAsia="Arial" w:hAnsi="Arial" w:cs="Arial"/>
          <w:i/>
          <w:color w:val="000000"/>
          <w:sz w:val="18"/>
        </w:rPr>
        <w:t xml:space="preserve">see </w:t>
      </w:r>
      <w:bookmarkStart w:id="6086" w:name="Bookmark_I5PV58Y328T3VC0050000400"/>
      <w:bookmarkEnd w:id="6086"/>
      <w:r>
        <w:rPr>
          <w:rFonts w:ascii="Arial" w:eastAsia="Arial" w:hAnsi="Arial" w:cs="Arial"/>
          <w:i/>
          <w:color w:val="000000"/>
          <w:sz w:val="18"/>
        </w:rPr>
        <w:t>Mullenix v. Luna</w:t>
      </w:r>
      <w:r>
        <w:rPr>
          <w:rFonts w:ascii="Arial" w:eastAsia="Arial" w:hAnsi="Arial" w:cs="Arial"/>
          <w:color w:val="000000"/>
          <w:sz w:val="18"/>
        </w:rPr>
        <w:t xml:space="preserve">, </w:t>
      </w:r>
      <w:r>
        <w:rPr>
          <w:rFonts w:ascii="Arial" w:eastAsia="Arial" w:hAnsi="Arial" w:cs="Arial"/>
          <w:color w:val="000000"/>
          <w:sz w:val="18"/>
          <w:u w:val="single"/>
        </w:rPr>
        <w:t>   </w:t>
      </w:r>
      <w:r>
        <w:rPr>
          <w:rFonts w:ascii="Arial" w:eastAsia="Arial" w:hAnsi="Arial" w:cs="Arial"/>
          <w:color w:val="000000"/>
          <w:sz w:val="18"/>
        </w:rPr>
        <w:t xml:space="preserve"> U.S. </w:t>
      </w:r>
      <w:r>
        <w:rPr>
          <w:rFonts w:ascii="Arial" w:eastAsia="Arial" w:hAnsi="Arial" w:cs="Arial"/>
          <w:color w:val="000000"/>
          <w:sz w:val="18"/>
          <w:u w:val="single"/>
        </w:rPr>
        <w:t>   </w:t>
      </w:r>
      <w:r>
        <w:rPr>
          <w:rFonts w:ascii="Arial" w:eastAsia="Arial" w:hAnsi="Arial" w:cs="Arial"/>
          <w:color w:val="000000"/>
          <w:sz w:val="18"/>
        </w:rPr>
        <w:t xml:space="preserve">, 136 S. Ct. 305, 308, 193 L. Ed. 2d 255 (2015) ("The dispositive question is 'whether the violative nature of </w:t>
      </w:r>
      <w:r>
        <w:rPr>
          <w:rFonts w:ascii="Arial" w:eastAsia="Arial" w:hAnsi="Arial" w:cs="Arial"/>
          <w:i/>
          <w:color w:val="000000"/>
          <w:sz w:val="18"/>
        </w:rPr>
        <w:t>particular</w:t>
      </w:r>
      <w:r>
        <w:rPr>
          <w:rFonts w:ascii="Arial" w:eastAsia="Arial" w:hAnsi="Arial" w:cs="Arial"/>
          <w:color w:val="000000"/>
          <w:sz w:val="18"/>
        </w:rPr>
        <w:t xml:space="preserve"> conduct is clearly established.'" (quoting </w:t>
      </w:r>
      <w:bookmarkStart w:id="6087" w:name="Bookmark_I5PV58Y32SF8HV0020000400"/>
      <w:bookmarkEnd w:id="6087"/>
      <w:r>
        <w:rPr>
          <w:rFonts w:ascii="Arial" w:eastAsia="Arial" w:hAnsi="Arial" w:cs="Arial"/>
          <w:i/>
          <w:color w:val="000000"/>
          <w:sz w:val="18"/>
        </w:rPr>
        <w:t>Ashcroft v. al-Kidd</w:t>
      </w:r>
      <w:r>
        <w:rPr>
          <w:rFonts w:ascii="Arial" w:eastAsia="Arial" w:hAnsi="Arial" w:cs="Arial"/>
          <w:color w:val="000000"/>
          <w:sz w:val="18"/>
        </w:rPr>
        <w:t xml:space="preserve">, 563 U.S. 731, 742, 131 S. Ct. 2074, 179 L. Ed. 2d 1149 (2011))). </w:t>
      </w:r>
      <w:bookmarkStart w:id="6088" w:name="Bookmark_I5PV58Y32N1PMM0020000400_2"/>
      <w:bookmarkStart w:id="6089" w:name="Bookmark_I5PV58Y32SF8HV0050000400_2"/>
      <w:bookmarkEnd w:id="6088"/>
      <w:bookmarkEnd w:id="6089"/>
      <w:r>
        <w:rPr>
          <w:rFonts w:ascii="Arial" w:eastAsia="Arial" w:hAnsi="Arial" w:cs="Arial"/>
          <w:color w:val="000000"/>
          <w:sz w:val="18"/>
        </w:rPr>
        <w:t xml:space="preserve">Here, Scott has not demonstrated that it was clearly-established law in January 2009 that the general understanding of "willfulness" was controlling in the section 30-20-13(D) context—by "identif[ing] a case where an officer acting under similar circumstances as Officer [Hensley] was held to have violated the Fourth Amendment," </w:t>
      </w:r>
      <w:bookmarkStart w:id="6090" w:name="Bookmark_I5PV58Y32SF8HV0040000400"/>
      <w:bookmarkEnd w:id="6090"/>
      <w:r>
        <w:rPr>
          <w:rFonts w:ascii="Arial" w:eastAsia="Arial" w:hAnsi="Arial" w:cs="Arial"/>
          <w:i/>
          <w:color w:val="000000"/>
          <w:sz w:val="18"/>
        </w:rPr>
        <w:t>White</w:t>
      </w:r>
      <w:r>
        <w:rPr>
          <w:rFonts w:ascii="Arial" w:eastAsia="Arial" w:hAnsi="Arial" w:cs="Arial"/>
          <w:color w:val="000000"/>
          <w:sz w:val="18"/>
        </w:rPr>
        <w:t xml:space="preserve">, 137 S. Ct. at 552, or otherwise. In particular, we conclude that the settled general understanding among New Mexico courts regarding the meaning of "willful" would not have put the unlawfulness of Officer Hensley's conduct under section 30-20-13(D) "beyond debate" in January 2009. </w:t>
      </w:r>
      <w:bookmarkStart w:id="6091" w:name="Bookmark_I5PV58Y32N1PMM0010000400"/>
      <w:bookmarkEnd w:id="6091"/>
      <w:r>
        <w:rPr>
          <w:rFonts w:ascii="Arial" w:eastAsia="Arial" w:hAnsi="Arial" w:cs="Arial"/>
          <w:i/>
          <w:color w:val="000000"/>
          <w:sz w:val="18"/>
        </w:rPr>
        <w:t>al-Kidd</w:t>
      </w:r>
      <w:r>
        <w:rPr>
          <w:rFonts w:ascii="Arial" w:eastAsia="Arial" w:hAnsi="Arial" w:cs="Arial"/>
          <w:color w:val="000000"/>
          <w:sz w:val="18"/>
        </w:rPr>
        <w:t xml:space="preserve">, 563 U.S. at 741; </w:t>
      </w:r>
      <w:r>
        <w:rPr>
          <w:rFonts w:ascii="Arial" w:eastAsia="Arial" w:hAnsi="Arial" w:cs="Arial"/>
          <w:i/>
          <w:color w:val="000000"/>
          <w:sz w:val="18"/>
        </w:rPr>
        <w:t xml:space="preserve">accord </w:t>
      </w:r>
      <w:bookmarkStart w:id="6092" w:name="Bookmark_I5PV58Y32N1PMM0030000400"/>
      <w:bookmarkEnd w:id="6092"/>
      <w:r>
        <w:rPr>
          <w:rFonts w:ascii="Arial" w:eastAsia="Arial" w:hAnsi="Arial" w:cs="Arial"/>
          <w:i/>
          <w:color w:val="000000"/>
          <w:sz w:val="18"/>
        </w:rPr>
        <w:t>Mullenix</w:t>
      </w:r>
      <w:r>
        <w:rPr>
          <w:rFonts w:ascii="Arial" w:eastAsia="Arial" w:hAnsi="Arial" w:cs="Arial"/>
          <w:color w:val="000000"/>
          <w:sz w:val="18"/>
        </w:rPr>
        <w:t>, 136 S. Ct. at 308.</w:t>
      </w:r>
    </w:p>
  </w:footnote>
  <w:footnote w:id="268">
    <w:p w:rsidR="00E456CD" w:rsidRDefault="00000000">
      <w:pPr>
        <w:pStyle w:val="Normal39"/>
        <w:widowControl w:val="0"/>
        <w:spacing w:before="120" w:line="240" w:lineRule="atLeast"/>
        <w:jc w:val="both"/>
      </w:pPr>
      <w:r>
        <w:rPr>
          <w:rFonts w:ascii="Arial" w:eastAsia="Arial" w:hAnsi="Arial" w:cs="Arial"/>
          <w:color w:val="000000"/>
          <w:sz w:val="18"/>
          <w:vertAlign w:val="superscript"/>
        </w:rPr>
        <w:t>8 </w:t>
      </w:r>
      <w:bookmarkStart w:id="6146" w:name="Bookmark_fnpara_11_8"/>
      <w:bookmarkEnd w:id="6146"/>
      <w:r>
        <w:rPr>
          <w:rFonts w:ascii="Arial" w:eastAsia="Arial" w:hAnsi="Arial" w:cs="Arial"/>
          <w:color w:val="000000"/>
          <w:sz w:val="18"/>
        </w:rPr>
        <w:t>Though the inadequacy of Scott's injuries do not make the following point material to our analysis, we note that Scott's injuries may in part stem from his own conduct rather than any physical aggression of Officer Hensley. By Scott's own admission, he would abruptly stop while being led through the hallway in handcuffs by Officer Hensley because he was "pissed" and did not anyone to "touch" him. Aplt.'s App. at 202. Even accepting Scott's own version of the facts then, we may reasonably infer that, insofar as Scott's injuries were caused by the friction between the handcuffs and his wrists, his abrupt stops contributed to or exacerbated that friction.</w:t>
      </w:r>
    </w:p>
  </w:footnote>
  <w:footnote w:id="269">
    <w:p w:rsidR="00E456CD" w:rsidRDefault="00000000">
      <w:pPr>
        <w:pStyle w:val="Normal39"/>
        <w:widowControl w:val="0"/>
        <w:spacing w:before="200" w:line="240" w:lineRule="atLeast"/>
        <w:jc w:val="both"/>
      </w:pPr>
      <w:r>
        <w:rPr>
          <w:rFonts w:ascii="Arial" w:eastAsia="Arial" w:hAnsi="Arial" w:cs="Arial"/>
          <w:color w:val="000000"/>
          <w:sz w:val="18"/>
          <w:vertAlign w:val="superscript"/>
        </w:rPr>
        <w:t>9 </w:t>
      </w:r>
      <w:bookmarkStart w:id="6164" w:name="Bookmark_fnpara_12_8"/>
      <w:bookmarkStart w:id="6165" w:name="Bookmark_I5PV58Y328T3VG0020000400"/>
      <w:bookmarkStart w:id="6166" w:name="Bookmark_I5PV58Y32SF8HY0050000400"/>
      <w:bookmarkEnd w:id="6164"/>
      <w:bookmarkEnd w:id="6165"/>
      <w:bookmarkEnd w:id="6166"/>
      <w:r>
        <w:rPr>
          <w:rFonts w:ascii="Arial" w:eastAsia="Arial" w:hAnsi="Arial" w:cs="Arial"/>
          <w:color w:val="000000"/>
          <w:sz w:val="18"/>
        </w:rPr>
        <w:t xml:space="preserve">We are not blind to the obvious facts: At the time of the arrest, Scott was thirteen years old. The psychological effects of an arrest on somebody that young are bound to be more severe than they would be for an adult. </w:t>
      </w:r>
      <w:r>
        <w:rPr>
          <w:rFonts w:ascii="Arial" w:eastAsia="Arial" w:hAnsi="Arial" w:cs="Arial"/>
          <w:i/>
          <w:color w:val="000000"/>
          <w:sz w:val="18"/>
        </w:rPr>
        <w:t xml:space="preserve">See </w:t>
      </w:r>
      <w:bookmarkStart w:id="6167" w:name="Bookmark_I5PV58Y328T3VG0010000400"/>
      <w:bookmarkEnd w:id="6167"/>
      <w:r>
        <w:rPr>
          <w:rFonts w:ascii="Arial" w:eastAsia="Arial" w:hAnsi="Arial" w:cs="Arial"/>
          <w:i/>
          <w:color w:val="000000"/>
          <w:sz w:val="18"/>
        </w:rPr>
        <w:t>Hedgepeth v. Wash. Metro Area Transit</w:t>
      </w:r>
      <w:r>
        <w:rPr>
          <w:rFonts w:ascii="Arial" w:eastAsia="Arial" w:hAnsi="Arial" w:cs="Arial"/>
          <w:color w:val="000000"/>
          <w:sz w:val="18"/>
        </w:rPr>
        <w:t xml:space="preserve">, 284 F. Supp. 2d 145, 160 (D.D.C. 2003), </w:t>
      </w:r>
      <w:r>
        <w:rPr>
          <w:rFonts w:ascii="Arial" w:eastAsia="Arial" w:hAnsi="Arial" w:cs="Arial"/>
          <w:i/>
          <w:color w:val="000000"/>
          <w:sz w:val="18"/>
        </w:rPr>
        <w:t xml:space="preserve">aff'd sub nom. </w:t>
      </w:r>
      <w:bookmarkStart w:id="6168" w:name="Bookmark_I5PV58Y328T3VG0030000400"/>
      <w:bookmarkEnd w:id="6168"/>
      <w:r>
        <w:rPr>
          <w:rFonts w:ascii="Arial" w:eastAsia="Arial" w:hAnsi="Arial" w:cs="Arial"/>
          <w:i/>
          <w:color w:val="000000"/>
          <w:sz w:val="18"/>
        </w:rPr>
        <w:t>Hedgepeth ex rel. Hedgepeth v. Wash. Metro. Area Transit Auth.</w:t>
      </w:r>
      <w:r>
        <w:rPr>
          <w:rFonts w:ascii="Arial" w:eastAsia="Arial" w:hAnsi="Arial" w:cs="Arial"/>
          <w:color w:val="000000"/>
          <w:sz w:val="18"/>
        </w:rPr>
        <w:t xml:space="preserve">, 386 F.3d 1148, 363 U.S. App. D.C. 260 (D.C. Cir. 2004) (noting that, though a child's arrest was constitutional under the applicable legal standard, "the Court can hardly overlook the humiliating and demeaning impact of the arrest" on that child); </w:t>
      </w:r>
      <w:r>
        <w:rPr>
          <w:rFonts w:ascii="Arial" w:eastAsia="Arial" w:hAnsi="Arial" w:cs="Arial"/>
          <w:i/>
          <w:color w:val="000000"/>
          <w:sz w:val="18"/>
        </w:rPr>
        <w:t xml:space="preserve">cf. </w:t>
      </w:r>
      <w:bookmarkStart w:id="6169" w:name="Bookmark_I5PV58Y328T3VG0050000400"/>
      <w:bookmarkEnd w:id="6169"/>
      <w:r>
        <w:rPr>
          <w:rFonts w:ascii="Arial" w:eastAsia="Arial" w:hAnsi="Arial" w:cs="Arial"/>
          <w:i/>
          <w:color w:val="000000"/>
          <w:sz w:val="18"/>
        </w:rPr>
        <w:t>A.M.</w:t>
      </w:r>
      <w:r>
        <w:rPr>
          <w:rFonts w:ascii="Arial" w:eastAsia="Arial" w:hAnsi="Arial" w:cs="Arial"/>
          <w:color w:val="000000"/>
          <w:sz w:val="18"/>
        </w:rPr>
        <w:t xml:space="preserve">, 830 F.3d at 1150 n.15 ("We are neither oblivious nor unsympathetic to 'the potential future consequences to [a] child,' such as F.M., of an arrest or other law-enforcement sanction for seemingly non-egregious classroom misconduct; such a law-enforcement response could potentially have a 'far-reaching impact' on a child's ability to lead a productive life." (quoting </w:t>
      </w:r>
      <w:bookmarkStart w:id="6170" w:name="Bookmark_I5PV58Y32SF8HY0020000400"/>
      <w:bookmarkEnd w:id="6170"/>
      <w:r>
        <w:rPr>
          <w:rFonts w:ascii="Arial" w:eastAsia="Arial" w:hAnsi="Arial" w:cs="Arial"/>
          <w:i/>
          <w:color w:val="000000"/>
          <w:sz w:val="18"/>
        </w:rPr>
        <w:t>Hawker v. Sandy City Corp.</w:t>
      </w:r>
      <w:r>
        <w:rPr>
          <w:rFonts w:ascii="Arial" w:eastAsia="Arial" w:hAnsi="Arial" w:cs="Arial"/>
          <w:color w:val="000000"/>
          <w:sz w:val="18"/>
        </w:rPr>
        <w:t xml:space="preserve">, 774 F.3d 1243, 1244 (10th Cir. 2014) (Lucero, J., concurring))). </w:t>
      </w:r>
      <w:bookmarkStart w:id="6171" w:name="Bookmark_I5PV58Y32HM6K70040000400"/>
      <w:bookmarkEnd w:id="6171"/>
      <w:r>
        <w:rPr>
          <w:rFonts w:ascii="Arial" w:eastAsia="Arial" w:hAnsi="Arial" w:cs="Arial"/>
          <w:color w:val="000000"/>
          <w:sz w:val="18"/>
        </w:rPr>
        <w:t xml:space="preserve">However, we have held that </w:t>
      </w:r>
      <w:bookmarkStart w:id="6172" w:name="Bookmark_LNHNREFclscc20_3"/>
      <w:bookmarkEnd w:id="6172"/>
      <w:r>
        <w:rPr>
          <w:rFonts w:ascii="Arial" w:eastAsia="Arial" w:hAnsi="Arial" w:cs="Arial"/>
          <w:color w:val="000000"/>
          <w:sz w:val="18"/>
        </w:rPr>
        <w:t xml:space="preserve">there is "'no case law . . . applying a different standard when the victim of the alleged excessive force is a minor.'" </w:t>
      </w:r>
      <w:bookmarkStart w:id="6173" w:name="Bookmark_I5PV58Y32SF8HY0040000400"/>
      <w:bookmarkEnd w:id="6173"/>
      <w:r>
        <w:rPr>
          <w:rFonts w:ascii="Arial" w:eastAsia="Arial" w:hAnsi="Arial" w:cs="Arial"/>
          <w:i/>
          <w:color w:val="000000"/>
          <w:sz w:val="18"/>
        </w:rPr>
        <w:t>A.M.</w:t>
      </w:r>
      <w:r>
        <w:rPr>
          <w:rFonts w:ascii="Arial" w:eastAsia="Arial" w:hAnsi="Arial" w:cs="Arial"/>
          <w:color w:val="000000"/>
          <w:sz w:val="18"/>
        </w:rPr>
        <w:t xml:space="preserve">, 830 F.3d at 1155 (quoting </w:t>
      </w:r>
      <w:bookmarkStart w:id="6174" w:name="Bookmark_I5PV58Y32HM6K70010000400"/>
      <w:bookmarkEnd w:id="6174"/>
      <w:r>
        <w:rPr>
          <w:rFonts w:ascii="Arial" w:eastAsia="Arial" w:hAnsi="Arial" w:cs="Arial"/>
          <w:i/>
          <w:color w:val="000000"/>
          <w:sz w:val="18"/>
        </w:rPr>
        <w:t>Hawker v. Sandy City Corp.</w:t>
      </w:r>
      <w:r>
        <w:rPr>
          <w:rFonts w:ascii="Arial" w:eastAsia="Arial" w:hAnsi="Arial" w:cs="Arial"/>
          <w:color w:val="000000"/>
          <w:sz w:val="18"/>
        </w:rPr>
        <w:t xml:space="preserve">, 591 F. App'x 669, 674 n.8 (10th Cir. 2014) (unpublished) (emphasis omitted)). </w:t>
      </w:r>
      <w:bookmarkStart w:id="6175" w:name="Bookmark_I5PV58Y32HM6K70040000400_2"/>
      <w:bookmarkEnd w:id="6175"/>
      <w:r>
        <w:rPr>
          <w:rFonts w:ascii="Arial" w:eastAsia="Arial" w:hAnsi="Arial" w:cs="Arial"/>
          <w:color w:val="000000"/>
          <w:sz w:val="18"/>
        </w:rPr>
        <w:t xml:space="preserve">And we are bound to apply the law of excessive force as it is—not as we might wish it to be—even when, as here, the results might seem troubling. </w:t>
      </w:r>
      <w:r>
        <w:rPr>
          <w:rFonts w:ascii="Arial" w:eastAsia="Arial" w:hAnsi="Arial" w:cs="Arial"/>
          <w:i/>
          <w:color w:val="000000"/>
          <w:sz w:val="18"/>
        </w:rPr>
        <w:t xml:space="preserve">See, e.g., </w:t>
      </w:r>
      <w:bookmarkStart w:id="6176" w:name="Bookmark_I5PV58Y32HM6K70030000400"/>
      <w:bookmarkEnd w:id="6176"/>
      <w:r>
        <w:rPr>
          <w:rFonts w:ascii="Arial" w:eastAsia="Arial" w:hAnsi="Arial" w:cs="Arial"/>
          <w:i/>
          <w:color w:val="000000"/>
          <w:sz w:val="18"/>
        </w:rPr>
        <w:t>A.M.</w:t>
      </w:r>
      <w:r>
        <w:rPr>
          <w:rFonts w:ascii="Arial" w:eastAsia="Arial" w:hAnsi="Arial" w:cs="Arial"/>
          <w:color w:val="000000"/>
          <w:sz w:val="18"/>
        </w:rPr>
        <w:t xml:space="preserve">, 830 F.3d at 1169 (Gorsuch, J., dissenting); </w:t>
      </w:r>
      <w:bookmarkStart w:id="6177" w:name="Bookmark_I5PV58Y32HM6K70050000400"/>
      <w:bookmarkEnd w:id="6177"/>
      <w:r>
        <w:rPr>
          <w:rFonts w:ascii="Arial" w:eastAsia="Arial" w:hAnsi="Arial" w:cs="Arial"/>
          <w:i/>
          <w:color w:val="000000"/>
          <w:sz w:val="18"/>
        </w:rPr>
        <w:t>Hawker</w:t>
      </w:r>
      <w:r>
        <w:rPr>
          <w:rFonts w:ascii="Arial" w:eastAsia="Arial" w:hAnsi="Arial" w:cs="Arial"/>
          <w:color w:val="000000"/>
          <w:sz w:val="18"/>
        </w:rPr>
        <w:t>, 774 F.3d at 1243-46 (Lucero, J., concurring).</w:t>
      </w:r>
    </w:p>
  </w:footnote>
  <w:footnote w:id="270">
    <w:p w:rsidR="00E456CD" w:rsidRDefault="00000000">
      <w:pPr>
        <w:pStyle w:val="Normal39"/>
        <w:widowControl w:val="0"/>
        <w:spacing w:before="200" w:line="240" w:lineRule="atLeast"/>
        <w:jc w:val="both"/>
      </w:pPr>
      <w:r>
        <w:rPr>
          <w:rFonts w:ascii="Arial" w:eastAsia="Arial" w:hAnsi="Arial" w:cs="Arial"/>
          <w:color w:val="000000"/>
          <w:sz w:val="18"/>
          <w:vertAlign w:val="superscript"/>
        </w:rPr>
        <w:t>10 </w:t>
      </w:r>
      <w:bookmarkStart w:id="6179" w:name="Bookmark_fnpara_13_8"/>
      <w:bookmarkStart w:id="6180" w:name="Bookmark_I5PV58Y32N1PMR0030000400"/>
      <w:bookmarkEnd w:id="6179"/>
      <w:bookmarkEnd w:id="6180"/>
      <w:r>
        <w:rPr>
          <w:rFonts w:ascii="Arial" w:eastAsia="Arial" w:hAnsi="Arial" w:cs="Arial"/>
          <w:color w:val="000000"/>
          <w:sz w:val="18"/>
        </w:rPr>
        <w:t xml:space="preserve">Insofar as Scott's municipal-liability arguments are predicated on Officer Hensley's claimed use of excessive force, they fail at the outset. </w:t>
      </w:r>
      <w:bookmarkStart w:id="6181" w:name="Bookmark_LNHNREFclscc21_3"/>
      <w:bookmarkEnd w:id="6181"/>
      <w:r>
        <w:rPr>
          <w:rFonts w:ascii="Arial" w:eastAsia="Arial" w:hAnsi="Arial" w:cs="Arial"/>
          <w:color w:val="000000"/>
          <w:sz w:val="18"/>
        </w:rPr>
        <w:t xml:space="preserve">Without an underlying constitutional violation, a municipal-liability claim is fatally infirm. </w:t>
      </w:r>
      <w:r>
        <w:rPr>
          <w:rFonts w:ascii="Arial" w:eastAsia="Arial" w:hAnsi="Arial" w:cs="Arial"/>
          <w:i/>
          <w:color w:val="000000"/>
          <w:sz w:val="18"/>
        </w:rPr>
        <w:t xml:space="preserve">See </w:t>
      </w:r>
      <w:bookmarkStart w:id="6182" w:name="Bookmark_I5PV58Y32N1PMR0020000400"/>
      <w:bookmarkEnd w:id="6182"/>
      <w:r>
        <w:rPr>
          <w:rFonts w:ascii="Arial" w:eastAsia="Arial" w:hAnsi="Arial" w:cs="Arial"/>
          <w:i/>
          <w:color w:val="000000"/>
          <w:sz w:val="18"/>
        </w:rPr>
        <w:t>Hinton v. City of Elwood, Kan.</w:t>
      </w:r>
      <w:r>
        <w:rPr>
          <w:rFonts w:ascii="Arial" w:eastAsia="Arial" w:hAnsi="Arial" w:cs="Arial"/>
          <w:color w:val="000000"/>
          <w:sz w:val="18"/>
        </w:rPr>
        <w:t xml:space="preserve">, 997 F.2d 774, 782 (10th Cir. 1993) ("A municipality may not be held liable where there was no underlying constitutional violation by any of its officers."); </w:t>
      </w:r>
      <w:r>
        <w:rPr>
          <w:rFonts w:ascii="Arial" w:eastAsia="Arial" w:hAnsi="Arial" w:cs="Arial"/>
          <w:i/>
          <w:color w:val="000000"/>
          <w:sz w:val="18"/>
        </w:rPr>
        <w:t xml:space="preserve">see also </w:t>
      </w:r>
      <w:bookmarkStart w:id="6183" w:name="Bookmark_I5PV58Y32N1PMR0040000400"/>
      <w:bookmarkEnd w:id="6183"/>
      <w:r>
        <w:rPr>
          <w:rFonts w:ascii="Arial" w:eastAsia="Arial" w:hAnsi="Arial" w:cs="Arial"/>
          <w:i/>
          <w:color w:val="000000"/>
          <w:sz w:val="18"/>
        </w:rPr>
        <w:t>Wilson v. Meeks</w:t>
      </w:r>
      <w:r>
        <w:rPr>
          <w:rFonts w:ascii="Arial" w:eastAsia="Arial" w:hAnsi="Arial" w:cs="Arial"/>
          <w:color w:val="000000"/>
          <w:sz w:val="18"/>
        </w:rPr>
        <w:t xml:space="preserve">, 98 F.3d 1247, 1255 (10th Cir. 1996) ("The district court correctly concluded no municipal liability could be found in this case because there was no constitutional violation committed by any of the individual defendants."). Furthermore, Scott's briefing seemingly challenged the district court's judgment regarding his supervisory-liability claim against Albuquerque's chief of police, Ray Schultz. </w:t>
      </w:r>
      <w:r>
        <w:rPr>
          <w:rFonts w:ascii="Arial" w:eastAsia="Arial" w:hAnsi="Arial" w:cs="Arial"/>
          <w:i/>
          <w:color w:val="000000"/>
          <w:sz w:val="18"/>
        </w:rPr>
        <w:t>See</w:t>
      </w:r>
      <w:r>
        <w:rPr>
          <w:rFonts w:ascii="Arial" w:eastAsia="Arial" w:hAnsi="Arial" w:cs="Arial"/>
          <w:color w:val="000000"/>
          <w:sz w:val="18"/>
        </w:rPr>
        <w:t xml:space="preserve"> Aplt.'s Opening Br. at 40 ("Scott's supervisory liability claim against Chief Schultz is also viable assuming that the Court finds a violation of Scott's rights."). However, during oral argument, Scott's counsel expressly and unequivocally indicated that actually Scott does not pursue a supervisory-liability claim against Chief Schultz on appeal—</w:t>
      </w:r>
      <w:r>
        <w:rPr>
          <w:rFonts w:ascii="Arial" w:eastAsia="Arial" w:hAnsi="Arial" w:cs="Arial"/>
          <w:i/>
          <w:color w:val="000000"/>
          <w:sz w:val="18"/>
        </w:rPr>
        <w:t>viz.</w:t>
      </w:r>
      <w:r>
        <w:rPr>
          <w:rFonts w:ascii="Arial" w:eastAsia="Arial" w:hAnsi="Arial" w:cs="Arial"/>
          <w:color w:val="000000"/>
          <w:sz w:val="18"/>
        </w:rPr>
        <w:t>, he does not challenge the district court's judgment as to this claim. Therefore, that matter is not before us.</w:t>
      </w:r>
    </w:p>
  </w:footnote>
  <w:footnote w:id="271">
    <w:p w:rsidR="00E456CD" w:rsidRDefault="00000000">
      <w:pPr>
        <w:pStyle w:val="Normal39"/>
        <w:widowControl w:val="0"/>
        <w:spacing w:before="200" w:line="240" w:lineRule="atLeast"/>
        <w:jc w:val="both"/>
      </w:pPr>
      <w:r>
        <w:rPr>
          <w:rFonts w:ascii="Arial" w:eastAsia="Arial" w:hAnsi="Arial" w:cs="Arial"/>
          <w:color w:val="000000"/>
          <w:sz w:val="18"/>
          <w:vertAlign w:val="superscript"/>
        </w:rPr>
        <w:t>11 </w:t>
      </w:r>
      <w:bookmarkStart w:id="6199" w:name="Bookmark_fnpara_14_7"/>
      <w:bookmarkEnd w:id="6199"/>
      <w:r>
        <w:rPr>
          <w:rFonts w:ascii="Arial" w:eastAsia="Arial" w:hAnsi="Arial" w:cs="Arial"/>
          <w:color w:val="000000"/>
          <w:sz w:val="18"/>
        </w:rPr>
        <w:t xml:space="preserve">As evidentiary support for his municipal-liability claim, Scott directs us to the testimony of a Juvenile Probation Officer and to a summary of City police reports prepared by Scott's counsel. Even assuming that all of this is properly admissible evidence, it is woefully insufficient to establish that the two policies Scott identifies in his opening brief were the moving force in his unlawful arrest. First, though this evidence purports to show that young children were repeatedly arrested by the City's police for violations of section 30-20-13(D), it is silent regarding whether these children had special needs. Second, many (if not most) of the arrests that Scott's counsel identifies in his summaries involved, at least arguably, willful misconduct, which would place them on the question of intent within the ambit of section 30-20-13(D). </w:t>
      </w:r>
      <w:r>
        <w:rPr>
          <w:rFonts w:ascii="Arial" w:eastAsia="Arial" w:hAnsi="Arial" w:cs="Arial"/>
          <w:i/>
          <w:color w:val="000000"/>
          <w:sz w:val="18"/>
        </w:rPr>
        <w:t>See</w:t>
      </w:r>
      <w:r>
        <w:rPr>
          <w:rFonts w:ascii="Arial" w:eastAsia="Arial" w:hAnsi="Arial" w:cs="Arial"/>
          <w:color w:val="000000"/>
          <w:sz w:val="18"/>
        </w:rPr>
        <w:t xml:space="preserve"> Aplt.'s App. at 235-40 (describing arrests for, among other things, "knocking over a chair and throwing a pen," "throwing a stick when told not to," "blowing up a condom in class," and "[s]tepping toward a teacher in an aggressive manner").</w:t>
      </w:r>
    </w:p>
  </w:footnote>
  <w:footnote w:id="272">
    <w:p w:rsidR="00E456CD" w:rsidRDefault="00000000">
      <w:pPr>
        <w:pStyle w:val="Normal40"/>
        <w:widowControl w:val="0"/>
        <w:spacing w:before="200" w:line="240" w:lineRule="atLeast"/>
        <w:jc w:val="both"/>
      </w:pPr>
      <w:r>
        <w:rPr>
          <w:rFonts w:ascii="Arial" w:eastAsia="Arial" w:hAnsi="Arial" w:cs="Arial"/>
          <w:color w:val="000000"/>
          <w:sz w:val="18"/>
          <w:vertAlign w:val="superscript"/>
        </w:rPr>
        <w:t>* </w:t>
      </w:r>
      <w:bookmarkStart w:id="6259" w:name="Bookmark_fnpara_1_34"/>
      <w:bookmarkEnd w:id="6259"/>
      <w:r>
        <w:rPr>
          <w:rFonts w:ascii="Arial" w:eastAsia="Arial" w:hAnsi="Arial" w:cs="Arial"/>
          <w:color w:val="000000"/>
          <w:sz w:val="18"/>
        </w:rPr>
        <w:t xml:space="preserve">Pursuant to </w:t>
      </w:r>
      <w:r>
        <w:rPr>
          <w:rFonts w:ascii="Arial" w:eastAsia="Arial" w:hAnsi="Arial" w:cs="Arial"/>
          <w:smallCaps/>
          <w:color w:val="000000"/>
          <w:sz w:val="18"/>
        </w:rPr>
        <w:t>5th Cir. R.</w:t>
      </w:r>
      <w:r>
        <w:rPr>
          <w:rFonts w:ascii="Arial" w:eastAsia="Arial" w:hAnsi="Arial" w:cs="Arial"/>
          <w:color w:val="000000"/>
          <w:sz w:val="18"/>
        </w:rPr>
        <w:t xml:space="preserve"> 47.5, the court has determined that this opinion should not be published and is not precedent except under the limited circumstances set forth in </w:t>
      </w:r>
      <w:r>
        <w:rPr>
          <w:rFonts w:ascii="Arial" w:eastAsia="Arial" w:hAnsi="Arial" w:cs="Arial"/>
          <w:smallCaps/>
          <w:color w:val="000000"/>
          <w:sz w:val="18"/>
        </w:rPr>
        <w:t>5th Cir. R.</w:t>
      </w:r>
      <w:r>
        <w:rPr>
          <w:rFonts w:ascii="Arial" w:eastAsia="Arial" w:hAnsi="Arial" w:cs="Arial"/>
          <w:color w:val="000000"/>
          <w:sz w:val="18"/>
        </w:rPr>
        <w:t xml:space="preserve"> 47.5.4.</w:t>
      </w:r>
    </w:p>
  </w:footnote>
  <w:footnote w:id="273">
    <w:p w:rsidR="00E456CD" w:rsidRDefault="00000000">
      <w:pPr>
        <w:pStyle w:val="Normal41"/>
        <w:widowControl w:val="0"/>
        <w:spacing w:before="120" w:line="240" w:lineRule="atLeast"/>
        <w:jc w:val="both"/>
      </w:pPr>
      <w:r>
        <w:rPr>
          <w:rFonts w:ascii="Arial" w:eastAsia="Arial" w:hAnsi="Arial" w:cs="Arial"/>
          <w:color w:val="000000"/>
          <w:sz w:val="18"/>
          <w:vertAlign w:val="superscript"/>
        </w:rPr>
        <w:t>* </w:t>
      </w:r>
      <w:bookmarkStart w:id="6282" w:name="Bookmark_fnpara_1_35"/>
      <w:bookmarkEnd w:id="6282"/>
      <w:r>
        <w:rPr>
          <w:rFonts w:ascii="Arial" w:eastAsia="Arial" w:hAnsi="Arial" w:cs="Arial"/>
          <w:color w:val="000000"/>
          <w:sz w:val="18"/>
        </w:rPr>
        <w:t>This summary constitutes no part of the opinion of the court. It has been prepared by court staff for the convenience of the reader.</w:t>
      </w:r>
    </w:p>
  </w:footnote>
  <w:footnote w:id="274">
    <w:p w:rsidR="00E456CD" w:rsidRDefault="00000000">
      <w:pPr>
        <w:pStyle w:val="Normal41"/>
        <w:widowControl w:val="0"/>
        <w:spacing w:before="120" w:line="240" w:lineRule="atLeast"/>
        <w:jc w:val="both"/>
      </w:pPr>
      <w:r>
        <w:rPr>
          <w:rFonts w:ascii="Arial" w:eastAsia="Arial" w:hAnsi="Arial" w:cs="Arial"/>
          <w:color w:val="000000"/>
          <w:sz w:val="18"/>
          <w:vertAlign w:val="superscript"/>
        </w:rPr>
        <w:t>1 </w:t>
      </w:r>
      <w:bookmarkStart w:id="6296" w:name="Bookmark_fnpara_2_27"/>
      <w:bookmarkEnd w:id="6296"/>
      <w:r>
        <w:rPr>
          <w:rFonts w:ascii="Arial" w:eastAsia="Arial" w:hAnsi="Arial" w:cs="Arial"/>
          <w:color w:val="000000"/>
          <w:sz w:val="18"/>
        </w:rPr>
        <w:t>Updike explains that a deaf guest in his home assaulted him after he refused to give the guest money.</w:t>
      </w:r>
    </w:p>
  </w:footnote>
  <w:footnote w:id="275">
    <w:p w:rsidR="00E456CD" w:rsidRDefault="00000000">
      <w:pPr>
        <w:pStyle w:val="Normal41"/>
        <w:widowControl w:val="0"/>
        <w:spacing w:before="120" w:line="240" w:lineRule="atLeast"/>
        <w:jc w:val="both"/>
      </w:pPr>
      <w:r>
        <w:rPr>
          <w:rFonts w:ascii="Arial" w:eastAsia="Arial" w:hAnsi="Arial" w:cs="Arial"/>
          <w:color w:val="000000"/>
          <w:sz w:val="18"/>
          <w:vertAlign w:val="superscript"/>
        </w:rPr>
        <w:t>2 </w:t>
      </w:r>
      <w:bookmarkStart w:id="6299" w:name="Bookmark_fnpara_3_23"/>
      <w:bookmarkEnd w:id="6299"/>
      <w:r>
        <w:rPr>
          <w:rFonts w:ascii="Arial" w:eastAsia="Arial" w:hAnsi="Arial" w:cs="Arial"/>
          <w:color w:val="000000"/>
          <w:sz w:val="18"/>
        </w:rPr>
        <w:t>TDD and TTY are used interchangeably by Updike and throughout this opinion.</w:t>
      </w:r>
    </w:p>
  </w:footnote>
  <w:footnote w:id="276">
    <w:p w:rsidR="00E456CD" w:rsidRDefault="00000000">
      <w:pPr>
        <w:pStyle w:val="Normal41"/>
        <w:widowControl w:val="0"/>
        <w:spacing w:before="200" w:line="240" w:lineRule="atLeast"/>
        <w:jc w:val="both"/>
      </w:pPr>
      <w:r>
        <w:rPr>
          <w:rFonts w:ascii="Arial" w:eastAsia="Arial" w:hAnsi="Arial" w:cs="Arial"/>
          <w:color w:val="000000"/>
          <w:sz w:val="18"/>
          <w:vertAlign w:val="superscript"/>
        </w:rPr>
        <w:t>3 </w:t>
      </w:r>
      <w:bookmarkStart w:id="6314" w:name="Bookmark_fnpara_4_21"/>
      <w:bookmarkStart w:id="6315" w:name="Bookmark_I5PJP99X28T3X70020000400"/>
      <w:bookmarkEnd w:id="6314"/>
      <w:bookmarkEnd w:id="6315"/>
      <w:r>
        <w:rPr>
          <w:rFonts w:ascii="Arial" w:eastAsia="Arial" w:hAnsi="Arial" w:cs="Arial"/>
          <w:color w:val="000000"/>
          <w:sz w:val="18"/>
        </w:rPr>
        <w:t xml:space="preserve">Sacomano disputes whether Updike requested an ASL interpreter at this meeting. </w:t>
      </w:r>
      <w:bookmarkStart w:id="6316" w:name="Bookmark_LNHNREFclscc1_33"/>
      <w:bookmarkEnd w:id="6316"/>
      <w:r>
        <w:rPr>
          <w:rFonts w:ascii="Arial" w:eastAsia="Arial" w:hAnsi="Arial" w:cs="Arial"/>
          <w:color w:val="000000"/>
          <w:sz w:val="18"/>
        </w:rPr>
        <w:t xml:space="preserve">Because this is an appeal from the grant of summary judgment to Defendants, we construe the facts in the light most favorable to Updike as the non-moving party. </w:t>
      </w:r>
      <w:r>
        <w:rPr>
          <w:rFonts w:ascii="Arial" w:eastAsia="Arial" w:hAnsi="Arial" w:cs="Arial"/>
          <w:i/>
          <w:color w:val="000000"/>
          <w:sz w:val="18"/>
        </w:rPr>
        <w:t xml:space="preserve">See </w:t>
      </w:r>
      <w:bookmarkStart w:id="6317" w:name="Bookmark_I5PJP99X28T3X70010000400"/>
      <w:bookmarkEnd w:id="6317"/>
      <w:r>
        <w:rPr>
          <w:rFonts w:ascii="Arial" w:eastAsia="Arial" w:hAnsi="Arial" w:cs="Arial"/>
          <w:i/>
          <w:color w:val="000000"/>
          <w:sz w:val="18"/>
        </w:rPr>
        <w:t>Olsen v. Idaho State Bd. of Med.</w:t>
      </w:r>
      <w:r>
        <w:rPr>
          <w:rFonts w:ascii="Arial" w:eastAsia="Arial" w:hAnsi="Arial" w:cs="Arial"/>
          <w:color w:val="000000"/>
          <w:sz w:val="18"/>
        </w:rPr>
        <w:t>, 363 F.3d 916, 922 (9th Cir. 2004).</w:t>
      </w:r>
    </w:p>
  </w:footnote>
  <w:footnote w:id="277">
    <w:p w:rsidR="00E456CD" w:rsidRDefault="00000000">
      <w:pPr>
        <w:pStyle w:val="Normal41"/>
        <w:widowControl w:val="0"/>
        <w:spacing w:before="200" w:line="240" w:lineRule="atLeast"/>
        <w:jc w:val="both"/>
      </w:pPr>
      <w:r>
        <w:rPr>
          <w:rFonts w:ascii="Arial" w:eastAsia="Arial" w:hAnsi="Arial" w:cs="Arial"/>
          <w:color w:val="000000"/>
          <w:sz w:val="18"/>
          <w:vertAlign w:val="superscript"/>
        </w:rPr>
        <w:t>4 </w:t>
      </w:r>
      <w:bookmarkStart w:id="6318" w:name="Bookmark_fnpara_5_17"/>
      <w:bookmarkStart w:id="6319" w:name="Bookmark_I4GSWX1NFCH0010DC99002BB"/>
      <w:bookmarkStart w:id="6320" w:name="Bookmark_I5PJP99X28T3X70040000400"/>
      <w:bookmarkEnd w:id="6318"/>
      <w:bookmarkEnd w:id="6319"/>
      <w:bookmarkEnd w:id="6320"/>
      <w:r>
        <w:rPr>
          <w:rFonts w:ascii="Arial" w:eastAsia="Arial" w:hAnsi="Arial" w:cs="Arial"/>
          <w:color w:val="000000"/>
          <w:sz w:val="18"/>
        </w:rPr>
        <w:t xml:space="preserve">Sacomano's log entries noted that Updike's case was dismissed, that Updike had poor reporting during his time with pretrial services, that Updike used his hearing impairment as the reason for not complying with the conditions of supervision, and that their interactions were challenging because Updike "argued" everything. The "hearing impaired, learning impaired, and developmentally disabled individuals engage in a range of coping mechanisms that can give the false impression of uncooperative behavior or lack of remorse." </w:t>
      </w:r>
      <w:bookmarkStart w:id="6321" w:name="Bookmark_I5PJP99X28T3X70030000400"/>
      <w:bookmarkEnd w:id="6321"/>
      <w:r>
        <w:rPr>
          <w:rFonts w:ascii="Arial" w:eastAsia="Arial" w:hAnsi="Arial" w:cs="Arial"/>
          <w:i/>
          <w:color w:val="000000"/>
          <w:sz w:val="18"/>
        </w:rPr>
        <w:t>Armstrong v. Davis</w:t>
      </w:r>
      <w:r>
        <w:rPr>
          <w:rFonts w:ascii="Arial" w:eastAsia="Arial" w:hAnsi="Arial" w:cs="Arial"/>
          <w:color w:val="000000"/>
          <w:sz w:val="18"/>
        </w:rPr>
        <w:t xml:space="preserve">, 275 F.3d 849, 867 (9th Cir. 2001), </w:t>
      </w:r>
      <w:r>
        <w:rPr>
          <w:rFonts w:ascii="Arial" w:eastAsia="Arial" w:hAnsi="Arial" w:cs="Arial"/>
          <w:i/>
          <w:color w:val="000000"/>
          <w:sz w:val="18"/>
        </w:rPr>
        <w:t xml:space="preserve">abrogated on other grounds by </w:t>
      </w:r>
      <w:bookmarkStart w:id="6322" w:name="Bookmark_I5PJP99X28T3X70050000400"/>
      <w:bookmarkEnd w:id="6322"/>
      <w:r>
        <w:rPr>
          <w:rFonts w:ascii="Arial" w:eastAsia="Arial" w:hAnsi="Arial" w:cs="Arial"/>
          <w:i/>
          <w:color w:val="000000"/>
          <w:sz w:val="18"/>
        </w:rPr>
        <w:t>Johnson v. California</w:t>
      </w:r>
      <w:r>
        <w:rPr>
          <w:rFonts w:ascii="Arial" w:eastAsia="Arial" w:hAnsi="Arial" w:cs="Arial"/>
          <w:color w:val="000000"/>
          <w:sz w:val="18"/>
        </w:rPr>
        <w:t xml:space="preserve">, 543 U.S. 499, 504-05, 125 S. Ct. 1141, 160 L. Ed. 2d 949 (2005). As a result, it is likely that such individuals may have difficulty interacting with personnel who supervise them. </w:t>
      </w:r>
      <w:r>
        <w:rPr>
          <w:rFonts w:ascii="Arial" w:eastAsia="Arial" w:hAnsi="Arial" w:cs="Arial"/>
          <w:i/>
          <w:color w:val="000000"/>
          <w:sz w:val="18"/>
        </w:rPr>
        <w:t>Id.</w:t>
      </w:r>
      <w:r>
        <w:rPr>
          <w:rFonts w:ascii="Arial" w:eastAsia="Arial" w:hAnsi="Arial" w:cs="Arial"/>
          <w:color w:val="000000"/>
          <w:sz w:val="18"/>
        </w:rPr>
        <w:t xml:space="preserve"> This is one basis that may explain why the interactions between Sacomano and Updike were challenging.</w:t>
      </w:r>
    </w:p>
  </w:footnote>
  <w:footnote w:id="278">
    <w:p w:rsidR="00E456CD" w:rsidRDefault="00000000">
      <w:pPr>
        <w:pStyle w:val="Normal41"/>
        <w:widowControl w:val="0"/>
        <w:spacing w:before="200" w:line="240" w:lineRule="atLeast"/>
        <w:jc w:val="both"/>
      </w:pPr>
      <w:r>
        <w:rPr>
          <w:rFonts w:ascii="Arial" w:eastAsia="Arial" w:hAnsi="Arial" w:cs="Arial"/>
          <w:color w:val="000000"/>
          <w:sz w:val="18"/>
          <w:vertAlign w:val="superscript"/>
        </w:rPr>
        <w:t>5 </w:t>
      </w:r>
      <w:bookmarkStart w:id="6354" w:name="Bookmark_fnpara_6_13"/>
      <w:bookmarkStart w:id="6355" w:name="Bookmark_I5PJP99Y2SF7JY0040000400"/>
      <w:bookmarkEnd w:id="6354"/>
      <w:bookmarkEnd w:id="6355"/>
      <w:r>
        <w:rPr>
          <w:rFonts w:ascii="Arial" w:eastAsia="Arial" w:hAnsi="Arial" w:cs="Arial"/>
          <w:color w:val="000000"/>
          <w:sz w:val="18"/>
        </w:rPr>
        <w:t xml:space="preserve">Nor could the County or State really dispute this: The State and County's alleged failure to provide Updike with an ASL interpreter or the use of auxiliary services constitute concrete and particularized injuries sufficient to satisfy Article III. Further, Updike's inability to effectively communicate with corrections staff or even communicate at all with his lawyer or family was caused by the Defendants' failure to provide him with accommodation and meaningful access. Finally, a decision favorable to Updike would redress his injuries. </w:t>
      </w:r>
      <w:r>
        <w:rPr>
          <w:rFonts w:ascii="Arial" w:eastAsia="Arial" w:hAnsi="Arial" w:cs="Arial"/>
          <w:i/>
          <w:color w:val="000000"/>
          <w:sz w:val="18"/>
        </w:rPr>
        <w:t xml:space="preserve">See </w:t>
      </w:r>
      <w:bookmarkStart w:id="6356" w:name="Bookmark_I5PJP99Y2SF7JY0030000400"/>
      <w:bookmarkEnd w:id="6356"/>
      <w:r>
        <w:rPr>
          <w:rFonts w:ascii="Arial" w:eastAsia="Arial" w:hAnsi="Arial" w:cs="Arial"/>
          <w:i/>
          <w:color w:val="000000"/>
          <w:sz w:val="18"/>
        </w:rPr>
        <w:t>Lujan</w:t>
      </w:r>
      <w:r>
        <w:rPr>
          <w:rFonts w:ascii="Arial" w:eastAsia="Arial" w:hAnsi="Arial" w:cs="Arial"/>
          <w:color w:val="000000"/>
          <w:sz w:val="18"/>
        </w:rPr>
        <w:t>, 504 U.S. at 560-61.</w:t>
      </w:r>
    </w:p>
  </w:footnote>
  <w:footnote w:id="279">
    <w:p w:rsidR="00E456CD" w:rsidRDefault="00000000">
      <w:pPr>
        <w:pStyle w:val="Normal41"/>
        <w:widowControl w:val="0"/>
        <w:spacing w:before="200" w:line="240" w:lineRule="atLeast"/>
        <w:jc w:val="both"/>
      </w:pPr>
      <w:r>
        <w:rPr>
          <w:rFonts w:ascii="Arial" w:eastAsia="Arial" w:hAnsi="Arial" w:cs="Arial"/>
          <w:color w:val="000000"/>
          <w:sz w:val="18"/>
          <w:vertAlign w:val="superscript"/>
        </w:rPr>
        <w:t>6 </w:t>
      </w:r>
      <w:bookmarkStart w:id="6490" w:name="Bookmark_fnpara_7_12"/>
      <w:bookmarkStart w:id="6491" w:name="Bookmark_I5PJP99Y28T3XX0020000400"/>
      <w:bookmarkStart w:id="6492" w:name="Bookmark_I5PJP99Y28T3XX0040000400"/>
      <w:bookmarkEnd w:id="6490"/>
      <w:bookmarkEnd w:id="6491"/>
      <w:bookmarkEnd w:id="6492"/>
      <w:r>
        <w:rPr>
          <w:rFonts w:ascii="Arial" w:eastAsia="Arial" w:hAnsi="Arial" w:cs="Arial"/>
          <w:color w:val="000000"/>
          <w:sz w:val="18"/>
        </w:rPr>
        <w:t xml:space="preserve">Updike also contends that an inmate with a communication-related disability "often lacks the ability to communicate his need for accommodation." </w:t>
      </w:r>
      <w:r>
        <w:rPr>
          <w:rFonts w:ascii="Arial" w:eastAsia="Arial" w:hAnsi="Arial" w:cs="Arial"/>
          <w:i/>
          <w:color w:val="000000"/>
          <w:sz w:val="18"/>
        </w:rPr>
        <w:t xml:space="preserve">See, e.g., </w:t>
      </w:r>
      <w:bookmarkStart w:id="6493" w:name="Bookmark_I5PJP99Y28T3XX0010000400"/>
      <w:bookmarkEnd w:id="6493"/>
      <w:r>
        <w:rPr>
          <w:rFonts w:ascii="Arial" w:eastAsia="Arial" w:hAnsi="Arial" w:cs="Arial"/>
          <w:i/>
          <w:color w:val="000000"/>
          <w:sz w:val="18"/>
        </w:rPr>
        <w:t>Pierce</w:t>
      </w:r>
      <w:r>
        <w:rPr>
          <w:rFonts w:ascii="Arial" w:eastAsia="Arial" w:hAnsi="Arial" w:cs="Arial"/>
          <w:color w:val="000000"/>
          <w:sz w:val="18"/>
        </w:rPr>
        <w:t xml:space="preserve">, 128 F. Supp. 3d at 269 ("[Defendant] does not explain how inmates with known communications-related difficulties (such as [Plaintiff]) are supposed to communicate a need for accommodations, or, for that matter, why the protections of Section 504 and Title II should be construed to be unavailable to such disabled persons unless they somehow manage to overcome their communications-related disability sufficiently enough to convey their need for accommodations effectively."). Our case law is clear on this point: there may be situations where a public entity's duty to look into and provide a reasonable accommodation may be triggered when "the need for accommodation is obvious," and the public entity is on notice about a need for accommodation. </w:t>
      </w:r>
      <w:bookmarkStart w:id="6494" w:name="Bookmark_I5PJP99Y28T3XX0030000400"/>
      <w:bookmarkEnd w:id="6494"/>
      <w:r>
        <w:rPr>
          <w:rFonts w:ascii="Arial" w:eastAsia="Arial" w:hAnsi="Arial" w:cs="Arial"/>
          <w:i/>
          <w:color w:val="000000"/>
          <w:sz w:val="18"/>
        </w:rPr>
        <w:t>Duvall</w:t>
      </w:r>
      <w:r>
        <w:rPr>
          <w:rFonts w:ascii="Arial" w:eastAsia="Arial" w:hAnsi="Arial" w:cs="Arial"/>
          <w:color w:val="000000"/>
          <w:sz w:val="18"/>
        </w:rPr>
        <w:t>, 260 F.3d at 1139.</w:t>
      </w:r>
    </w:p>
  </w:footnote>
  <w:footnote w:id="280">
    <w:p w:rsidR="00E456CD" w:rsidRDefault="00000000">
      <w:pPr>
        <w:pStyle w:val="Normal41"/>
        <w:widowControl w:val="0"/>
        <w:spacing w:before="120" w:line="240" w:lineRule="atLeast"/>
        <w:jc w:val="both"/>
      </w:pPr>
      <w:r>
        <w:rPr>
          <w:rFonts w:ascii="Arial" w:eastAsia="Arial" w:hAnsi="Arial" w:cs="Arial"/>
          <w:color w:val="000000"/>
          <w:sz w:val="18"/>
          <w:vertAlign w:val="superscript"/>
        </w:rPr>
        <w:t>7 </w:t>
      </w:r>
      <w:bookmarkStart w:id="6521" w:name="Bookmark_fnpara_8_12"/>
      <w:bookmarkEnd w:id="6521"/>
      <w:r>
        <w:rPr>
          <w:rFonts w:ascii="Arial" w:eastAsia="Arial" w:hAnsi="Arial" w:cs="Arial"/>
          <w:color w:val="000000"/>
          <w:sz w:val="18"/>
        </w:rPr>
        <w:t>The County makes no argument that providing Updike with an interpreter or providing other auxiliary services, such as a TTD, would have been unduly burdensome. Nor would this argument have much weight, given their existing contract with Columbia Language Services to provide those in custody with ASL interpreter services.</w:t>
      </w:r>
    </w:p>
  </w:footnote>
  <w:footnote w:id="281">
    <w:p w:rsidR="00E456CD" w:rsidRDefault="00000000">
      <w:pPr>
        <w:pStyle w:val="Normal43"/>
        <w:widowControl w:val="0"/>
        <w:spacing w:before="120" w:line="240" w:lineRule="atLeast"/>
        <w:jc w:val="both"/>
      </w:pPr>
      <w:r>
        <w:rPr>
          <w:rFonts w:ascii="Arial" w:eastAsia="Arial" w:hAnsi="Arial" w:cs="Arial"/>
          <w:color w:val="000000"/>
          <w:sz w:val="18"/>
          <w:vertAlign w:val="superscript"/>
        </w:rPr>
        <w:t>1 </w:t>
      </w:r>
      <w:bookmarkStart w:id="6629" w:name="Bookmark_fnpara_1_36"/>
      <w:bookmarkEnd w:id="6629"/>
      <w:r>
        <w:rPr>
          <w:rFonts w:ascii="Arial" w:eastAsia="Arial" w:hAnsi="Arial" w:cs="Arial"/>
          <w:color w:val="000000"/>
          <w:sz w:val="18"/>
        </w:rPr>
        <w:t>Although Patton filed the charge of discrimination with both the LCHR and the EEOC, it appears that only the EEOC investigated the charge.</w:t>
      </w:r>
    </w:p>
  </w:footnote>
  <w:footnote w:id="282">
    <w:p w:rsidR="00E456CD" w:rsidRDefault="00000000">
      <w:pPr>
        <w:pStyle w:val="Normal43"/>
        <w:widowControl w:val="0"/>
        <w:spacing w:before="120" w:line="240" w:lineRule="atLeast"/>
        <w:jc w:val="both"/>
      </w:pPr>
      <w:r>
        <w:rPr>
          <w:rFonts w:ascii="Arial" w:eastAsia="Arial" w:hAnsi="Arial" w:cs="Arial"/>
          <w:color w:val="000000"/>
          <w:sz w:val="18"/>
          <w:vertAlign w:val="superscript"/>
        </w:rPr>
        <w:t>2 </w:t>
      </w:r>
      <w:bookmarkStart w:id="6693" w:name="Bookmark_fnpara_2_28"/>
      <w:bookmarkEnd w:id="6693"/>
      <w:r>
        <w:rPr>
          <w:rFonts w:ascii="Arial" w:eastAsia="Arial" w:hAnsi="Arial" w:cs="Arial"/>
          <w:color w:val="000000"/>
          <w:sz w:val="18"/>
        </w:rPr>
        <w:t>Because we dispose of Patton's failure to accommodate claim against Talascend on the merits, we need not address Talascend's alternative argument that Patton's EEOC charge was untimely.</w:t>
      </w:r>
    </w:p>
  </w:footnote>
  <w:footnote w:id="283">
    <w:p w:rsidR="00E456CD" w:rsidRDefault="00000000">
      <w:pPr>
        <w:pStyle w:val="Normal43"/>
        <w:widowControl w:val="0"/>
        <w:spacing w:before="200" w:line="240" w:lineRule="atLeast"/>
        <w:jc w:val="both"/>
      </w:pPr>
      <w:r>
        <w:rPr>
          <w:rFonts w:ascii="Arial" w:eastAsia="Arial" w:hAnsi="Arial" w:cs="Arial"/>
          <w:color w:val="000000"/>
          <w:sz w:val="18"/>
          <w:vertAlign w:val="superscript"/>
        </w:rPr>
        <w:t>3 </w:t>
      </w:r>
      <w:bookmarkStart w:id="6728" w:name="Bookmark_fnpara_3_24"/>
      <w:bookmarkEnd w:id="6728"/>
      <w:r>
        <w:rPr>
          <w:rFonts w:ascii="Arial" w:eastAsia="Arial" w:hAnsi="Arial" w:cs="Arial"/>
          <w:color w:val="000000"/>
          <w:sz w:val="18"/>
        </w:rPr>
        <w:t xml:space="preserve">Patton also seems to contend that general office noise at Jacobs contributed to the hostile work environment. </w:t>
      </w:r>
      <w:bookmarkStart w:id="6729" w:name="Bookmark_I5P73DB52D6NTD0010000400"/>
      <w:bookmarkEnd w:id="6729"/>
      <w:r>
        <w:rPr>
          <w:rFonts w:ascii="Arial" w:eastAsia="Arial" w:hAnsi="Arial" w:cs="Arial"/>
          <w:color w:val="000000"/>
          <w:sz w:val="18"/>
        </w:rPr>
        <w:t xml:space="preserve">As the district court noted, however, a noisy office environment does not support Patton's ADA claim because the noise was not directed at Patton. Thus, the noisy office environment was not "based on" Patton's disability. </w:t>
      </w:r>
      <w:bookmarkStart w:id="6730" w:name="Bookmark_I5P73DB52SF8HV0050000400"/>
      <w:bookmarkEnd w:id="6730"/>
      <w:r>
        <w:rPr>
          <w:rFonts w:ascii="Arial" w:eastAsia="Arial" w:hAnsi="Arial" w:cs="Arial"/>
          <w:i/>
          <w:color w:val="000000"/>
          <w:sz w:val="18"/>
        </w:rPr>
        <w:t>Flowers</w:t>
      </w:r>
      <w:r>
        <w:rPr>
          <w:rFonts w:ascii="Arial" w:eastAsia="Arial" w:hAnsi="Arial" w:cs="Arial"/>
          <w:color w:val="000000"/>
          <w:sz w:val="18"/>
        </w:rPr>
        <w:t xml:space="preserve">, 247 F.3d at 235 (quoting </w:t>
      </w:r>
      <w:bookmarkStart w:id="6731" w:name="Bookmark_I5P73DB52D6NTD0020000400"/>
      <w:bookmarkEnd w:id="6731"/>
      <w:r>
        <w:rPr>
          <w:rFonts w:ascii="Arial" w:eastAsia="Arial" w:hAnsi="Arial" w:cs="Arial"/>
          <w:i/>
          <w:color w:val="000000"/>
          <w:sz w:val="18"/>
        </w:rPr>
        <w:t>McConathy</w:t>
      </w:r>
      <w:r>
        <w:rPr>
          <w:rFonts w:ascii="Arial" w:eastAsia="Arial" w:hAnsi="Arial" w:cs="Arial"/>
          <w:color w:val="000000"/>
          <w:sz w:val="18"/>
        </w:rPr>
        <w:t>, 131 F.3d at 563).</w:t>
      </w:r>
    </w:p>
  </w:footnote>
  <w:footnote w:id="284">
    <w:p w:rsidR="00E456CD" w:rsidRDefault="00000000">
      <w:pPr>
        <w:pStyle w:val="Normal44"/>
        <w:widowControl w:val="0"/>
        <w:spacing w:before="120" w:line="240" w:lineRule="atLeast"/>
        <w:jc w:val="both"/>
      </w:pPr>
      <w:r>
        <w:rPr>
          <w:rFonts w:ascii="Arial" w:eastAsia="Arial" w:hAnsi="Arial" w:cs="Arial"/>
          <w:color w:val="000000"/>
          <w:sz w:val="18"/>
          <w:vertAlign w:val="superscript"/>
        </w:rPr>
        <w:t>* </w:t>
      </w:r>
      <w:bookmarkStart w:id="6761" w:name="Bookmark_fnpara_1_37"/>
      <w:bookmarkEnd w:id="6761"/>
      <w:r>
        <w:rPr>
          <w:rFonts w:ascii="Arial" w:eastAsia="Arial" w:hAnsi="Arial" w:cs="Arial"/>
          <w:color w:val="000000"/>
          <w:sz w:val="18"/>
        </w:rPr>
        <w:t>This summary constitutes no part of the opinion of the court. It has been prepared by court staff for the convenience of the reader.</w:t>
      </w:r>
    </w:p>
  </w:footnote>
  <w:footnote w:id="285">
    <w:p w:rsidR="00E456CD" w:rsidRDefault="00000000">
      <w:pPr>
        <w:pStyle w:val="Normal44"/>
        <w:widowControl w:val="0"/>
        <w:spacing w:before="120" w:line="240" w:lineRule="atLeast"/>
        <w:jc w:val="both"/>
      </w:pPr>
      <w:r>
        <w:rPr>
          <w:rFonts w:ascii="Arial" w:eastAsia="Arial" w:hAnsi="Arial" w:cs="Arial"/>
          <w:color w:val="000000"/>
          <w:sz w:val="18"/>
          <w:vertAlign w:val="superscript"/>
        </w:rPr>
        <w:t>1 </w:t>
      </w:r>
      <w:bookmarkStart w:id="6784" w:name="Bookmark_fnpara_2_29"/>
      <w:bookmarkEnd w:id="6784"/>
      <w:r>
        <w:rPr>
          <w:rFonts w:ascii="Arial" w:eastAsia="Arial" w:hAnsi="Arial" w:cs="Arial"/>
          <w:color w:val="000000"/>
          <w:sz w:val="18"/>
        </w:rPr>
        <w:t>Plaintiff also alleged violations of state law. The district court dismissed those claims on the ground that they "are predicated on the viability of his ADA claim." Because we reverse the dismissal of the ADA claim, we also reverse the dismissal of the state-law claims.</w:t>
      </w:r>
    </w:p>
  </w:footnote>
  <w:footnote w:id="286">
    <w:p w:rsidR="00E456CD" w:rsidRDefault="00000000">
      <w:pPr>
        <w:pStyle w:val="Normal44"/>
        <w:widowControl w:val="0"/>
        <w:spacing w:before="120" w:line="240" w:lineRule="atLeast"/>
        <w:jc w:val="both"/>
      </w:pPr>
      <w:r>
        <w:rPr>
          <w:rFonts w:ascii="Arial" w:eastAsia="Arial" w:hAnsi="Arial" w:cs="Arial"/>
          <w:color w:val="000000"/>
          <w:sz w:val="18"/>
          <w:vertAlign w:val="superscript"/>
        </w:rPr>
        <w:t>2 </w:t>
      </w:r>
      <w:bookmarkStart w:id="6857" w:name="Bookmark_fnpara_3_25"/>
      <w:bookmarkEnd w:id="6857"/>
      <w:r>
        <w:rPr>
          <w:rFonts w:ascii="Arial" w:eastAsia="Arial" w:hAnsi="Arial" w:cs="Arial"/>
          <w:color w:val="000000"/>
          <w:sz w:val="18"/>
        </w:rPr>
        <w:t>We address this alternative contention both because the parties focused much of their briefing on this statutory provision and because, as just noted, an "architectural barriers" claim may be easier to prove.</w:t>
      </w:r>
    </w:p>
  </w:footnote>
  <w:footnote w:id="287">
    <w:p w:rsidR="00E456CD" w:rsidRDefault="00000000">
      <w:pPr>
        <w:pStyle w:val="Normal44"/>
        <w:widowControl w:val="0"/>
        <w:spacing w:before="120" w:line="240" w:lineRule="atLeast"/>
        <w:jc w:val="both"/>
      </w:pPr>
      <w:r>
        <w:rPr>
          <w:rFonts w:ascii="Arial" w:eastAsia="Arial" w:hAnsi="Arial" w:cs="Arial"/>
          <w:color w:val="000000"/>
          <w:sz w:val="18"/>
          <w:vertAlign w:val="superscript"/>
        </w:rPr>
        <w:t>3 </w:t>
      </w:r>
      <w:bookmarkStart w:id="6871" w:name="Bookmark_fnpara_4_22"/>
      <w:bookmarkEnd w:id="6871"/>
      <w:r>
        <w:rPr>
          <w:rFonts w:ascii="Arial" w:eastAsia="Arial" w:hAnsi="Arial" w:cs="Arial"/>
          <w:color w:val="000000"/>
          <w:sz w:val="18"/>
        </w:rPr>
        <w:t>Our decision is limited, as it must be, to the particular question before us. Nothing in this opinion is intended to cast doubt on the application of this statutory section and the corresponding regulation to other factual scenarios, such as the practice by rental-car companies of installing vehicle hand controls in their rental cars. We decline the separate opinion's invitation to address factual situations and legal issues not before us.</w:t>
      </w:r>
    </w:p>
  </w:footnote>
  <w:footnote w:id="288">
    <w:p w:rsidR="00E456CD" w:rsidRDefault="00000000">
      <w:pPr>
        <w:pStyle w:val="Normal44"/>
        <w:widowControl w:val="0"/>
        <w:spacing w:before="200" w:line="240" w:lineRule="atLeast"/>
        <w:jc w:val="both"/>
      </w:pPr>
      <w:r>
        <w:rPr>
          <w:rFonts w:ascii="Arial" w:eastAsia="Arial" w:hAnsi="Arial" w:cs="Arial"/>
          <w:color w:val="000000"/>
          <w:sz w:val="18"/>
          <w:vertAlign w:val="superscript"/>
        </w:rPr>
        <w:t>4 </w:t>
      </w:r>
      <w:bookmarkStart w:id="6896" w:name="Bookmark_fnpara_5_18"/>
      <w:bookmarkEnd w:id="6896"/>
      <w:r>
        <w:rPr>
          <w:rFonts w:ascii="Arial" w:eastAsia="Arial" w:hAnsi="Arial" w:cs="Arial"/>
          <w:color w:val="000000"/>
          <w:sz w:val="18"/>
        </w:rPr>
        <w:t xml:space="preserve">That interpretive canon, like "the specific governs over the general," ordinarily applies to provisions of a statute. But we regularly hold that a generic canon of statutory interpretation "applies equally to regulations," </w:t>
      </w:r>
      <w:bookmarkStart w:id="6897" w:name="Bookmark_I5P5KKKC2N1RP10030000400"/>
      <w:bookmarkEnd w:id="6897"/>
      <w:r>
        <w:rPr>
          <w:rFonts w:ascii="Arial" w:eastAsia="Arial" w:hAnsi="Arial" w:cs="Arial"/>
          <w:i/>
          <w:color w:val="000000"/>
          <w:sz w:val="18"/>
        </w:rPr>
        <w:t>Lezama-Garcia v. Holder</w:t>
      </w:r>
      <w:r>
        <w:rPr>
          <w:rFonts w:ascii="Arial" w:eastAsia="Arial" w:hAnsi="Arial" w:cs="Arial"/>
          <w:color w:val="000000"/>
          <w:sz w:val="18"/>
        </w:rPr>
        <w:t>, 666 F.3d 518, 531 n.13 (9th Cir. 2011), and we see no reason why these two canons do not apply equally to regulations.</w:t>
      </w:r>
    </w:p>
  </w:footnote>
  <w:footnote w:id="289">
    <w:p w:rsidR="00E456CD" w:rsidRDefault="00000000">
      <w:pPr>
        <w:pStyle w:val="Normal44"/>
        <w:widowControl w:val="0"/>
        <w:spacing w:before="200" w:line="240" w:lineRule="atLeast"/>
        <w:jc w:val="both"/>
      </w:pPr>
      <w:r>
        <w:rPr>
          <w:rFonts w:ascii="Arial" w:eastAsia="Arial" w:hAnsi="Arial" w:cs="Arial"/>
          <w:color w:val="000000"/>
          <w:sz w:val="18"/>
          <w:vertAlign w:val="superscript"/>
        </w:rPr>
        <w:t>1 </w:t>
      </w:r>
      <w:bookmarkStart w:id="6913" w:name="Bookmark_fnpara_6_14"/>
      <w:bookmarkStart w:id="6914" w:name="Bookmark_I1JNTCM1FJP000PYJ7C0003C"/>
      <w:bookmarkStart w:id="6915" w:name="Bookmark_I5P5KKKC2D6MV90050000400"/>
      <w:bookmarkEnd w:id="6913"/>
      <w:bookmarkEnd w:id="6914"/>
      <w:bookmarkEnd w:id="6915"/>
      <w:r>
        <w:rPr>
          <w:rFonts w:ascii="Arial" w:eastAsia="Arial" w:hAnsi="Arial" w:cs="Arial"/>
          <w:i/>
          <w:color w:val="000000"/>
          <w:sz w:val="18"/>
        </w:rPr>
        <w:t xml:space="preserve">See </w:t>
      </w:r>
      <w:bookmarkStart w:id="6916" w:name="Bookmark_I5P5KKKC2D6MV90040000400"/>
      <w:bookmarkEnd w:id="6916"/>
      <w:r>
        <w:rPr>
          <w:rFonts w:ascii="Arial" w:eastAsia="Arial" w:hAnsi="Arial" w:cs="Arial"/>
          <w:i/>
          <w:color w:val="000000"/>
          <w:sz w:val="18"/>
        </w:rPr>
        <w:t>Credit Suisse First Bos. Corp. v. Grunwald</w:t>
      </w:r>
      <w:r>
        <w:rPr>
          <w:rFonts w:ascii="Arial" w:eastAsia="Arial" w:hAnsi="Arial" w:cs="Arial"/>
          <w:color w:val="000000"/>
          <w:sz w:val="18"/>
        </w:rPr>
        <w:t xml:space="preserve">, 400 F.3d 1119, 1151 (9th Cir. 2005) (Berzon, J., concurring in the judgment) ("[B]ecause I cannot conclude with any reasonable certainty that the result . . . is necessarily wrong given the above-articulated concerns, the only prudent course of action for me is to set out my views in detail, as I have done, and to concur in the judgment, while remaining </w:t>
      </w:r>
      <w:r>
        <w:rPr>
          <w:rFonts w:ascii="Arial" w:eastAsia="Arial" w:hAnsi="Arial" w:cs="Arial"/>
          <w:i/>
          <w:color w:val="000000"/>
          <w:sz w:val="18"/>
        </w:rPr>
        <w:t>dubitante. See</w:t>
      </w:r>
      <w:r>
        <w:rPr>
          <w:rFonts w:ascii="Arial" w:eastAsia="Arial" w:hAnsi="Arial" w:cs="Arial"/>
          <w:color w:val="000000"/>
          <w:sz w:val="18"/>
        </w:rPr>
        <w:t xml:space="preserve"> </w:t>
      </w:r>
      <w:r>
        <w:rPr>
          <w:rFonts w:ascii="Arial" w:eastAsia="Arial" w:hAnsi="Arial" w:cs="Arial"/>
          <w:smallCaps/>
          <w:color w:val="000000"/>
          <w:sz w:val="18"/>
        </w:rPr>
        <w:t>Lon L. Fuller, Anatomy Of The Law 147</w:t>
      </w:r>
      <w:r>
        <w:rPr>
          <w:rFonts w:ascii="Arial" w:eastAsia="Arial" w:hAnsi="Arial" w:cs="Arial"/>
          <w:color w:val="000000"/>
          <w:sz w:val="18"/>
        </w:rPr>
        <w:t xml:space="preserve"> (1968) ('[E]xpressing the epitome of the common law spirit, there is the opinion entered </w:t>
      </w:r>
      <w:r>
        <w:rPr>
          <w:rFonts w:ascii="Arial" w:eastAsia="Arial" w:hAnsi="Arial" w:cs="Arial"/>
          <w:i/>
          <w:color w:val="000000"/>
          <w:sz w:val="18"/>
        </w:rPr>
        <w:t>dubitante</w:t>
      </w:r>
      <w:r>
        <w:rPr>
          <w:rFonts w:ascii="Arial" w:eastAsia="Arial" w:hAnsi="Arial" w:cs="Arial"/>
          <w:color w:val="000000"/>
          <w:sz w:val="18"/>
        </w:rPr>
        <w:t xml:space="preserve">—the judge is unhappy about some aspect of the decision rendered, but cannot quite bring himself to record an open dissent.')." (third alteration in original) (emphasis omitted)). </w:t>
      </w:r>
      <w:r>
        <w:rPr>
          <w:rFonts w:ascii="Arial" w:eastAsia="Arial" w:hAnsi="Arial" w:cs="Arial"/>
          <w:i/>
          <w:color w:val="000000"/>
          <w:sz w:val="18"/>
        </w:rPr>
        <w:t>See generally</w:t>
      </w:r>
      <w:r>
        <w:rPr>
          <w:rFonts w:ascii="Arial" w:eastAsia="Arial" w:hAnsi="Arial" w:cs="Arial"/>
          <w:color w:val="000000"/>
          <w:sz w:val="18"/>
        </w:rPr>
        <w:t xml:space="preserve"> Jason J. Czarnezki, </w:t>
      </w:r>
      <w:r>
        <w:rPr>
          <w:rFonts w:ascii="Arial" w:eastAsia="Arial" w:hAnsi="Arial" w:cs="Arial"/>
          <w:i/>
          <w:color w:val="000000"/>
          <w:sz w:val="18"/>
        </w:rPr>
        <w:t>The Dubitante Opinion</w:t>
      </w:r>
      <w:r>
        <w:rPr>
          <w:rFonts w:ascii="Arial" w:eastAsia="Arial" w:hAnsi="Arial" w:cs="Arial"/>
          <w:color w:val="000000"/>
          <w:sz w:val="18"/>
        </w:rPr>
        <w:t xml:space="preserve">, 39 </w:t>
      </w:r>
      <w:r>
        <w:rPr>
          <w:rFonts w:ascii="Arial" w:eastAsia="Arial" w:hAnsi="Arial" w:cs="Arial"/>
          <w:smallCaps/>
          <w:color w:val="000000"/>
          <w:sz w:val="18"/>
        </w:rPr>
        <w:t>Akron L. Rev.</w:t>
      </w:r>
      <w:r>
        <w:rPr>
          <w:rFonts w:ascii="Arial" w:eastAsia="Arial" w:hAnsi="Arial" w:cs="Arial"/>
          <w:color w:val="000000"/>
          <w:sz w:val="18"/>
        </w:rPr>
        <w:t xml:space="preserve"> 1 (2006) (providing a history of </w:t>
      </w:r>
      <w:r>
        <w:rPr>
          <w:rFonts w:ascii="Arial" w:eastAsia="Arial" w:hAnsi="Arial" w:cs="Arial"/>
          <w:i/>
          <w:color w:val="000000"/>
          <w:sz w:val="18"/>
        </w:rPr>
        <w:t>dubitante</w:t>
      </w:r>
      <w:r>
        <w:rPr>
          <w:rFonts w:ascii="Arial" w:eastAsia="Arial" w:hAnsi="Arial" w:cs="Arial"/>
          <w:color w:val="000000"/>
          <w:sz w:val="18"/>
        </w:rPr>
        <w:t xml:space="preserve"> opinions).</w:t>
      </w:r>
    </w:p>
  </w:footnote>
  <w:footnote w:id="290">
    <w:p w:rsidR="00E456CD" w:rsidRDefault="00000000">
      <w:pPr>
        <w:pStyle w:val="Normal44"/>
        <w:widowControl w:val="0"/>
        <w:spacing w:before="120" w:line="240" w:lineRule="atLeast"/>
        <w:jc w:val="both"/>
      </w:pPr>
      <w:r>
        <w:rPr>
          <w:rFonts w:ascii="Arial" w:eastAsia="Arial" w:hAnsi="Arial" w:cs="Arial"/>
          <w:color w:val="000000"/>
          <w:sz w:val="18"/>
          <w:vertAlign w:val="superscript"/>
        </w:rPr>
        <w:t>2 </w:t>
      </w:r>
      <w:bookmarkStart w:id="6949" w:name="Bookmark_fnpara_7_13"/>
      <w:bookmarkEnd w:id="6949"/>
      <w:r>
        <w:rPr>
          <w:rFonts w:ascii="Arial" w:eastAsia="Arial" w:hAnsi="Arial" w:cs="Arial"/>
          <w:color w:val="000000"/>
          <w:sz w:val="18"/>
        </w:rPr>
        <w:t>The regulations define "facility" as "all or any portion of buildings, structures, sites, complexes, equipment, rolling stock or other conveyances, roads, walks, passageways, parking lots, or other real or personal property, including the site where the building, property, structure, or equipment is located." 28 C.F.R. § 36.104.</w:t>
      </w:r>
    </w:p>
  </w:footnote>
  <w:footnote w:id="291">
    <w:p w:rsidR="00E456CD" w:rsidRDefault="00000000">
      <w:pPr>
        <w:pStyle w:val="Normal44"/>
        <w:widowControl w:val="0"/>
        <w:spacing w:before="120" w:line="240" w:lineRule="atLeast"/>
        <w:jc w:val="both"/>
      </w:pPr>
      <w:r>
        <w:rPr>
          <w:rFonts w:ascii="Arial" w:eastAsia="Arial" w:hAnsi="Arial" w:cs="Arial"/>
          <w:color w:val="000000"/>
          <w:sz w:val="18"/>
          <w:vertAlign w:val="superscript"/>
        </w:rPr>
        <w:t>3 </w:t>
      </w:r>
      <w:bookmarkStart w:id="6994" w:name="Bookmark_fnpara_8_13"/>
      <w:bookmarkEnd w:id="6994"/>
      <w:r>
        <w:rPr>
          <w:rFonts w:ascii="Arial" w:eastAsia="Arial" w:hAnsi="Arial" w:cs="Arial"/>
          <w:color w:val="000000"/>
          <w:sz w:val="18"/>
        </w:rPr>
        <w:t>The TAM makes clear that DOJ believed that the architectural barriers provision and the policies, practices, and procedures provision covered different problems. One of its illustrations for a policy, practice or procedure states:</w:t>
      </w:r>
    </w:p>
    <w:p w:rsidR="00E456CD" w:rsidRDefault="00000000">
      <w:pPr>
        <w:pStyle w:val="Normal44"/>
        <w:widowControl w:val="0"/>
        <w:spacing w:before="200" w:line="240" w:lineRule="atLeast"/>
        <w:ind w:left="400"/>
        <w:jc w:val="both"/>
      </w:pPr>
      <w:bookmarkStart w:id="6995" w:name="Bookmark_para_103_1"/>
      <w:bookmarkEnd w:id="6995"/>
      <w:r>
        <w:rPr>
          <w:rFonts w:ascii="Arial" w:eastAsia="Arial" w:hAnsi="Arial" w:cs="Arial"/>
          <w:color w:val="000000"/>
          <w:sz w:val="18"/>
        </w:rPr>
        <w:t>Under its obligation to remove architectural barriers where it is readily achievable to do so, a local motel has greatly improved physical access in several of its rooms. However, under its present reservation system, the motel is unable to guarantee that, when a person requests an accessible room, one of the new rooms will actually be available when he or she arrives. The ADA requires the motel to make reasonable modifications in its reservation system to ensure the availability of the accessible [**40]  room.</w:t>
      </w:r>
    </w:p>
    <w:p w:rsidR="00E456CD" w:rsidRDefault="00000000">
      <w:pPr>
        <w:pStyle w:val="Normal44"/>
        <w:widowControl w:val="0"/>
        <w:spacing w:before="120" w:line="240" w:lineRule="atLeast"/>
        <w:jc w:val="both"/>
      </w:pPr>
      <w:r>
        <w:rPr>
          <w:rFonts w:ascii="Arial" w:eastAsia="Arial" w:hAnsi="Arial" w:cs="Arial"/>
          <w:color w:val="000000"/>
          <w:sz w:val="18"/>
        </w:rPr>
        <w:t>TAM III-4.2100 (Illustration 2). Under the majority's reasoning, both accessibility problems—the motel's architectural barriers and its reservation system—could be addressed through § 12182(b)(2)(A)(ii), and not through § 12182(b)(2)(A)(ii) and (iv) as DOJ contemplated.</w:t>
      </w:r>
    </w:p>
  </w:footnote>
  <w:footnote w:id="292">
    <w:p w:rsidR="00E456CD" w:rsidRDefault="00000000">
      <w:pPr>
        <w:pStyle w:val="Normal45"/>
        <w:widowControl w:val="0"/>
        <w:spacing w:before="120" w:line="240" w:lineRule="atLeast"/>
        <w:jc w:val="both"/>
      </w:pPr>
      <w:r>
        <w:rPr>
          <w:rFonts w:ascii="Arial" w:eastAsia="Arial" w:hAnsi="Arial" w:cs="Arial"/>
          <w:color w:val="000000"/>
          <w:sz w:val="18"/>
          <w:vertAlign w:val="superscript"/>
        </w:rPr>
        <w:t>** </w:t>
      </w:r>
      <w:bookmarkStart w:id="7011" w:name="Bookmark_fnpara_1_38"/>
      <w:bookmarkEnd w:id="7011"/>
      <w:r>
        <w:rPr>
          <w:rFonts w:ascii="Arial" w:eastAsia="Arial" w:hAnsi="Arial" w:cs="Arial"/>
          <w:color w:val="000000"/>
          <w:sz w:val="18"/>
        </w:rPr>
        <w:t>The Honorable Solomon Oliver, Jr., Chief United States District Judge for the Northern District of Ohio, sitting by designation.</w:t>
      </w:r>
    </w:p>
  </w:footnote>
  <w:footnote w:id="293">
    <w:p w:rsidR="00E456CD" w:rsidRDefault="00000000">
      <w:pPr>
        <w:pStyle w:val="Normal45"/>
        <w:widowControl w:val="0"/>
        <w:spacing w:before="120" w:line="240" w:lineRule="atLeast"/>
        <w:jc w:val="both"/>
      </w:pPr>
      <w:r>
        <w:rPr>
          <w:rFonts w:ascii="Arial" w:eastAsia="Arial" w:hAnsi="Arial" w:cs="Arial"/>
          <w:color w:val="000000"/>
          <w:sz w:val="18"/>
          <w:vertAlign w:val="superscript"/>
        </w:rPr>
        <w:t>* </w:t>
      </w:r>
      <w:bookmarkStart w:id="7013" w:name="Bookmark_fnpara_2_30"/>
      <w:bookmarkEnd w:id="7013"/>
      <w:r>
        <w:rPr>
          <w:rFonts w:ascii="Arial" w:eastAsia="Arial" w:hAnsi="Arial" w:cs="Arial"/>
          <w:color w:val="000000"/>
          <w:sz w:val="18"/>
        </w:rPr>
        <w:t>This disposition is not appropriate for publication and is not precedent except as provided by Ninth Circuit Rule 36-3.</w:t>
      </w:r>
    </w:p>
  </w:footnote>
  <w:footnote w:id="294">
    <w:p w:rsidR="00E456CD" w:rsidRDefault="00000000">
      <w:pPr>
        <w:pStyle w:val="Normal45"/>
        <w:widowControl w:val="0"/>
        <w:spacing w:before="120" w:line="240" w:lineRule="atLeast"/>
        <w:jc w:val="both"/>
      </w:pPr>
      <w:r>
        <w:rPr>
          <w:rFonts w:ascii="Arial" w:eastAsia="Arial" w:hAnsi="Arial" w:cs="Arial"/>
          <w:color w:val="000000"/>
          <w:sz w:val="18"/>
          <w:vertAlign w:val="superscript"/>
        </w:rPr>
        <w:t>1 </w:t>
      </w:r>
      <w:bookmarkStart w:id="7028" w:name="Bookmark_fnpara_3_26"/>
      <w:bookmarkEnd w:id="7028"/>
      <w:r>
        <w:rPr>
          <w:rFonts w:ascii="Arial" w:eastAsia="Arial" w:hAnsi="Arial" w:cs="Arial"/>
          <w:color w:val="000000"/>
          <w:sz w:val="18"/>
        </w:rPr>
        <w:t>We deny Starbucks Company's motion for reconsideration of this court's orders granting Rose Mary Kalani's motion to substitute as Plaintiff Appellee.</w:t>
      </w:r>
    </w:p>
  </w:footnote>
  <w:footnote w:id="295">
    <w:p w:rsidR="00E456CD" w:rsidRDefault="00000000">
      <w:pPr>
        <w:pStyle w:val="Normal45"/>
        <w:widowControl w:val="0"/>
        <w:spacing w:before="200" w:line="240" w:lineRule="atLeast"/>
        <w:jc w:val="both"/>
      </w:pPr>
      <w:r>
        <w:rPr>
          <w:rFonts w:ascii="Arial" w:eastAsia="Arial" w:hAnsi="Arial" w:cs="Arial"/>
          <w:color w:val="000000"/>
          <w:sz w:val="18"/>
          <w:vertAlign w:val="superscript"/>
        </w:rPr>
        <w:t>2 </w:t>
      </w:r>
      <w:bookmarkStart w:id="7045" w:name="Bookmark_fnpara_4_23"/>
      <w:bookmarkEnd w:id="7045"/>
      <w:r>
        <w:rPr>
          <w:rFonts w:ascii="Arial" w:eastAsia="Arial" w:hAnsi="Arial" w:cs="Arial"/>
          <w:color w:val="000000"/>
          <w:sz w:val="18"/>
        </w:rPr>
        <w:t xml:space="preserve">We take judicial notice, pursuant to Rule 201(b) of the Federal Rules of Evidence, of nine exhibits proffered by Starbucks Company, including various Google maps depicting the locations of Starbucks stores in the vicinity of locations Mr. Kalani planned to visit. </w:t>
      </w:r>
      <w:r>
        <w:rPr>
          <w:rFonts w:ascii="Arial" w:eastAsia="Arial" w:hAnsi="Arial" w:cs="Arial"/>
          <w:i/>
          <w:color w:val="000000"/>
          <w:sz w:val="18"/>
        </w:rPr>
        <w:t xml:space="preserve">See, e.g., </w:t>
      </w:r>
      <w:bookmarkStart w:id="7046" w:name="Bookmark_I5P3854X2N1RPD0040000400"/>
      <w:bookmarkEnd w:id="7046"/>
      <w:r>
        <w:rPr>
          <w:rFonts w:ascii="Arial" w:eastAsia="Arial" w:hAnsi="Arial" w:cs="Arial"/>
          <w:i/>
          <w:color w:val="000000"/>
          <w:sz w:val="18"/>
        </w:rPr>
        <w:t>McCormack v. Hiedeman</w:t>
      </w:r>
      <w:r>
        <w:rPr>
          <w:rFonts w:ascii="Arial" w:eastAsia="Arial" w:hAnsi="Arial" w:cs="Arial"/>
          <w:color w:val="000000"/>
          <w:sz w:val="18"/>
        </w:rPr>
        <w:t>, 694 F.3d 1004, 1008 n.1 (9th Cir. 2012) (taking judicial notice of a Google map and satellite image as a source for determining the approximate distance from Idaho to Utah).</w:t>
      </w:r>
    </w:p>
  </w:footnote>
  <w:footnote w:id="296">
    <w:p w:rsidR="00E456CD" w:rsidRDefault="00000000">
      <w:pPr>
        <w:pStyle w:val="Normal46"/>
        <w:widowControl w:val="0"/>
        <w:spacing w:before="120" w:line="240" w:lineRule="atLeast"/>
        <w:jc w:val="both"/>
      </w:pPr>
      <w:r>
        <w:rPr>
          <w:rFonts w:ascii="Arial" w:eastAsia="Arial" w:hAnsi="Arial" w:cs="Arial"/>
          <w:color w:val="000000"/>
          <w:sz w:val="18"/>
          <w:vertAlign w:val="superscript"/>
        </w:rPr>
        <w:t>* </w:t>
      </w:r>
      <w:bookmarkStart w:id="7080" w:name="Bookmark_fnpara_1_39"/>
      <w:bookmarkEnd w:id="7080"/>
      <w:r>
        <w:rPr>
          <w:rFonts w:ascii="Arial" w:eastAsia="Arial" w:hAnsi="Arial" w:cs="Arial"/>
          <w:color w:val="000000"/>
          <w:sz w:val="18"/>
        </w:rPr>
        <w:t>This disposition is not an opinion of the full Court and, pursuant to I.O.P. 5.7, does not constitute binding precedent.</w:t>
      </w:r>
    </w:p>
  </w:footnote>
  <w:footnote w:id="297">
    <w:p w:rsidR="00E456CD" w:rsidRDefault="00000000">
      <w:pPr>
        <w:pStyle w:val="Normal46"/>
        <w:widowControl w:val="0"/>
        <w:spacing w:before="120" w:line="240" w:lineRule="atLeast"/>
        <w:jc w:val="both"/>
      </w:pPr>
      <w:r>
        <w:rPr>
          <w:rFonts w:ascii="Arial" w:eastAsia="Arial" w:hAnsi="Arial" w:cs="Arial"/>
          <w:color w:val="000000"/>
          <w:sz w:val="18"/>
          <w:vertAlign w:val="superscript"/>
        </w:rPr>
        <w:t>1 </w:t>
      </w:r>
      <w:bookmarkStart w:id="7084" w:name="Bookmark_fnpara_2_31"/>
      <w:bookmarkEnd w:id="7084"/>
      <w:r>
        <w:rPr>
          <w:rFonts w:ascii="Arial" w:eastAsia="Arial" w:hAnsi="Arial" w:cs="Arial"/>
          <w:color w:val="000000"/>
          <w:sz w:val="18"/>
        </w:rPr>
        <w:t>Prior to a reorganization of public higher education entities in New Jersey, Rutgers New Jersey Medical School was known as The University of Medicine and Dentistry of New Jersey. We refer to the school as Rutgers throughout this opinion.</w:t>
      </w:r>
    </w:p>
  </w:footnote>
  <w:footnote w:id="298">
    <w:p w:rsidR="00E456CD" w:rsidRDefault="00000000">
      <w:pPr>
        <w:pStyle w:val="Normal46"/>
        <w:widowControl w:val="0"/>
        <w:spacing w:before="200" w:line="240" w:lineRule="atLeast"/>
        <w:jc w:val="both"/>
      </w:pPr>
      <w:r>
        <w:rPr>
          <w:rFonts w:ascii="Arial" w:eastAsia="Arial" w:hAnsi="Arial" w:cs="Arial"/>
          <w:color w:val="000000"/>
          <w:sz w:val="18"/>
          <w:vertAlign w:val="superscript"/>
        </w:rPr>
        <w:t>2 </w:t>
      </w:r>
      <w:bookmarkStart w:id="7090" w:name="Bookmark_fnpara_3_27"/>
      <w:bookmarkEnd w:id="7090"/>
      <w:r>
        <w:rPr>
          <w:rFonts w:ascii="Arial" w:eastAsia="Arial" w:hAnsi="Arial" w:cs="Arial"/>
          <w:color w:val="000000"/>
          <w:sz w:val="18"/>
        </w:rPr>
        <w:t xml:space="preserve">The District Court had jurisdiction pursuant to 28 U.S.C. § 1331. </w:t>
      </w:r>
      <w:bookmarkStart w:id="7091" w:name="Bookmark_I5P1SF2F2N1RNN0020000400"/>
      <w:bookmarkEnd w:id="7091"/>
      <w:r>
        <w:rPr>
          <w:rFonts w:ascii="Arial" w:eastAsia="Arial" w:hAnsi="Arial" w:cs="Arial"/>
          <w:color w:val="000000"/>
          <w:sz w:val="18"/>
        </w:rPr>
        <w:t xml:space="preserve">We have jurisdiction pursuant to 28 U.S.C. § 1291. </w:t>
      </w:r>
      <w:bookmarkStart w:id="7092" w:name="Bookmark_LNHNREFclscc1_37"/>
      <w:bookmarkEnd w:id="7092"/>
      <w:r>
        <w:rPr>
          <w:rFonts w:ascii="Arial" w:eastAsia="Arial" w:hAnsi="Arial" w:cs="Arial"/>
          <w:color w:val="000000"/>
          <w:sz w:val="18"/>
        </w:rPr>
        <w:t xml:space="preserve">Our standard of review of a District Court's grant of summary judgment is plenary. </w:t>
      </w:r>
      <w:bookmarkStart w:id="7093" w:name="Bookmark_I5P1SF2F2N1RNN0010000400"/>
      <w:bookmarkEnd w:id="7093"/>
      <w:r>
        <w:rPr>
          <w:rFonts w:ascii="Arial" w:eastAsia="Arial" w:hAnsi="Arial" w:cs="Arial"/>
          <w:i/>
          <w:color w:val="000000"/>
          <w:sz w:val="18"/>
        </w:rPr>
        <w:t>NAACP v. City of Phila.</w:t>
      </w:r>
      <w:r>
        <w:rPr>
          <w:rFonts w:ascii="Arial" w:eastAsia="Arial" w:hAnsi="Arial" w:cs="Arial"/>
          <w:color w:val="000000"/>
          <w:sz w:val="18"/>
        </w:rPr>
        <w:t xml:space="preserve">, 834 F.3d 435, 440 (3d Cir. 2016). On review, we apply the same standard as the District Court. </w:t>
      </w:r>
      <w:r>
        <w:rPr>
          <w:rFonts w:ascii="Arial" w:eastAsia="Arial" w:hAnsi="Arial" w:cs="Arial"/>
          <w:i/>
          <w:color w:val="000000"/>
          <w:sz w:val="18"/>
        </w:rPr>
        <w:t>Id.</w:t>
      </w:r>
      <w:r>
        <w:rPr>
          <w:rFonts w:ascii="Arial" w:eastAsia="Arial" w:hAnsi="Arial" w:cs="Arial"/>
          <w:color w:val="000000"/>
          <w:sz w:val="18"/>
        </w:rPr>
        <w:t xml:space="preserve"> "The court shall grant summary judgment if the movant shows that there is no genuine dispute as to any material fact and the movant is entitled to judgment as a matter of law." Fed. R. Civ. P. 56(a).</w:t>
      </w:r>
    </w:p>
  </w:footnote>
  <w:footnote w:id="299">
    <w:p w:rsidR="00E456CD" w:rsidRDefault="00000000">
      <w:pPr>
        <w:pStyle w:val="Normal46"/>
        <w:widowControl w:val="0"/>
        <w:spacing w:before="200" w:line="240" w:lineRule="atLeast"/>
        <w:jc w:val="both"/>
      </w:pPr>
      <w:r>
        <w:rPr>
          <w:rFonts w:ascii="Arial" w:eastAsia="Arial" w:hAnsi="Arial" w:cs="Arial"/>
          <w:color w:val="000000"/>
          <w:sz w:val="18"/>
          <w:vertAlign w:val="superscript"/>
        </w:rPr>
        <w:t>3 </w:t>
      </w:r>
      <w:bookmarkStart w:id="7099" w:name="Bookmark_fnpara_4_24"/>
      <w:bookmarkStart w:id="7100" w:name="Bookmark_LNHNREFclscc3_35"/>
      <w:bookmarkEnd w:id="7099"/>
      <w:bookmarkEnd w:id="7100"/>
      <w:r>
        <w:rPr>
          <w:rFonts w:ascii="Arial" w:eastAsia="Arial" w:hAnsi="Arial" w:cs="Arial"/>
          <w:color w:val="000000"/>
          <w:sz w:val="18"/>
        </w:rPr>
        <w:t xml:space="preserve">Title II of the ADA and the RA are to be interpreted consistently, and those principles "apply equally to . . . NJLAD claims." </w:t>
      </w:r>
      <w:bookmarkStart w:id="7101" w:name="Bookmark_I5P1SF2F2D6NXK0020000400"/>
      <w:bookmarkEnd w:id="7101"/>
      <w:r>
        <w:rPr>
          <w:rFonts w:ascii="Arial" w:eastAsia="Arial" w:hAnsi="Arial" w:cs="Arial"/>
          <w:i/>
          <w:color w:val="000000"/>
          <w:sz w:val="18"/>
        </w:rPr>
        <w:t>Chisolm v. McManimon</w:t>
      </w:r>
      <w:r>
        <w:rPr>
          <w:rFonts w:ascii="Arial" w:eastAsia="Arial" w:hAnsi="Arial" w:cs="Arial"/>
          <w:color w:val="000000"/>
          <w:sz w:val="18"/>
        </w:rPr>
        <w:t>, 275 F.3d 315, 324 n.9 (3d Cir. 2001).</w:t>
      </w:r>
    </w:p>
  </w:footnote>
  <w:footnote w:id="300">
    <w:p w:rsidR="00E456CD" w:rsidRDefault="00000000">
      <w:pPr>
        <w:pStyle w:val="Normal46"/>
        <w:widowControl w:val="0"/>
        <w:spacing w:before="200" w:line="240" w:lineRule="atLeast"/>
        <w:jc w:val="both"/>
      </w:pPr>
      <w:r>
        <w:rPr>
          <w:rFonts w:ascii="Arial" w:eastAsia="Arial" w:hAnsi="Arial" w:cs="Arial"/>
          <w:color w:val="000000"/>
          <w:sz w:val="18"/>
          <w:vertAlign w:val="superscript"/>
        </w:rPr>
        <w:t>4 </w:t>
      </w:r>
      <w:bookmarkStart w:id="7106" w:name="Bookmark_fnpara_5_19"/>
      <w:bookmarkStart w:id="7107" w:name="Bookmark_I5P1SF2F2D6NXK0050000400"/>
      <w:bookmarkStart w:id="7108" w:name="Bookmark_LNHNREFclscc4_34"/>
      <w:bookmarkEnd w:id="7106"/>
      <w:bookmarkEnd w:id="7107"/>
      <w:bookmarkEnd w:id="7108"/>
      <w:r>
        <w:rPr>
          <w:rFonts w:ascii="Arial" w:eastAsia="Arial" w:hAnsi="Arial" w:cs="Arial"/>
          <w:color w:val="000000"/>
          <w:sz w:val="18"/>
        </w:rPr>
        <w:t xml:space="preserve">Had Chin established that she was otherwise qualified with or without some accommodations, the school could subsequently demonstrate that the accommodations in question would "fundamentally alter the nature of the [] program." 28 C.F.R. § 35.130(b)(7). </w:t>
      </w:r>
      <w:bookmarkStart w:id="7109" w:name="Bookmark_I5PRPWNB5KM001091B1003ST"/>
      <w:bookmarkStart w:id="7110" w:name="Bookmark_I5P1SF2F2HM5VC0020000400"/>
      <w:bookmarkEnd w:id="7109"/>
      <w:bookmarkEnd w:id="7110"/>
      <w:r>
        <w:rPr>
          <w:rFonts w:ascii="Arial" w:eastAsia="Arial" w:hAnsi="Arial" w:cs="Arial"/>
          <w:color w:val="000000"/>
          <w:sz w:val="18"/>
        </w:rPr>
        <w:t xml:space="preserve">(Courts have treated this standard like a burden-shifting framework. </w:t>
      </w:r>
      <w:bookmarkStart w:id="7111" w:name="Bookmark_I5P1SF2F2D6NXK0040000400"/>
      <w:bookmarkEnd w:id="7111"/>
      <w:r>
        <w:rPr>
          <w:rFonts w:ascii="Arial" w:eastAsia="Arial" w:hAnsi="Arial" w:cs="Arial"/>
          <w:i/>
          <w:color w:val="000000"/>
          <w:sz w:val="18"/>
        </w:rPr>
        <w:t>Zukle</w:t>
      </w:r>
      <w:r>
        <w:rPr>
          <w:rFonts w:ascii="Arial" w:eastAsia="Arial" w:hAnsi="Arial" w:cs="Arial"/>
          <w:color w:val="000000"/>
          <w:sz w:val="18"/>
        </w:rPr>
        <w:t xml:space="preserve">, 166 F.3d at 1047.) </w:t>
      </w:r>
      <w:bookmarkStart w:id="7112" w:name="Bookmark_I5P1SF2F2HM5VC0020000400_2"/>
      <w:bookmarkEnd w:id="7112"/>
      <w:r>
        <w:rPr>
          <w:rFonts w:ascii="Arial" w:eastAsia="Arial" w:hAnsi="Arial" w:cs="Arial"/>
          <w:color w:val="000000"/>
          <w:sz w:val="18"/>
        </w:rPr>
        <w:t xml:space="preserve">In the academic context, if rejected accommodations "would result either in lowering academic standards or requiring substantial program alteration, the court could rule as a matter of law that the institution had met its duty of seeking reasonable accommodation." </w:t>
      </w:r>
      <w:bookmarkStart w:id="7113" w:name="Bookmark_I5P1SF2F2HM5VC0010000400"/>
      <w:bookmarkEnd w:id="7113"/>
      <w:r>
        <w:rPr>
          <w:rFonts w:ascii="Arial" w:eastAsia="Arial" w:hAnsi="Arial" w:cs="Arial"/>
          <w:i/>
          <w:color w:val="000000"/>
          <w:sz w:val="18"/>
        </w:rPr>
        <w:t>Wynne v. Tufts Univ. Sch. of Med.</w:t>
      </w:r>
      <w:r>
        <w:rPr>
          <w:rFonts w:ascii="Arial" w:eastAsia="Arial" w:hAnsi="Arial" w:cs="Arial"/>
          <w:color w:val="000000"/>
          <w:sz w:val="18"/>
        </w:rPr>
        <w:t>, 932 F.2d 19, 26 (1st Cir. 1991) (en banc).</w:t>
      </w:r>
    </w:p>
  </w:footnote>
  <w:footnote w:id="301">
    <w:p w:rsidR="00E456CD" w:rsidRDefault="00000000">
      <w:pPr>
        <w:pStyle w:val="Normal46"/>
        <w:widowControl w:val="0"/>
        <w:spacing w:before="120" w:line="240" w:lineRule="atLeast"/>
        <w:jc w:val="both"/>
      </w:pPr>
      <w:r>
        <w:rPr>
          <w:rFonts w:ascii="Arial" w:eastAsia="Arial" w:hAnsi="Arial" w:cs="Arial"/>
          <w:color w:val="000000"/>
          <w:sz w:val="18"/>
          <w:vertAlign w:val="superscript"/>
        </w:rPr>
        <w:t>5 </w:t>
      </w:r>
      <w:bookmarkStart w:id="7132" w:name="Bookmark_fnpara_6_15"/>
      <w:bookmarkEnd w:id="7132"/>
      <w:r>
        <w:rPr>
          <w:rFonts w:ascii="Arial" w:eastAsia="Arial" w:hAnsi="Arial" w:cs="Arial"/>
          <w:color w:val="000000"/>
          <w:sz w:val="18"/>
        </w:rPr>
        <w:t>Chin claimed in her deposition, and again on appeal, that an assistant dean told her at one point that she could not "perform the essential functions of a doctor because" of her condition. App. 226; Appellant's Br. at 16. In the context of all the Dean's office's actions during her time at Rutgers, that single disputed statement, even construed in the light most favorable to Chin, does not create a genuine dispute of material fact as to the conscientiousness with which the Dean's office tried to accommodate her.</w:t>
      </w:r>
    </w:p>
  </w:footnote>
  <w:footnote w:id="302">
    <w:p w:rsidR="00E456CD" w:rsidRDefault="00000000">
      <w:pPr>
        <w:pStyle w:val="Normal47"/>
        <w:widowControl w:val="0"/>
        <w:spacing w:before="120" w:line="240" w:lineRule="atLeast"/>
        <w:jc w:val="both"/>
      </w:pPr>
      <w:r>
        <w:rPr>
          <w:rFonts w:ascii="Arial" w:eastAsia="Arial" w:hAnsi="Arial" w:cs="Arial"/>
          <w:color w:val="000000"/>
          <w:sz w:val="18"/>
          <w:vertAlign w:val="superscript"/>
        </w:rPr>
        <w:t>** </w:t>
      </w:r>
      <w:bookmarkStart w:id="7141" w:name="Bookmark_fnpara_1_40"/>
      <w:bookmarkEnd w:id="7141"/>
      <w:r>
        <w:rPr>
          <w:rFonts w:ascii="Arial" w:eastAsia="Arial" w:hAnsi="Arial" w:cs="Arial"/>
          <w:color w:val="000000"/>
          <w:sz w:val="18"/>
        </w:rPr>
        <w:t>This summary constitutes no part of the opinion of the court. It has been prepared by court staff for the convenience of the reader.</w:t>
      </w:r>
    </w:p>
  </w:footnote>
  <w:footnote w:id="303">
    <w:p w:rsidR="00E456CD" w:rsidRDefault="00000000">
      <w:pPr>
        <w:pStyle w:val="Normal47"/>
        <w:widowControl w:val="0"/>
        <w:spacing w:before="120" w:line="240" w:lineRule="atLeast"/>
        <w:jc w:val="both"/>
      </w:pPr>
      <w:r>
        <w:rPr>
          <w:rFonts w:ascii="Arial" w:eastAsia="Arial" w:hAnsi="Arial" w:cs="Arial"/>
          <w:color w:val="000000"/>
          <w:sz w:val="18"/>
          <w:vertAlign w:val="superscript"/>
        </w:rPr>
        <w:t>* </w:t>
      </w:r>
      <w:bookmarkStart w:id="7148" w:name="Bookmark_fnpara_2_32"/>
      <w:bookmarkEnd w:id="7148"/>
      <w:r>
        <w:rPr>
          <w:rFonts w:ascii="Arial" w:eastAsia="Arial" w:hAnsi="Arial" w:cs="Arial"/>
          <w:color w:val="000000"/>
          <w:sz w:val="18"/>
        </w:rPr>
        <w:t>The Honorable Gary Feinerman, United States District Judge for the Northern District of Illinois, sitting by designation.</w:t>
      </w:r>
    </w:p>
  </w:footnote>
  <w:footnote w:id="304">
    <w:p w:rsidR="00E456CD" w:rsidRDefault="00000000">
      <w:pPr>
        <w:pStyle w:val="Normal47"/>
        <w:widowControl w:val="0"/>
        <w:spacing w:before="120" w:line="240" w:lineRule="atLeast"/>
        <w:jc w:val="both"/>
      </w:pPr>
      <w:r>
        <w:rPr>
          <w:rFonts w:ascii="Arial" w:eastAsia="Arial" w:hAnsi="Arial" w:cs="Arial"/>
          <w:color w:val="000000"/>
          <w:sz w:val="18"/>
          <w:vertAlign w:val="superscript"/>
        </w:rPr>
        <w:t>1 </w:t>
      </w:r>
      <w:bookmarkStart w:id="7155" w:name="Bookmark_fnpara_3_28"/>
      <w:bookmarkEnd w:id="7155"/>
      <w:r>
        <w:rPr>
          <w:rFonts w:ascii="Arial" w:eastAsia="Arial" w:hAnsi="Arial" w:cs="Arial"/>
          <w:color w:val="000000"/>
          <w:sz w:val="18"/>
        </w:rPr>
        <w:t>The City also named two other companies as third-party defendants, but neither of those entities is a party to this appeal.</w:t>
      </w:r>
    </w:p>
  </w:footnote>
  <w:footnote w:id="305">
    <w:p w:rsidR="00E456CD" w:rsidRDefault="00000000">
      <w:pPr>
        <w:pStyle w:val="Normal47"/>
        <w:widowControl w:val="0"/>
        <w:spacing w:before="120" w:line="240" w:lineRule="atLeast"/>
        <w:jc w:val="both"/>
      </w:pPr>
      <w:r>
        <w:rPr>
          <w:rFonts w:ascii="Arial" w:eastAsia="Arial" w:hAnsi="Arial" w:cs="Arial"/>
          <w:color w:val="000000"/>
          <w:sz w:val="18"/>
          <w:vertAlign w:val="superscript"/>
        </w:rPr>
        <w:t>2 </w:t>
      </w:r>
      <w:bookmarkStart w:id="7234" w:name="Bookmark_fnpara_4_25"/>
      <w:bookmarkEnd w:id="7234"/>
      <w:r>
        <w:rPr>
          <w:rFonts w:ascii="Arial" w:eastAsia="Arial" w:hAnsi="Arial" w:cs="Arial"/>
          <w:color w:val="000000"/>
          <w:sz w:val="18"/>
        </w:rPr>
        <w:t>We acknowledge that were we to find state-law contribution claims preempted, future plaintiffs could still elect to bring suit directly against the contracting parties. We also acknowledge, however, that as a practical matter, it will often be the public-facing municipal entity that provides the most attractive target for litigation. That is precisely what happened here.</w:t>
      </w:r>
    </w:p>
  </w:footnote>
  <w:footnote w:id="306">
    <w:p w:rsidR="00E456CD" w:rsidRDefault="00000000">
      <w:pPr>
        <w:pStyle w:val="Normal47"/>
        <w:widowControl w:val="0"/>
        <w:spacing w:before="200" w:line="240" w:lineRule="atLeast"/>
        <w:jc w:val="both"/>
      </w:pPr>
      <w:r>
        <w:rPr>
          <w:rFonts w:ascii="Arial" w:eastAsia="Arial" w:hAnsi="Arial" w:cs="Arial"/>
          <w:color w:val="000000"/>
          <w:sz w:val="18"/>
          <w:vertAlign w:val="superscript"/>
        </w:rPr>
        <w:t>3 </w:t>
      </w:r>
      <w:bookmarkStart w:id="7240" w:name="Bookmark_fnpara_5_20"/>
      <w:bookmarkStart w:id="7241" w:name="Bookmark_I5NK6D7F2HM6VY0030000400"/>
      <w:bookmarkStart w:id="7242" w:name="Bookmark_I5NK6D7F2HM6VY0050000400"/>
      <w:bookmarkEnd w:id="7240"/>
      <w:bookmarkEnd w:id="7241"/>
      <w:bookmarkEnd w:id="7242"/>
      <w:r>
        <w:rPr>
          <w:rFonts w:ascii="Arial" w:eastAsia="Arial" w:hAnsi="Arial" w:cs="Arial"/>
          <w:color w:val="000000"/>
          <w:sz w:val="18"/>
        </w:rPr>
        <w:t xml:space="preserve">Notably, in </w:t>
      </w:r>
      <w:bookmarkStart w:id="7243" w:name="Bookmark_I5NK6D7F2HM6VY0020000400"/>
      <w:bookmarkEnd w:id="7243"/>
      <w:r>
        <w:rPr>
          <w:rFonts w:ascii="Arial" w:eastAsia="Arial" w:hAnsi="Arial" w:cs="Arial"/>
          <w:i/>
          <w:color w:val="000000"/>
          <w:sz w:val="18"/>
        </w:rPr>
        <w:t>Baker, Watts &amp; Co. v. Miles &amp; Stockbridge</w:t>
      </w:r>
      <w:r>
        <w:rPr>
          <w:rFonts w:ascii="Arial" w:eastAsia="Arial" w:hAnsi="Arial" w:cs="Arial"/>
          <w:color w:val="000000"/>
          <w:sz w:val="18"/>
        </w:rPr>
        <w:t xml:space="preserve">, 876 F.2d 1101 (4th Cir. 1989), a case upon which the </w:t>
      </w:r>
      <w:r>
        <w:rPr>
          <w:rFonts w:ascii="Arial" w:eastAsia="Arial" w:hAnsi="Arial" w:cs="Arial"/>
          <w:i/>
          <w:color w:val="000000"/>
          <w:sz w:val="18"/>
        </w:rPr>
        <w:t>Equal Rights Center</w:t>
      </w:r>
      <w:r>
        <w:rPr>
          <w:rFonts w:ascii="Arial" w:eastAsia="Arial" w:hAnsi="Arial" w:cs="Arial"/>
          <w:color w:val="000000"/>
          <w:sz w:val="18"/>
        </w:rPr>
        <w:t xml:space="preserve"> court relied heavily for its preemption analysis, the Fourth Circuit held that federal securities law preempted claims for indemnification, but that it did </w:t>
      </w:r>
      <w:r>
        <w:rPr>
          <w:rFonts w:ascii="Arial" w:eastAsia="Arial" w:hAnsi="Arial" w:cs="Arial"/>
          <w:i/>
          <w:color w:val="000000"/>
          <w:sz w:val="18"/>
        </w:rPr>
        <w:t>not</w:t>
      </w:r>
      <w:r>
        <w:rPr>
          <w:rFonts w:ascii="Arial" w:eastAsia="Arial" w:hAnsi="Arial" w:cs="Arial"/>
          <w:color w:val="000000"/>
          <w:sz w:val="18"/>
        </w:rPr>
        <w:t xml:space="preserve"> similarly preempt claims for contribution. </w:t>
      </w:r>
      <w:bookmarkStart w:id="7244" w:name="Bookmark_I5NK6D7F2HM6VY0040000400"/>
      <w:bookmarkEnd w:id="7244"/>
      <w:r>
        <w:rPr>
          <w:rFonts w:ascii="Arial" w:eastAsia="Arial" w:hAnsi="Arial" w:cs="Arial"/>
          <w:i/>
          <w:color w:val="000000"/>
          <w:sz w:val="18"/>
        </w:rPr>
        <w:t>Id.</w:t>
      </w:r>
      <w:r>
        <w:rPr>
          <w:rFonts w:ascii="Arial" w:eastAsia="Arial" w:hAnsi="Arial" w:cs="Arial"/>
          <w:color w:val="000000"/>
          <w:sz w:val="18"/>
        </w:rPr>
        <w:t xml:space="preserve"> at 1108.</w:t>
      </w:r>
    </w:p>
    <w:p w:rsidR="00E456CD" w:rsidRDefault="00000000">
      <w:pPr>
        <w:pStyle w:val="Normal47"/>
        <w:widowControl w:val="0"/>
        <w:spacing w:before="200" w:line="240" w:lineRule="atLeast"/>
        <w:jc w:val="both"/>
      </w:pPr>
      <w:bookmarkStart w:id="7245" w:name="Bookmark_fnpara_6_16"/>
      <w:bookmarkEnd w:id="7245"/>
      <w:r>
        <w:rPr>
          <w:rFonts w:ascii="Arial" w:eastAsia="Arial" w:hAnsi="Arial" w:cs="Arial"/>
          <w:color w:val="000000"/>
          <w:sz w:val="18"/>
        </w:rPr>
        <w:t xml:space="preserve">In the present case, we do not view the labels of "indemnification" or "contribution" as dispositive of the analysis. Here, though the City may seek "indemnification" for a contractor's wrong-doing, that compensation only constitutes a portion of the City's total liability under federal disability statutes. In other words, the relief sought may be complete indemnification from the perspective of the </w:t>
      </w:r>
      <w:r>
        <w:rPr>
          <w:rFonts w:ascii="Arial" w:eastAsia="Arial" w:hAnsi="Arial" w:cs="Arial"/>
          <w:i/>
          <w:color w:val="000000"/>
          <w:sz w:val="18"/>
        </w:rPr>
        <w:t>contractor's</w:t>
      </w:r>
      <w:r>
        <w:rPr>
          <w:rFonts w:ascii="Arial" w:eastAsia="Arial" w:hAnsi="Arial" w:cs="Arial"/>
          <w:color w:val="000000"/>
          <w:sz w:val="18"/>
        </w:rPr>
        <w:t xml:space="preserve"> liability; but it constitutes only partial contribution from the perspective of the </w:t>
      </w:r>
      <w:r>
        <w:rPr>
          <w:rFonts w:ascii="Arial" w:eastAsia="Arial" w:hAnsi="Arial" w:cs="Arial"/>
          <w:i/>
          <w:color w:val="000000"/>
          <w:sz w:val="18"/>
        </w:rPr>
        <w:t>City's</w:t>
      </w:r>
      <w:r>
        <w:rPr>
          <w:rFonts w:ascii="Arial" w:eastAsia="Arial" w:hAnsi="Arial" w:cs="Arial"/>
          <w:color w:val="000000"/>
          <w:sz w:val="18"/>
        </w:rPr>
        <w:t xml:space="preserve"> liability exposure.</w:t>
      </w:r>
    </w:p>
  </w:footnote>
  <w:footnote w:id="307">
    <w:p w:rsidR="00E456CD" w:rsidRDefault="00000000">
      <w:pPr>
        <w:pStyle w:val="Normal47"/>
        <w:widowControl w:val="0"/>
        <w:spacing w:before="120" w:line="240" w:lineRule="atLeast"/>
        <w:jc w:val="both"/>
      </w:pPr>
      <w:r>
        <w:rPr>
          <w:rFonts w:ascii="Arial" w:eastAsia="Arial" w:hAnsi="Arial" w:cs="Arial"/>
          <w:color w:val="000000"/>
          <w:sz w:val="18"/>
          <w:vertAlign w:val="superscript"/>
        </w:rPr>
        <w:t>4 </w:t>
      </w:r>
      <w:bookmarkStart w:id="7273" w:name="Bookmark_fnpara_7_14"/>
      <w:bookmarkEnd w:id="7273"/>
      <w:r>
        <w:rPr>
          <w:rFonts w:ascii="Arial" w:eastAsia="Arial" w:hAnsi="Arial" w:cs="Arial"/>
          <w:color w:val="000000"/>
          <w:sz w:val="18"/>
        </w:rPr>
        <w:t>In considering the actions for which Title II intends to impose liability on a public entity, we have previously framed the question in terms of the "outputs" of a public entity:</w:t>
      </w:r>
    </w:p>
    <w:p w:rsidR="00E456CD" w:rsidRDefault="00000000">
      <w:pPr>
        <w:pStyle w:val="Normal47"/>
        <w:widowControl w:val="0"/>
        <w:spacing w:before="200" w:line="240" w:lineRule="atLeast"/>
        <w:ind w:left="400"/>
        <w:jc w:val="both"/>
      </w:pPr>
      <w:bookmarkStart w:id="7274" w:name="Bookmark_para_26_23"/>
      <w:bookmarkEnd w:id="7274"/>
      <w:r>
        <w:rPr>
          <w:rFonts w:ascii="Arial" w:eastAsia="Arial" w:hAnsi="Arial" w:cs="Arial"/>
          <w:color w:val="000000"/>
          <w:sz w:val="18"/>
        </w:rPr>
        <w:t xml:space="preserve">Consider, for example, how a Parks Department would answer the question, "What are the services, programs, and activities of the Parks Department?" </w:t>
      </w:r>
      <w:bookmarkStart w:id="7275" w:name="Bookmark_I5NK6D7F28T4570050000400"/>
      <w:bookmarkEnd w:id="7275"/>
      <w:r>
        <w:rPr>
          <w:rFonts w:ascii="Arial" w:eastAsia="Arial" w:hAnsi="Arial" w:cs="Arial"/>
          <w:color w:val="000000"/>
          <w:sz w:val="18"/>
        </w:rPr>
        <w:t>It might answer, "We operate a swimming pool; we lead nature walks; we maintain playgrounds." It would not answer, "We buy lawnmowers and hire people to operate them." The latter is a means to deliver the services, programs, and activities of the hypothetical [**20]  Parks Department, but it is not itself a service, program, or activity of the Parks Department.</w:t>
      </w:r>
    </w:p>
    <w:p w:rsidR="00E456CD" w:rsidRDefault="00000000">
      <w:pPr>
        <w:pStyle w:val="Normal47"/>
        <w:widowControl w:val="0"/>
        <w:spacing w:before="200" w:line="240" w:lineRule="atLeast"/>
        <w:jc w:val="both"/>
      </w:pPr>
      <w:bookmarkStart w:id="7276" w:name="Bookmark_I5NK6D7F28T4570050000400_2"/>
      <w:bookmarkStart w:id="7277" w:name="Bookmark_I5NK6D7F28T4580020000400"/>
      <w:bookmarkStart w:id="7278" w:name="Bookmark_I5NK6D7F28T4570040000400"/>
      <w:bookmarkEnd w:id="7276"/>
      <w:bookmarkEnd w:id="7277"/>
      <w:bookmarkEnd w:id="7278"/>
      <w:r>
        <w:rPr>
          <w:rFonts w:ascii="Arial" w:eastAsia="Arial" w:hAnsi="Arial" w:cs="Arial"/>
          <w:i/>
          <w:color w:val="000000"/>
          <w:sz w:val="18"/>
        </w:rPr>
        <w:t>Zimmerman v. Or. Dep't of Justice</w:t>
      </w:r>
      <w:r>
        <w:rPr>
          <w:rFonts w:ascii="Arial" w:eastAsia="Arial" w:hAnsi="Arial" w:cs="Arial"/>
          <w:color w:val="000000"/>
          <w:sz w:val="18"/>
        </w:rPr>
        <w:t xml:space="preserve">, 170 F.3d 1169, 1174 (9th Cir. 1999) (emphases added). </w:t>
      </w:r>
      <w:bookmarkStart w:id="7279" w:name="Bookmark_I5NK6D7F28T4580020000400_2"/>
      <w:bookmarkEnd w:id="7279"/>
      <w:r>
        <w:rPr>
          <w:rFonts w:ascii="Arial" w:eastAsia="Arial" w:hAnsi="Arial" w:cs="Arial"/>
          <w:color w:val="000000"/>
          <w:sz w:val="18"/>
        </w:rPr>
        <w:t xml:space="preserve">In line with this analysis, the </w:t>
      </w:r>
      <w:r>
        <w:rPr>
          <w:rFonts w:ascii="Arial" w:eastAsia="Arial" w:hAnsi="Arial" w:cs="Arial"/>
          <w:i/>
          <w:color w:val="000000"/>
          <w:sz w:val="18"/>
        </w:rPr>
        <w:t>Zimmerman</w:t>
      </w:r>
      <w:r>
        <w:rPr>
          <w:rFonts w:ascii="Arial" w:eastAsia="Arial" w:hAnsi="Arial" w:cs="Arial"/>
          <w:color w:val="000000"/>
          <w:sz w:val="18"/>
        </w:rPr>
        <w:t xml:space="preserve"> court found that the defendant Parks Department was not liable under Title II for employment discrimination, because </w:t>
      </w:r>
      <w:bookmarkStart w:id="7280" w:name="Bookmark_LNHNREFclscc13_13"/>
      <w:bookmarkEnd w:id="7280"/>
      <w:r>
        <w:rPr>
          <w:rFonts w:ascii="Arial" w:eastAsia="Arial" w:hAnsi="Arial" w:cs="Arial"/>
          <w:color w:val="000000"/>
          <w:sz w:val="18"/>
        </w:rPr>
        <w:t xml:space="preserve">employment is not a "service, program, or activity" of a public entity within the meaning of Title II, which relates to public services. </w:t>
      </w:r>
      <w:r>
        <w:rPr>
          <w:rFonts w:ascii="Arial" w:eastAsia="Arial" w:hAnsi="Arial" w:cs="Arial"/>
          <w:i/>
          <w:color w:val="000000"/>
          <w:sz w:val="18"/>
        </w:rPr>
        <w:t>Id.</w:t>
      </w:r>
      <w:r>
        <w:rPr>
          <w:rFonts w:ascii="Arial" w:eastAsia="Arial" w:hAnsi="Arial" w:cs="Arial"/>
          <w:color w:val="000000"/>
          <w:sz w:val="18"/>
        </w:rPr>
        <w:t xml:space="preserve">; </w:t>
      </w:r>
      <w:r>
        <w:rPr>
          <w:rFonts w:ascii="Arial" w:eastAsia="Arial" w:hAnsi="Arial" w:cs="Arial"/>
          <w:i/>
          <w:color w:val="000000"/>
          <w:sz w:val="18"/>
        </w:rPr>
        <w:t xml:space="preserve">see also </w:t>
      </w:r>
      <w:bookmarkStart w:id="7281" w:name="Bookmark_I5NK6D7F28T4580010000400"/>
      <w:bookmarkEnd w:id="7281"/>
      <w:r>
        <w:rPr>
          <w:rFonts w:ascii="Arial" w:eastAsia="Arial" w:hAnsi="Arial" w:cs="Arial"/>
          <w:i/>
          <w:color w:val="000000"/>
          <w:sz w:val="18"/>
        </w:rPr>
        <w:t>Barden v. City of Sacramento</w:t>
      </w:r>
      <w:r>
        <w:rPr>
          <w:rFonts w:ascii="Arial" w:eastAsia="Arial" w:hAnsi="Arial" w:cs="Arial"/>
          <w:color w:val="000000"/>
          <w:sz w:val="18"/>
        </w:rPr>
        <w:t>, 292 F.3d 1073, 1076 (9th Cir. 2002) (framing analysis of the scope of Title II as asking whether a given activity constitutes "a normal function of a governmental entity").</w:t>
      </w:r>
    </w:p>
    <w:p w:rsidR="00E456CD" w:rsidRDefault="00000000">
      <w:pPr>
        <w:pStyle w:val="Normal47"/>
        <w:widowControl w:val="0"/>
        <w:spacing w:before="200" w:line="240" w:lineRule="atLeast"/>
        <w:jc w:val="both"/>
      </w:pPr>
      <w:bookmarkStart w:id="7282" w:name="Bookmark_fnpara_8_14"/>
      <w:bookmarkStart w:id="7283" w:name="Bookmark_I5NK6D7F28T4580040000400"/>
      <w:bookmarkEnd w:id="7282"/>
      <w:bookmarkEnd w:id="7283"/>
      <w:r>
        <w:rPr>
          <w:rFonts w:ascii="Arial" w:eastAsia="Arial" w:hAnsi="Arial" w:cs="Arial"/>
          <w:color w:val="000000"/>
          <w:sz w:val="18"/>
        </w:rPr>
        <w:t xml:space="preserve">Though </w:t>
      </w:r>
      <w:r>
        <w:rPr>
          <w:rFonts w:ascii="Arial" w:eastAsia="Arial" w:hAnsi="Arial" w:cs="Arial"/>
          <w:i/>
          <w:color w:val="000000"/>
          <w:sz w:val="18"/>
        </w:rPr>
        <w:t>Zimmerman</w:t>
      </w:r>
      <w:r>
        <w:rPr>
          <w:rFonts w:ascii="Arial" w:eastAsia="Arial" w:hAnsi="Arial" w:cs="Arial"/>
          <w:color w:val="000000"/>
          <w:sz w:val="18"/>
        </w:rPr>
        <w:t xml:space="preserve"> was not a preemption case, its analysis is instructive insofar as it considered Congress' intention for the scope of actions falling under Title II. </w:t>
      </w:r>
      <w:bookmarkStart w:id="7284" w:name="Bookmark_LNHNREFclscc14_11"/>
      <w:bookmarkEnd w:id="7284"/>
      <w:r>
        <w:rPr>
          <w:rFonts w:ascii="Arial" w:eastAsia="Arial" w:hAnsi="Arial" w:cs="Arial"/>
          <w:color w:val="000000"/>
          <w:sz w:val="18"/>
        </w:rPr>
        <w:t xml:space="preserve">Preemption analysis focuses, first and foremost, on congressional intent. </w:t>
      </w:r>
      <w:r>
        <w:rPr>
          <w:rFonts w:ascii="Arial" w:eastAsia="Arial" w:hAnsi="Arial" w:cs="Arial"/>
          <w:i/>
          <w:color w:val="000000"/>
          <w:sz w:val="18"/>
        </w:rPr>
        <w:t xml:space="preserve">See </w:t>
      </w:r>
      <w:bookmarkStart w:id="7285" w:name="Bookmark_I5NK6D7F28T4580030000400"/>
      <w:bookmarkEnd w:id="7285"/>
      <w:r>
        <w:rPr>
          <w:rFonts w:ascii="Arial" w:eastAsia="Arial" w:hAnsi="Arial" w:cs="Arial"/>
          <w:i/>
          <w:color w:val="000000"/>
          <w:sz w:val="18"/>
        </w:rPr>
        <w:t>Hughes v. Talen Energy Mktg., LLC</w:t>
      </w:r>
      <w:r>
        <w:rPr>
          <w:rFonts w:ascii="Arial" w:eastAsia="Arial" w:hAnsi="Arial" w:cs="Arial"/>
          <w:color w:val="000000"/>
          <w:sz w:val="18"/>
        </w:rPr>
        <w:t>, 136 S. Ct. 1288, 1297, 194 L. Ed. 2d 414 (2016). If one frames the scope of Title II as encompassing a public entity's outputs, this supports the notion that Congress did not intend to preempt claims for liability arising from tasks that a City does not—and in many cases simply cannot—do itself, but must instead contract with others to provide the service.</w:t>
      </w:r>
    </w:p>
  </w:footnote>
  <w:footnote w:id="308">
    <w:p w:rsidR="00E456CD" w:rsidRDefault="00000000">
      <w:pPr>
        <w:pStyle w:val="Normal48"/>
        <w:widowControl w:val="0"/>
        <w:spacing w:before="120" w:line="240" w:lineRule="atLeast"/>
        <w:jc w:val="both"/>
      </w:pPr>
      <w:r>
        <w:rPr>
          <w:rFonts w:ascii="Arial" w:eastAsia="Arial" w:hAnsi="Arial" w:cs="Arial"/>
          <w:color w:val="000000"/>
          <w:sz w:val="18"/>
          <w:vertAlign w:val="superscript"/>
        </w:rPr>
        <w:t>* </w:t>
      </w:r>
      <w:bookmarkStart w:id="7366" w:name="Bookmark_fnpara_1_41"/>
      <w:bookmarkEnd w:id="7366"/>
      <w:r>
        <w:rPr>
          <w:rFonts w:ascii="Arial" w:eastAsia="Arial" w:hAnsi="Arial" w:cs="Arial"/>
          <w:color w:val="000000"/>
          <w:sz w:val="18"/>
        </w:rPr>
        <w:t>This disposition is not appropriate for publication and is not precedent except as provided by Ninth Circuit Rule 36-3.</w:t>
      </w:r>
    </w:p>
  </w:footnote>
  <w:footnote w:id="309">
    <w:p w:rsidR="00E456CD" w:rsidRDefault="00000000">
      <w:pPr>
        <w:pStyle w:val="Normal49"/>
        <w:widowControl w:val="0"/>
        <w:spacing w:before="120" w:line="240" w:lineRule="atLeast"/>
        <w:jc w:val="both"/>
      </w:pPr>
      <w:r>
        <w:rPr>
          <w:rFonts w:ascii="Arial" w:eastAsia="Arial" w:hAnsi="Arial" w:cs="Arial"/>
          <w:color w:val="000000"/>
          <w:sz w:val="18"/>
          <w:vertAlign w:val="superscript"/>
        </w:rPr>
        <w:t>1 </w:t>
      </w:r>
      <w:bookmarkStart w:id="7447" w:name="Bookmark_fnpara_1_42"/>
      <w:bookmarkStart w:id="7448" w:name="Bookmark_LNHNREFclscc7_31"/>
      <w:bookmarkEnd w:id="7447"/>
      <w:bookmarkEnd w:id="7448"/>
      <w:r>
        <w:rPr>
          <w:rFonts w:ascii="Arial" w:eastAsia="Arial" w:hAnsi="Arial" w:cs="Arial"/>
          <w:color w:val="000000"/>
          <w:sz w:val="18"/>
        </w:rPr>
        <w:t>The Rehabilitation Act requires a showing that the student is a disabled, qualified individual and that the institution receives federal funds. 29 U.S.C. § 794 (a).</w:t>
      </w:r>
    </w:p>
  </w:footnote>
  <w:footnote w:id="310">
    <w:p w:rsidR="00E456CD" w:rsidRDefault="00000000">
      <w:pPr>
        <w:pStyle w:val="Normal49"/>
        <w:widowControl w:val="0"/>
        <w:spacing w:before="120" w:line="240" w:lineRule="atLeast"/>
        <w:jc w:val="both"/>
      </w:pPr>
      <w:r>
        <w:rPr>
          <w:rFonts w:ascii="Arial" w:eastAsia="Arial" w:hAnsi="Arial" w:cs="Arial"/>
          <w:color w:val="000000"/>
          <w:sz w:val="18"/>
          <w:vertAlign w:val="superscript"/>
        </w:rPr>
        <w:t>2 </w:t>
      </w:r>
      <w:bookmarkStart w:id="7458" w:name="Bookmark_fnpara_2_33"/>
      <w:bookmarkEnd w:id="7458"/>
      <w:r>
        <w:rPr>
          <w:rFonts w:ascii="Arial" w:eastAsia="Arial" w:hAnsi="Arial" w:cs="Arial"/>
          <w:color w:val="000000"/>
          <w:sz w:val="18"/>
        </w:rPr>
        <w:t>The Appendix to the ADA regulation provides: "The accommodation, however, does not have to be the 'best' accommodation possible, so long as it is sufficient to meet the job-related needs of the individual being accommodated .... [T]he employer providing the accommodation has the ultimate discretion to choose between effective accommodations, and may choose the less expensive accommodation or the accommodation that is easier for it to provide." 29 C.F.R. pt. 1630, App., § 1630.9.</w:t>
      </w:r>
    </w:p>
  </w:footnote>
  <w:footnote w:id="311">
    <w:p w:rsidR="00E456CD" w:rsidRDefault="00000000">
      <w:pPr>
        <w:pStyle w:val="Normal49"/>
        <w:widowControl w:val="0"/>
        <w:spacing w:before="120" w:line="240" w:lineRule="atLeast"/>
        <w:jc w:val="both"/>
      </w:pPr>
      <w:r>
        <w:rPr>
          <w:rFonts w:ascii="Arial" w:eastAsia="Arial" w:hAnsi="Arial" w:cs="Arial"/>
          <w:color w:val="000000"/>
          <w:sz w:val="18"/>
          <w:vertAlign w:val="superscript"/>
        </w:rPr>
        <w:t>3 </w:t>
      </w:r>
      <w:bookmarkStart w:id="7473" w:name="Bookmark_fnpara_3_29"/>
      <w:bookmarkEnd w:id="7473"/>
      <w:r>
        <w:rPr>
          <w:rFonts w:ascii="Arial" w:eastAsia="Arial" w:hAnsi="Arial" w:cs="Arial"/>
          <w:color w:val="000000"/>
          <w:sz w:val="18"/>
        </w:rPr>
        <w:t>Indeed, Campbell's own attorney made a similar statement concerning the color of Campbell's ear during Campbell's deposition.</w:t>
      </w:r>
    </w:p>
  </w:footnote>
  <w:footnote w:id="312">
    <w:p w:rsidR="00E456CD" w:rsidRDefault="00000000">
      <w:pPr>
        <w:pStyle w:val="Normal49"/>
        <w:widowControl w:val="0"/>
        <w:spacing w:before="120" w:line="240" w:lineRule="atLeast"/>
        <w:jc w:val="both"/>
      </w:pPr>
      <w:r>
        <w:rPr>
          <w:rFonts w:ascii="Arial" w:eastAsia="Arial" w:hAnsi="Arial" w:cs="Arial"/>
          <w:color w:val="000000"/>
          <w:sz w:val="18"/>
          <w:vertAlign w:val="superscript"/>
        </w:rPr>
        <w:t>4 </w:t>
      </w:r>
      <w:bookmarkStart w:id="7474" w:name="Bookmark_fnpara_4_26"/>
      <w:bookmarkEnd w:id="7474"/>
      <w:r>
        <w:rPr>
          <w:rFonts w:ascii="Arial" w:eastAsia="Arial" w:hAnsi="Arial" w:cs="Arial"/>
          <w:color w:val="000000"/>
          <w:sz w:val="18"/>
        </w:rPr>
        <w:t>This is a disingenuous inference. In Campbell's own words, the instructor stood "to be eyelevel" with him because she "ain't no taller than a dachshund."</w:t>
      </w:r>
    </w:p>
  </w:footnote>
  <w:footnote w:id="313">
    <w:p w:rsidR="00E456CD" w:rsidRDefault="00000000">
      <w:pPr>
        <w:pStyle w:val="Normal49"/>
        <w:widowControl w:val="0"/>
        <w:spacing w:before="120" w:line="240" w:lineRule="atLeast"/>
        <w:jc w:val="both"/>
      </w:pPr>
      <w:r>
        <w:rPr>
          <w:rFonts w:ascii="Arial" w:eastAsia="Arial" w:hAnsi="Arial" w:cs="Arial"/>
          <w:color w:val="000000"/>
          <w:sz w:val="18"/>
          <w:vertAlign w:val="superscript"/>
        </w:rPr>
        <w:t>5 </w:t>
      </w:r>
      <w:bookmarkStart w:id="7486" w:name="Bookmark_fnpara_5_21"/>
      <w:bookmarkEnd w:id="7486"/>
      <w:r>
        <w:rPr>
          <w:rFonts w:ascii="Arial" w:eastAsia="Arial" w:hAnsi="Arial" w:cs="Arial"/>
          <w:color w:val="000000"/>
          <w:sz w:val="18"/>
        </w:rPr>
        <w:t>Campbell also asserts novel theories of disability discrimination: "constructive dismissal" from an educational institution and "educational harassment." The district court correctly dismissed these claims as not legally cognizable.</w:t>
      </w:r>
    </w:p>
  </w:footnote>
  <w:footnote w:id="314">
    <w:p w:rsidR="00E456CD" w:rsidRDefault="00000000">
      <w:pPr>
        <w:pStyle w:val="Normal49"/>
        <w:widowControl w:val="0"/>
        <w:spacing w:before="200" w:line="240" w:lineRule="atLeast"/>
        <w:jc w:val="both"/>
      </w:pPr>
      <w:r>
        <w:rPr>
          <w:rFonts w:ascii="Arial" w:eastAsia="Arial" w:hAnsi="Arial" w:cs="Arial"/>
          <w:color w:val="000000"/>
          <w:sz w:val="18"/>
          <w:vertAlign w:val="superscript"/>
        </w:rPr>
        <w:t>6 </w:t>
      </w:r>
      <w:bookmarkStart w:id="7489" w:name="Bookmark_fnpara_6_17"/>
      <w:bookmarkEnd w:id="7489"/>
      <w:r>
        <w:rPr>
          <w:rFonts w:ascii="Arial" w:eastAsia="Arial" w:hAnsi="Arial" w:cs="Arial"/>
          <w:color w:val="000000"/>
          <w:sz w:val="18"/>
        </w:rPr>
        <w:t xml:space="preserve">Campbell also curiously states that he seeks to recover declaratory relief specifying the rights of other students with disabilities at LIT. This lawsuit is not a class action, however, and Campbell has not attempted to show that he satisfies </w:t>
      </w:r>
      <w:bookmarkStart w:id="7490" w:name="Bookmark_LNHNREFclscc10_21"/>
      <w:bookmarkEnd w:id="7490"/>
      <w:r>
        <w:rPr>
          <w:rFonts w:ascii="Arial" w:eastAsia="Arial" w:hAnsi="Arial" w:cs="Arial"/>
          <w:color w:val="000000"/>
          <w:sz w:val="18"/>
        </w:rPr>
        <w:t xml:space="preserve">the requirements for third-party standing, which would require demonstration that he has a close relationship with the third parties and that third parties are hindered from asserting their own rights. </w:t>
      </w:r>
      <w:bookmarkStart w:id="7491" w:name="Bookmark_I5MF0R9T2SF7XP0040000400"/>
      <w:bookmarkEnd w:id="7491"/>
      <w:r>
        <w:rPr>
          <w:rFonts w:ascii="Arial" w:eastAsia="Arial" w:hAnsi="Arial" w:cs="Arial"/>
          <w:i/>
          <w:color w:val="000000"/>
          <w:sz w:val="18"/>
        </w:rPr>
        <w:t>Kowalski v. Tesmer</w:t>
      </w:r>
      <w:r>
        <w:rPr>
          <w:rFonts w:ascii="Arial" w:eastAsia="Arial" w:hAnsi="Arial" w:cs="Arial"/>
          <w:color w:val="000000"/>
          <w:sz w:val="18"/>
        </w:rPr>
        <w:t>, 543 U.S. 125, 130, 125 S. Ct. 564, 567, 160 L. Ed. 2d 519 (2004).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0"/>
          </w:pPr>
        </w:p>
      </w:tc>
    </w:tr>
    <w:tr w:rsidR="00E456CD">
      <w:trPr>
        <w:jc w:val="center"/>
      </w:trPr>
      <w:tc>
        <w:tcPr>
          <w:tcW w:w="10080" w:type="dxa"/>
        </w:tcPr>
        <w:p w:rsidR="00E456CD" w:rsidRDefault="00000000">
          <w:pPr>
            <w:pStyle w:val="Normal0"/>
            <w:spacing w:before="60" w:after="200"/>
            <w:jc w:val="center"/>
          </w:pPr>
          <w:r>
            <w:rPr>
              <w:rFonts w:ascii="Arial" w:eastAsia="Arial" w:hAnsi="Arial" w:cs="Arial"/>
              <w:sz w:val="20"/>
            </w:rPr>
            <w:t>Brown v. Stoddard, 2019 U.S. App. LEXIS 25043</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
          </w:pPr>
        </w:p>
      </w:tc>
    </w:tr>
    <w:tr w:rsidR="00E456CD">
      <w:trPr>
        <w:jc w:val="center"/>
      </w:trPr>
      <w:tc>
        <w:tcPr>
          <w:tcW w:w="10080" w:type="dxa"/>
        </w:tcPr>
        <w:p w:rsidR="00E456CD" w:rsidRDefault="00000000">
          <w:pPr>
            <w:pStyle w:val="Normal1"/>
            <w:spacing w:before="60" w:after="200"/>
            <w:jc w:val="center"/>
          </w:pPr>
          <w:r>
            <w:rPr>
              <w:rFonts w:ascii="Arial" w:eastAsia="Arial" w:hAnsi="Arial" w:cs="Arial"/>
              <w:sz w:val="20"/>
            </w:rPr>
            <w:t>Furgess v. Pa. Dep't of Corr., 933 F.3d 285</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
          </w:pPr>
        </w:p>
      </w:tc>
    </w:tr>
    <w:tr w:rsidR="00E456CD">
      <w:trPr>
        <w:jc w:val="center"/>
      </w:trPr>
      <w:tc>
        <w:tcPr>
          <w:tcW w:w="10080" w:type="dxa"/>
        </w:tcPr>
        <w:p w:rsidR="00E456CD" w:rsidRDefault="00000000">
          <w:pPr>
            <w:pStyle w:val="Normal2"/>
            <w:spacing w:before="60" w:after="200"/>
            <w:jc w:val="center"/>
          </w:pPr>
          <w:r>
            <w:rPr>
              <w:rFonts w:ascii="Arial" w:eastAsia="Arial" w:hAnsi="Arial" w:cs="Arial"/>
              <w:sz w:val="20"/>
            </w:rPr>
            <w:t>Childress v. Fox Assocs., LLC, 932 F.3d 1165</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
          </w:pPr>
        </w:p>
      </w:tc>
    </w:tr>
    <w:tr w:rsidR="00E456CD">
      <w:trPr>
        <w:jc w:val="center"/>
      </w:trPr>
      <w:tc>
        <w:tcPr>
          <w:tcW w:w="10080" w:type="dxa"/>
        </w:tcPr>
        <w:p w:rsidR="00E456CD" w:rsidRDefault="00000000">
          <w:pPr>
            <w:pStyle w:val="Normal3"/>
            <w:spacing w:before="60" w:after="200"/>
            <w:jc w:val="center"/>
          </w:pPr>
          <w:r>
            <w:rPr>
              <w:rFonts w:ascii="Arial" w:eastAsia="Arial" w:hAnsi="Arial" w:cs="Arial"/>
              <w:sz w:val="20"/>
            </w:rPr>
            <w:t>Brown v. District of Columbia, 928 F.3d 1070</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
          </w:pPr>
        </w:p>
      </w:tc>
    </w:tr>
    <w:tr w:rsidR="00E456CD">
      <w:trPr>
        <w:jc w:val="center"/>
      </w:trPr>
      <w:tc>
        <w:tcPr>
          <w:tcW w:w="10080" w:type="dxa"/>
        </w:tcPr>
        <w:p w:rsidR="00E456CD" w:rsidRDefault="00000000">
          <w:pPr>
            <w:pStyle w:val="Normal4"/>
            <w:spacing w:before="60" w:after="200"/>
            <w:jc w:val="center"/>
          </w:pPr>
          <w:r>
            <w:rPr>
              <w:rFonts w:ascii="Arial" w:eastAsia="Arial" w:hAnsi="Arial" w:cs="Arial"/>
              <w:sz w:val="20"/>
            </w:rPr>
            <w:t>Kokinda v. Pa. Dep't of Corr., 779 Fed. Appx. 938</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5"/>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5"/>
          </w:pPr>
        </w:p>
      </w:tc>
    </w:tr>
    <w:tr w:rsidR="00E456CD">
      <w:trPr>
        <w:jc w:val="center"/>
      </w:trPr>
      <w:tc>
        <w:tcPr>
          <w:tcW w:w="10080" w:type="dxa"/>
        </w:tcPr>
        <w:p w:rsidR="00E456CD" w:rsidRDefault="00000000">
          <w:pPr>
            <w:pStyle w:val="Normal5"/>
            <w:spacing w:before="60" w:after="200"/>
            <w:jc w:val="center"/>
          </w:pPr>
          <w:r>
            <w:rPr>
              <w:rFonts w:ascii="Arial" w:eastAsia="Arial" w:hAnsi="Arial" w:cs="Arial"/>
              <w:sz w:val="20"/>
            </w:rPr>
            <w:t>Doe v. BlueCross BlueShield of Tenn., Inc., 926 F.3d 235</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5"/>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6"/>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6"/>
          </w:pPr>
        </w:p>
      </w:tc>
    </w:tr>
    <w:tr w:rsidR="00E456CD">
      <w:trPr>
        <w:jc w:val="center"/>
      </w:trPr>
      <w:tc>
        <w:tcPr>
          <w:tcW w:w="10080" w:type="dxa"/>
        </w:tcPr>
        <w:p w:rsidR="00E456CD" w:rsidRDefault="00000000">
          <w:pPr>
            <w:pStyle w:val="Normal6"/>
            <w:spacing w:before="60" w:after="200"/>
            <w:jc w:val="center"/>
          </w:pPr>
          <w:r>
            <w:rPr>
              <w:rFonts w:ascii="Arial" w:eastAsia="Arial" w:hAnsi="Arial" w:cs="Arial"/>
              <w:sz w:val="20"/>
            </w:rPr>
            <w:t>J.D. v. Colonial Williamsburg Found., 925 F.3d 663</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6"/>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7"/>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7"/>
          </w:pPr>
        </w:p>
      </w:tc>
    </w:tr>
    <w:tr w:rsidR="00E456CD">
      <w:trPr>
        <w:jc w:val="center"/>
      </w:trPr>
      <w:tc>
        <w:tcPr>
          <w:tcW w:w="10080" w:type="dxa"/>
        </w:tcPr>
        <w:p w:rsidR="00E456CD" w:rsidRDefault="00000000">
          <w:pPr>
            <w:pStyle w:val="Normal7"/>
            <w:spacing w:before="60" w:after="200"/>
            <w:jc w:val="center"/>
          </w:pPr>
          <w:r>
            <w:rPr>
              <w:rFonts w:ascii="Arial" w:eastAsia="Arial" w:hAnsi="Arial" w:cs="Arial"/>
              <w:sz w:val="20"/>
            </w:rPr>
            <w:t>Sarfaty v. City of Los Angeles, 765 Fed. Appx. 280</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7"/>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8"/>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8"/>
          </w:pPr>
        </w:p>
      </w:tc>
    </w:tr>
    <w:tr w:rsidR="00E456CD">
      <w:trPr>
        <w:jc w:val="center"/>
      </w:trPr>
      <w:tc>
        <w:tcPr>
          <w:tcW w:w="10080" w:type="dxa"/>
        </w:tcPr>
        <w:p w:rsidR="00E456CD" w:rsidRDefault="00000000">
          <w:pPr>
            <w:pStyle w:val="Normal8"/>
            <w:spacing w:before="60" w:after="200"/>
            <w:jc w:val="center"/>
          </w:pPr>
          <w:r>
            <w:rPr>
              <w:rFonts w:ascii="Arial" w:eastAsia="Arial" w:hAnsi="Arial" w:cs="Arial"/>
              <w:sz w:val="20"/>
            </w:rPr>
            <w:t>Marble v. Tennessee, 767 Fed. Appx. 647</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8"/>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9"/>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9"/>
          </w:pPr>
        </w:p>
      </w:tc>
    </w:tr>
    <w:tr w:rsidR="00E456CD">
      <w:trPr>
        <w:jc w:val="center"/>
      </w:trPr>
      <w:tc>
        <w:tcPr>
          <w:tcW w:w="10080" w:type="dxa"/>
        </w:tcPr>
        <w:p w:rsidR="00E456CD" w:rsidRDefault="00000000">
          <w:pPr>
            <w:pStyle w:val="Normal9"/>
            <w:spacing w:before="60" w:after="200"/>
            <w:jc w:val="center"/>
          </w:pPr>
          <w:r>
            <w:rPr>
              <w:rFonts w:ascii="Arial" w:eastAsia="Arial" w:hAnsi="Arial" w:cs="Arial"/>
              <w:sz w:val="20"/>
            </w:rPr>
            <w:t>Reed v. Columbia St. Mary's Hosp., 915 F.3d 473</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9"/>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0"/>
          </w:pPr>
        </w:p>
      </w:tc>
    </w:tr>
    <w:tr w:rsidR="00E456CD">
      <w:trPr>
        <w:jc w:val="center"/>
      </w:trPr>
      <w:tc>
        <w:tcPr>
          <w:tcW w:w="10080" w:type="dxa"/>
        </w:tcPr>
        <w:p w:rsidR="00E456CD" w:rsidRDefault="00000000">
          <w:pPr>
            <w:pStyle w:val="Normal10"/>
            <w:spacing w:before="60" w:after="200"/>
            <w:jc w:val="center"/>
          </w:pPr>
          <w:r>
            <w:rPr>
              <w:rFonts w:ascii="Arial" w:eastAsia="Arial" w:hAnsi="Arial" w:cs="Arial"/>
              <w:sz w:val="20"/>
            </w:rPr>
            <w:t>Gati v. W. Ky. Univ., 762 Fed. Appx. 246</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1"/>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1"/>
          </w:pPr>
        </w:p>
      </w:tc>
    </w:tr>
    <w:tr w:rsidR="00E456CD">
      <w:trPr>
        <w:jc w:val="center"/>
      </w:trPr>
      <w:tc>
        <w:tcPr>
          <w:tcW w:w="10080" w:type="dxa"/>
        </w:tcPr>
        <w:p w:rsidR="00E456CD" w:rsidRDefault="00000000">
          <w:pPr>
            <w:pStyle w:val="Normal11"/>
            <w:spacing w:before="60" w:after="200"/>
            <w:jc w:val="center"/>
          </w:pPr>
          <w:r>
            <w:rPr>
              <w:rFonts w:ascii="Arial" w:eastAsia="Arial" w:hAnsi="Arial" w:cs="Arial"/>
              <w:sz w:val="20"/>
            </w:rPr>
            <w:t>Robles v. Domino's Pizza, LLC, 913 F.3d 898</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1"/>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2"/>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2"/>
          </w:pPr>
        </w:p>
      </w:tc>
    </w:tr>
    <w:tr w:rsidR="00E456CD">
      <w:trPr>
        <w:jc w:val="center"/>
      </w:trPr>
      <w:tc>
        <w:tcPr>
          <w:tcW w:w="10080" w:type="dxa"/>
        </w:tcPr>
        <w:p w:rsidR="00E456CD" w:rsidRDefault="00000000">
          <w:pPr>
            <w:pStyle w:val="Normal12"/>
            <w:spacing w:before="60" w:after="200"/>
            <w:jc w:val="center"/>
          </w:pPr>
          <w:r>
            <w:rPr>
              <w:rFonts w:ascii="Arial" w:eastAsia="Arial" w:hAnsi="Arial" w:cs="Arial"/>
              <w:sz w:val="20"/>
            </w:rPr>
            <w:t>Silguero v. CSL Plasma, Inc., 907 F.3d 323</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2"/>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3"/>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3"/>
          </w:pPr>
        </w:p>
      </w:tc>
    </w:tr>
    <w:tr w:rsidR="00E456CD">
      <w:trPr>
        <w:jc w:val="center"/>
      </w:trPr>
      <w:tc>
        <w:tcPr>
          <w:tcW w:w="10080" w:type="dxa"/>
        </w:tcPr>
        <w:p w:rsidR="00E456CD" w:rsidRDefault="00000000">
          <w:pPr>
            <w:pStyle w:val="Normal13"/>
            <w:spacing w:before="60" w:after="200"/>
            <w:jc w:val="center"/>
          </w:pPr>
          <w:r>
            <w:rPr>
              <w:rFonts w:ascii="Arial" w:eastAsia="Arial" w:hAnsi="Arial" w:cs="Arial"/>
              <w:sz w:val="20"/>
            </w:rPr>
            <w:t>Bell-Kachelski v. Mich. Prot. &amp; Advocacy Serv., 2018 U.S. App. LEXIS 25983</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3"/>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4"/>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4"/>
          </w:pPr>
        </w:p>
      </w:tc>
    </w:tr>
    <w:tr w:rsidR="00E456CD">
      <w:trPr>
        <w:jc w:val="center"/>
      </w:trPr>
      <w:tc>
        <w:tcPr>
          <w:tcW w:w="10080" w:type="dxa"/>
        </w:tcPr>
        <w:p w:rsidR="00E456CD" w:rsidRDefault="00000000">
          <w:pPr>
            <w:pStyle w:val="Normal14"/>
            <w:spacing w:before="60" w:after="200"/>
            <w:jc w:val="center"/>
          </w:pPr>
          <w:r>
            <w:rPr>
              <w:rFonts w:ascii="Arial" w:eastAsia="Arial" w:hAnsi="Arial" w:cs="Arial"/>
              <w:sz w:val="20"/>
            </w:rPr>
            <w:t>Durand v. Fairview Health Servs., 902 F.3d 836</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4"/>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5"/>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5"/>
          </w:pPr>
        </w:p>
      </w:tc>
    </w:tr>
    <w:tr w:rsidR="00E456CD">
      <w:trPr>
        <w:jc w:val="center"/>
      </w:trPr>
      <w:tc>
        <w:tcPr>
          <w:tcW w:w="10080" w:type="dxa"/>
        </w:tcPr>
        <w:p w:rsidR="00E456CD" w:rsidRDefault="00000000">
          <w:pPr>
            <w:pStyle w:val="Normal15"/>
            <w:spacing w:before="60" w:after="200"/>
            <w:jc w:val="center"/>
          </w:pPr>
          <w:r>
            <w:rPr>
              <w:rFonts w:ascii="Arial" w:eastAsia="Arial" w:hAnsi="Arial" w:cs="Arial"/>
              <w:sz w:val="20"/>
            </w:rPr>
            <w:t>Providence Behavioral Health v. Grant Rd. Pub. Util. Dist., 902 F.3d 448</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5"/>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6"/>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6"/>
          </w:pPr>
        </w:p>
      </w:tc>
    </w:tr>
    <w:tr w:rsidR="00E456CD">
      <w:trPr>
        <w:jc w:val="center"/>
      </w:trPr>
      <w:tc>
        <w:tcPr>
          <w:tcW w:w="10080" w:type="dxa"/>
        </w:tcPr>
        <w:p w:rsidR="00E456CD" w:rsidRDefault="00000000">
          <w:pPr>
            <w:pStyle w:val="Normal16"/>
            <w:spacing w:before="60" w:after="200"/>
            <w:jc w:val="center"/>
          </w:pPr>
          <w:r>
            <w:rPr>
              <w:rFonts w:ascii="Arial" w:eastAsia="Arial" w:hAnsi="Arial" w:cs="Arial"/>
              <w:sz w:val="20"/>
            </w:rPr>
            <w:t>A.L. v. Walt Disney Parks &amp; Resorts US, Inc., 900 F.3d 1270</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6"/>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7"/>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7"/>
          </w:pPr>
        </w:p>
      </w:tc>
    </w:tr>
    <w:tr w:rsidR="00E456CD">
      <w:trPr>
        <w:jc w:val="center"/>
      </w:trPr>
      <w:tc>
        <w:tcPr>
          <w:tcW w:w="10080" w:type="dxa"/>
        </w:tcPr>
        <w:p w:rsidR="00E456CD" w:rsidRDefault="00000000">
          <w:pPr>
            <w:pStyle w:val="Normal17"/>
            <w:spacing w:before="60" w:after="200"/>
            <w:jc w:val="center"/>
          </w:pPr>
          <w:r>
            <w:rPr>
              <w:rFonts w:ascii="Arial" w:eastAsia="Arial" w:hAnsi="Arial" w:cs="Arial"/>
              <w:sz w:val="20"/>
            </w:rPr>
            <w:t>Berardelli v. Allied Servs. Inst. of Rehab. Med., 900 F.3d 104</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7"/>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8"/>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8"/>
          </w:pPr>
        </w:p>
      </w:tc>
    </w:tr>
    <w:tr w:rsidR="00E456CD">
      <w:trPr>
        <w:jc w:val="center"/>
      </w:trPr>
      <w:tc>
        <w:tcPr>
          <w:tcW w:w="10080" w:type="dxa"/>
        </w:tcPr>
        <w:p w:rsidR="00E456CD" w:rsidRDefault="00000000">
          <w:pPr>
            <w:pStyle w:val="Normal18"/>
            <w:spacing w:before="60" w:after="200"/>
            <w:jc w:val="center"/>
          </w:pPr>
          <w:r>
            <w:rPr>
              <w:rFonts w:ascii="Arial" w:eastAsia="Arial" w:hAnsi="Arial" w:cs="Arial"/>
              <w:sz w:val="20"/>
            </w:rPr>
            <w:t>Haynes v. Dunkin' Donuts, LLC, 741 Fed. Appx. 752</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8"/>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9"/>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19"/>
          </w:pPr>
        </w:p>
      </w:tc>
    </w:tr>
    <w:tr w:rsidR="00E456CD">
      <w:trPr>
        <w:jc w:val="center"/>
      </w:trPr>
      <w:tc>
        <w:tcPr>
          <w:tcW w:w="10080" w:type="dxa"/>
        </w:tcPr>
        <w:p w:rsidR="00E456CD" w:rsidRDefault="00000000">
          <w:pPr>
            <w:pStyle w:val="Normal19"/>
            <w:spacing w:before="60" w:after="200"/>
            <w:jc w:val="center"/>
          </w:pPr>
          <w:r>
            <w:rPr>
              <w:rFonts w:ascii="Arial" w:eastAsia="Arial" w:hAnsi="Arial" w:cs="Arial"/>
              <w:sz w:val="20"/>
            </w:rPr>
            <w:t>Hillesheim v. Myron's Cards &amp; Gifts, Inc., 897 F.3d 953</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19"/>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0"/>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0"/>
          </w:pPr>
        </w:p>
      </w:tc>
    </w:tr>
    <w:tr w:rsidR="00E456CD">
      <w:trPr>
        <w:jc w:val="center"/>
      </w:trPr>
      <w:tc>
        <w:tcPr>
          <w:tcW w:w="10080" w:type="dxa"/>
        </w:tcPr>
        <w:p w:rsidR="00E456CD" w:rsidRDefault="00000000">
          <w:pPr>
            <w:pStyle w:val="Normal20"/>
            <w:spacing w:before="60" w:after="200"/>
            <w:jc w:val="center"/>
          </w:pPr>
          <w:r>
            <w:rPr>
              <w:rFonts w:ascii="Arial" w:eastAsia="Arial" w:hAnsi="Arial" w:cs="Arial"/>
              <w:sz w:val="20"/>
            </w:rPr>
            <w:t>Mielo v. Steak 'N Shake Operations, Inc., 897 F.3d 467</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0"/>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1"/>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1"/>
          </w:pPr>
        </w:p>
      </w:tc>
    </w:tr>
    <w:tr w:rsidR="00E456CD">
      <w:trPr>
        <w:jc w:val="center"/>
      </w:trPr>
      <w:tc>
        <w:tcPr>
          <w:tcW w:w="10080" w:type="dxa"/>
        </w:tcPr>
        <w:p w:rsidR="00E456CD" w:rsidRDefault="00000000">
          <w:pPr>
            <w:pStyle w:val="Normal21"/>
            <w:spacing w:before="60" w:after="200"/>
            <w:jc w:val="center"/>
          </w:pPr>
          <w:r>
            <w:rPr>
              <w:rFonts w:ascii="Arial" w:eastAsia="Arial" w:hAnsi="Arial" w:cs="Arial"/>
              <w:sz w:val="20"/>
            </w:rPr>
            <w:t>Mengistu v. Hous. Auth. of L.A., 742 Fed. Appx. 247</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1"/>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2"/>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2"/>
          </w:pPr>
        </w:p>
      </w:tc>
    </w:tr>
    <w:tr w:rsidR="00E456CD">
      <w:trPr>
        <w:jc w:val="center"/>
      </w:trPr>
      <w:tc>
        <w:tcPr>
          <w:tcW w:w="10080" w:type="dxa"/>
        </w:tcPr>
        <w:p w:rsidR="00E456CD" w:rsidRDefault="00000000">
          <w:pPr>
            <w:pStyle w:val="Normal22"/>
            <w:spacing w:before="60" w:after="200"/>
            <w:jc w:val="center"/>
          </w:pPr>
          <w:r>
            <w:rPr>
              <w:rFonts w:ascii="Arial" w:eastAsia="Arial" w:hAnsi="Arial" w:cs="Arial"/>
              <w:sz w:val="20"/>
            </w:rPr>
            <w:t>Sophie G. v. Wilson Cty. Schs, 742 Fed. Appx. 73</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2"/>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3"/>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3"/>
          </w:pPr>
        </w:p>
      </w:tc>
    </w:tr>
    <w:tr w:rsidR="00E456CD">
      <w:trPr>
        <w:jc w:val="center"/>
      </w:trPr>
      <w:tc>
        <w:tcPr>
          <w:tcW w:w="10080" w:type="dxa"/>
        </w:tcPr>
        <w:p w:rsidR="00E456CD" w:rsidRDefault="00000000">
          <w:pPr>
            <w:pStyle w:val="Normal23"/>
            <w:spacing w:before="60" w:after="200"/>
            <w:jc w:val="center"/>
          </w:pPr>
          <w:r>
            <w:rPr>
              <w:rFonts w:ascii="Arial" w:eastAsia="Arial" w:hAnsi="Arial" w:cs="Arial"/>
              <w:sz w:val="20"/>
            </w:rPr>
            <w:t>Heit v. Aerotek, Inc., 726 Fed. Appx. 648</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3"/>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4"/>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4"/>
          </w:pPr>
        </w:p>
      </w:tc>
    </w:tr>
    <w:tr w:rsidR="00E456CD">
      <w:trPr>
        <w:jc w:val="center"/>
      </w:trPr>
      <w:tc>
        <w:tcPr>
          <w:tcW w:w="10080" w:type="dxa"/>
        </w:tcPr>
        <w:p w:rsidR="00E456CD" w:rsidRDefault="00000000">
          <w:pPr>
            <w:pStyle w:val="Normal24"/>
            <w:spacing w:before="60" w:after="200"/>
            <w:jc w:val="center"/>
          </w:pPr>
          <w:r>
            <w:rPr>
              <w:rFonts w:ascii="Arial" w:eastAsia="Arial" w:hAnsi="Arial" w:cs="Arial"/>
              <w:sz w:val="20"/>
            </w:rPr>
            <w:t>Perona v. Time Warner Cable, Inc., 724 Fed. Appx. 595</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4"/>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5"/>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5"/>
          </w:pPr>
        </w:p>
      </w:tc>
    </w:tr>
    <w:tr w:rsidR="00E456CD">
      <w:trPr>
        <w:jc w:val="center"/>
      </w:trPr>
      <w:tc>
        <w:tcPr>
          <w:tcW w:w="10080" w:type="dxa"/>
        </w:tcPr>
        <w:p w:rsidR="00E456CD" w:rsidRDefault="00000000">
          <w:pPr>
            <w:pStyle w:val="Normal25"/>
            <w:spacing w:before="60" w:after="200"/>
            <w:jc w:val="center"/>
          </w:pPr>
          <w:r>
            <w:rPr>
              <w:rFonts w:ascii="Arial" w:eastAsia="Arial" w:hAnsi="Arial" w:cs="Arial"/>
              <w:sz w:val="20"/>
            </w:rPr>
            <w:t>Wood v. Md. DOT, 732 Fed. Appx. 177</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5"/>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6"/>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6"/>
          </w:pPr>
        </w:p>
      </w:tc>
    </w:tr>
    <w:tr w:rsidR="00E456CD">
      <w:trPr>
        <w:jc w:val="center"/>
      </w:trPr>
      <w:tc>
        <w:tcPr>
          <w:tcW w:w="10080" w:type="dxa"/>
        </w:tcPr>
        <w:p w:rsidR="00E456CD" w:rsidRDefault="00000000">
          <w:pPr>
            <w:pStyle w:val="Normal26"/>
            <w:spacing w:before="60" w:after="200"/>
            <w:jc w:val="center"/>
          </w:pPr>
          <w:r>
            <w:rPr>
              <w:rFonts w:ascii="Arial" w:eastAsia="Arial" w:hAnsi="Arial" w:cs="Arial"/>
              <w:sz w:val="20"/>
            </w:rPr>
            <w:t>Straw v. Vill. of Streamwood, 734 Fed. Appx. 344</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6"/>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7"/>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7"/>
          </w:pPr>
        </w:p>
      </w:tc>
    </w:tr>
    <w:tr w:rsidR="00E456CD">
      <w:trPr>
        <w:jc w:val="center"/>
      </w:trPr>
      <w:tc>
        <w:tcPr>
          <w:tcW w:w="10080" w:type="dxa"/>
        </w:tcPr>
        <w:p w:rsidR="00E456CD" w:rsidRDefault="00000000">
          <w:pPr>
            <w:pStyle w:val="Normal27"/>
            <w:spacing w:before="60" w:after="200"/>
            <w:jc w:val="center"/>
          </w:pPr>
          <w:r>
            <w:rPr>
              <w:rFonts w:ascii="Arial" w:eastAsia="Arial" w:hAnsi="Arial" w:cs="Arial"/>
              <w:sz w:val="20"/>
            </w:rPr>
            <w:t>Kennedy v. Beachside Commer. Props., LLC, 731 Fed. Appx. 817</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7"/>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8"/>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8"/>
          </w:pPr>
        </w:p>
      </w:tc>
    </w:tr>
    <w:tr w:rsidR="00E456CD">
      <w:trPr>
        <w:jc w:val="center"/>
      </w:trPr>
      <w:tc>
        <w:tcPr>
          <w:tcW w:w="10080" w:type="dxa"/>
        </w:tcPr>
        <w:p w:rsidR="00E456CD" w:rsidRDefault="00000000">
          <w:pPr>
            <w:pStyle w:val="Normal28"/>
            <w:spacing w:before="60" w:after="200"/>
            <w:jc w:val="center"/>
          </w:pPr>
          <w:r>
            <w:rPr>
              <w:rFonts w:ascii="Arial" w:eastAsia="Arial" w:hAnsi="Arial" w:cs="Arial"/>
              <w:sz w:val="20"/>
            </w:rPr>
            <w:t>Collins v. PRG Real Estate, 2018 U.S. App. LEXIS 8592</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8"/>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9"/>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29"/>
          </w:pPr>
        </w:p>
      </w:tc>
    </w:tr>
    <w:tr w:rsidR="00E456CD">
      <w:trPr>
        <w:jc w:val="center"/>
      </w:trPr>
      <w:tc>
        <w:tcPr>
          <w:tcW w:w="10080" w:type="dxa"/>
        </w:tcPr>
        <w:p w:rsidR="00E456CD" w:rsidRDefault="00000000">
          <w:pPr>
            <w:pStyle w:val="Normal29"/>
            <w:spacing w:before="60" w:after="200"/>
            <w:jc w:val="center"/>
          </w:pPr>
          <w:r>
            <w:rPr>
              <w:rFonts w:ascii="Arial" w:eastAsia="Arial" w:hAnsi="Arial" w:cs="Arial"/>
              <w:sz w:val="20"/>
            </w:rPr>
            <w:t>Pollack v. Reg'l Sch. Unit 75, 886 F.3d 75</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29"/>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0"/>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0"/>
          </w:pPr>
        </w:p>
      </w:tc>
    </w:tr>
    <w:tr w:rsidR="00E456CD">
      <w:trPr>
        <w:jc w:val="center"/>
      </w:trPr>
      <w:tc>
        <w:tcPr>
          <w:tcW w:w="10080" w:type="dxa"/>
        </w:tcPr>
        <w:p w:rsidR="00E456CD" w:rsidRDefault="00000000">
          <w:pPr>
            <w:pStyle w:val="Normal30"/>
            <w:spacing w:before="60" w:after="200"/>
            <w:jc w:val="center"/>
          </w:pPr>
          <w:r>
            <w:rPr>
              <w:rFonts w:ascii="Arial" w:eastAsia="Arial" w:hAnsi="Arial" w:cs="Arial"/>
              <w:sz w:val="20"/>
            </w:rPr>
            <w:t>Disability Support Alliance v. Heartwood Enters., LLC, 885 F.3d 543</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0"/>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1"/>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1"/>
          </w:pPr>
        </w:p>
      </w:tc>
    </w:tr>
    <w:tr w:rsidR="00E456CD">
      <w:trPr>
        <w:jc w:val="center"/>
      </w:trPr>
      <w:tc>
        <w:tcPr>
          <w:tcW w:w="10080" w:type="dxa"/>
        </w:tcPr>
        <w:p w:rsidR="00E456CD" w:rsidRDefault="00000000">
          <w:pPr>
            <w:pStyle w:val="Normal31"/>
            <w:spacing w:before="60" w:after="200"/>
            <w:jc w:val="center"/>
          </w:pPr>
          <w:r>
            <w:rPr>
              <w:rFonts w:ascii="Arial" w:eastAsia="Arial" w:hAnsi="Arial" w:cs="Arial"/>
              <w:sz w:val="20"/>
            </w:rPr>
            <w:t>Tri-Cities Holdings LLC v. Tenn. Admin. Procedures Div., 726 Fed. Appx. 298</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1"/>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2"/>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2"/>
          </w:pPr>
        </w:p>
      </w:tc>
    </w:tr>
    <w:tr w:rsidR="00E456CD">
      <w:trPr>
        <w:jc w:val="center"/>
      </w:trPr>
      <w:tc>
        <w:tcPr>
          <w:tcW w:w="10080" w:type="dxa"/>
        </w:tcPr>
        <w:p w:rsidR="00E456CD" w:rsidRDefault="00000000">
          <w:pPr>
            <w:pStyle w:val="Normal32"/>
            <w:spacing w:before="60" w:after="200"/>
            <w:jc w:val="center"/>
          </w:pPr>
          <w:r>
            <w:rPr>
              <w:rFonts w:ascii="Arial" w:eastAsia="Arial" w:hAnsi="Arial" w:cs="Arial"/>
              <w:sz w:val="20"/>
            </w:rPr>
            <w:t>Tull v. New York City Hous. Auth., 722 Fed. Appx. 75</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2"/>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3"/>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3"/>
          </w:pPr>
        </w:p>
      </w:tc>
    </w:tr>
    <w:tr w:rsidR="00E456CD">
      <w:trPr>
        <w:jc w:val="center"/>
      </w:trPr>
      <w:tc>
        <w:tcPr>
          <w:tcW w:w="10080" w:type="dxa"/>
        </w:tcPr>
        <w:p w:rsidR="00E456CD" w:rsidRDefault="00000000">
          <w:pPr>
            <w:pStyle w:val="Normal33"/>
            <w:spacing w:before="60" w:after="200"/>
            <w:jc w:val="center"/>
          </w:pPr>
          <w:r>
            <w:rPr>
              <w:rFonts w:ascii="Arial" w:eastAsia="Arial" w:hAnsi="Arial" w:cs="Arial"/>
              <w:sz w:val="20"/>
            </w:rPr>
            <w:t>Bedford v. Michigan, 722 Fed. Appx. 515</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3"/>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4"/>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4"/>
          </w:pPr>
        </w:p>
      </w:tc>
    </w:tr>
    <w:tr w:rsidR="00E456CD">
      <w:trPr>
        <w:jc w:val="center"/>
      </w:trPr>
      <w:tc>
        <w:tcPr>
          <w:tcW w:w="10080" w:type="dxa"/>
        </w:tcPr>
        <w:p w:rsidR="00E456CD" w:rsidRDefault="00000000">
          <w:pPr>
            <w:pStyle w:val="Normal34"/>
            <w:spacing w:before="60" w:after="200"/>
            <w:jc w:val="center"/>
          </w:pPr>
          <w:r>
            <w:rPr>
              <w:rFonts w:ascii="Arial" w:eastAsia="Arial" w:hAnsi="Arial" w:cs="Arial"/>
              <w:sz w:val="20"/>
            </w:rPr>
            <w:t>Collins v. PRG Real Estate, 2018 U.S. App. LEXIS 1878</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4"/>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5"/>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5"/>
          </w:pPr>
        </w:p>
      </w:tc>
    </w:tr>
    <w:tr w:rsidR="00E456CD">
      <w:trPr>
        <w:jc w:val="center"/>
      </w:trPr>
      <w:tc>
        <w:tcPr>
          <w:tcW w:w="10080" w:type="dxa"/>
        </w:tcPr>
        <w:p w:rsidR="00E456CD" w:rsidRDefault="00000000">
          <w:pPr>
            <w:pStyle w:val="Normal35"/>
            <w:spacing w:before="60" w:after="200"/>
            <w:jc w:val="center"/>
          </w:pPr>
          <w:r>
            <w:rPr>
              <w:rFonts w:ascii="Arial" w:eastAsia="Arial" w:hAnsi="Arial" w:cs="Arial"/>
              <w:sz w:val="20"/>
            </w:rPr>
            <w:t>Dunlap v. Liberty Natural Prods., 878 F.3d 794</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5"/>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6"/>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6"/>
          </w:pPr>
        </w:p>
      </w:tc>
    </w:tr>
    <w:tr w:rsidR="00E456CD">
      <w:trPr>
        <w:jc w:val="center"/>
      </w:trPr>
      <w:tc>
        <w:tcPr>
          <w:tcW w:w="10080" w:type="dxa"/>
        </w:tcPr>
        <w:p w:rsidR="00E456CD" w:rsidRDefault="00000000">
          <w:pPr>
            <w:pStyle w:val="Normal36"/>
            <w:spacing w:before="60" w:after="200"/>
            <w:jc w:val="center"/>
          </w:pPr>
          <w:r>
            <w:rPr>
              <w:rFonts w:ascii="Arial" w:eastAsia="Arial" w:hAnsi="Arial" w:cs="Arial"/>
              <w:sz w:val="20"/>
            </w:rPr>
            <w:t>Windham v. Harris Cty., 875 F.3d 229</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6"/>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7"/>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7"/>
          </w:pPr>
        </w:p>
      </w:tc>
    </w:tr>
    <w:tr w:rsidR="00E456CD">
      <w:trPr>
        <w:jc w:val="center"/>
      </w:trPr>
      <w:tc>
        <w:tcPr>
          <w:tcW w:w="10080" w:type="dxa"/>
        </w:tcPr>
        <w:p w:rsidR="00E456CD" w:rsidRDefault="00000000">
          <w:pPr>
            <w:pStyle w:val="Normal37"/>
            <w:spacing w:before="60" w:after="200"/>
            <w:jc w:val="center"/>
          </w:pPr>
          <w:r>
            <w:rPr>
              <w:rFonts w:ascii="Arial" w:eastAsia="Arial" w:hAnsi="Arial" w:cs="Arial"/>
              <w:sz w:val="20"/>
            </w:rPr>
            <w:t>Hindel v. Husted, 875 F.3d 344</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7"/>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8"/>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8"/>
          </w:pPr>
        </w:p>
      </w:tc>
    </w:tr>
    <w:tr w:rsidR="00E456CD">
      <w:trPr>
        <w:jc w:val="center"/>
      </w:trPr>
      <w:tc>
        <w:tcPr>
          <w:tcW w:w="10080" w:type="dxa"/>
        </w:tcPr>
        <w:p w:rsidR="00E456CD" w:rsidRDefault="00000000">
          <w:pPr>
            <w:pStyle w:val="Normal38"/>
            <w:spacing w:before="60" w:after="200"/>
            <w:jc w:val="center"/>
          </w:pPr>
          <w:r>
            <w:rPr>
              <w:rFonts w:ascii="Arial" w:eastAsia="Arial" w:hAnsi="Arial" w:cs="Arial"/>
              <w:sz w:val="20"/>
            </w:rPr>
            <w:t>Johnson v. Royal Chem. Co., 2017 U.S. App. LEXIS 21543</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8"/>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9"/>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39"/>
          </w:pPr>
        </w:p>
      </w:tc>
    </w:tr>
    <w:tr w:rsidR="00E456CD">
      <w:trPr>
        <w:jc w:val="center"/>
      </w:trPr>
      <w:tc>
        <w:tcPr>
          <w:tcW w:w="10080" w:type="dxa"/>
        </w:tcPr>
        <w:p w:rsidR="00E456CD" w:rsidRDefault="00000000">
          <w:pPr>
            <w:pStyle w:val="Normal39"/>
            <w:spacing w:before="60" w:after="200"/>
            <w:jc w:val="center"/>
          </w:pPr>
          <w:r>
            <w:rPr>
              <w:rFonts w:ascii="Arial" w:eastAsia="Arial" w:hAnsi="Arial" w:cs="Arial"/>
              <w:sz w:val="20"/>
            </w:rPr>
            <w:t>Scott v. City of Albuquerque, 711 Fed. Appx. 871</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39"/>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0"/>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0"/>
          </w:pPr>
        </w:p>
      </w:tc>
    </w:tr>
    <w:tr w:rsidR="00E456CD">
      <w:trPr>
        <w:jc w:val="center"/>
      </w:trPr>
      <w:tc>
        <w:tcPr>
          <w:tcW w:w="10080" w:type="dxa"/>
        </w:tcPr>
        <w:p w:rsidR="00E456CD" w:rsidRDefault="00000000">
          <w:pPr>
            <w:pStyle w:val="Normal40"/>
            <w:spacing w:before="60" w:after="200"/>
            <w:jc w:val="center"/>
          </w:pPr>
          <w:r>
            <w:rPr>
              <w:rFonts w:ascii="Arial" w:eastAsia="Arial" w:hAnsi="Arial" w:cs="Arial"/>
              <w:sz w:val="20"/>
            </w:rPr>
            <w:t>Justice v. Renasant Bank, 697 Fed. Appx. 357</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0"/>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1"/>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1"/>
          </w:pPr>
        </w:p>
      </w:tc>
    </w:tr>
    <w:tr w:rsidR="00E456CD">
      <w:trPr>
        <w:jc w:val="center"/>
      </w:trPr>
      <w:tc>
        <w:tcPr>
          <w:tcW w:w="10080" w:type="dxa"/>
        </w:tcPr>
        <w:p w:rsidR="00E456CD" w:rsidRDefault="00000000">
          <w:pPr>
            <w:pStyle w:val="Normal41"/>
            <w:spacing w:before="60" w:after="200"/>
            <w:jc w:val="center"/>
          </w:pPr>
          <w:r>
            <w:rPr>
              <w:rFonts w:ascii="Arial" w:eastAsia="Arial" w:hAnsi="Arial" w:cs="Arial"/>
              <w:sz w:val="20"/>
            </w:rPr>
            <w:t>Updike v. Multnomah Cty., 870 F.3d 939</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1"/>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2"/>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2"/>
          </w:pPr>
        </w:p>
      </w:tc>
    </w:tr>
    <w:tr w:rsidR="00E456CD">
      <w:trPr>
        <w:jc w:val="center"/>
      </w:trPr>
      <w:tc>
        <w:tcPr>
          <w:tcW w:w="10080" w:type="dxa"/>
        </w:tcPr>
        <w:p w:rsidR="00E456CD" w:rsidRDefault="00000000">
          <w:pPr>
            <w:pStyle w:val="Normal42"/>
            <w:spacing w:before="60" w:after="200"/>
            <w:jc w:val="center"/>
          </w:pPr>
          <w:r>
            <w:rPr>
              <w:rFonts w:ascii="Arial" w:eastAsia="Arial" w:hAnsi="Arial" w:cs="Arial"/>
              <w:sz w:val="20"/>
            </w:rPr>
            <w:t>Cotuna v. Wal-Mart Stores, Inc., 2017 U.S. App. LEXIS 22749</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2"/>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3"/>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3"/>
          </w:pPr>
        </w:p>
      </w:tc>
    </w:tr>
    <w:tr w:rsidR="00E456CD">
      <w:trPr>
        <w:jc w:val="center"/>
      </w:trPr>
      <w:tc>
        <w:tcPr>
          <w:tcW w:w="10080" w:type="dxa"/>
        </w:tcPr>
        <w:p w:rsidR="00E456CD" w:rsidRDefault="00000000">
          <w:pPr>
            <w:pStyle w:val="Normal43"/>
            <w:spacing w:before="60" w:after="200"/>
            <w:jc w:val="center"/>
          </w:pPr>
          <w:r>
            <w:rPr>
              <w:rFonts w:ascii="Arial" w:eastAsia="Arial" w:hAnsi="Arial" w:cs="Arial"/>
              <w:sz w:val="20"/>
            </w:rPr>
            <w:t>Patton v. Jacobs Eng'g Grp., Inc., 863 F.3d 419</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3"/>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4"/>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4"/>
          </w:pPr>
        </w:p>
      </w:tc>
    </w:tr>
    <w:tr w:rsidR="00E456CD">
      <w:trPr>
        <w:jc w:val="center"/>
      </w:trPr>
      <w:tc>
        <w:tcPr>
          <w:tcW w:w="10080" w:type="dxa"/>
        </w:tcPr>
        <w:p w:rsidR="00E456CD" w:rsidRDefault="00000000">
          <w:pPr>
            <w:pStyle w:val="Normal44"/>
            <w:spacing w:before="60" w:after="200"/>
            <w:jc w:val="center"/>
          </w:pPr>
          <w:r>
            <w:rPr>
              <w:rFonts w:ascii="Arial" w:eastAsia="Arial" w:hAnsi="Arial" w:cs="Arial"/>
              <w:sz w:val="20"/>
            </w:rPr>
            <w:t>Karczewski v. DCH Mission Valley LLC, 862 F.3d 1006</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4"/>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5"/>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5"/>
          </w:pPr>
        </w:p>
      </w:tc>
    </w:tr>
    <w:tr w:rsidR="00E456CD">
      <w:trPr>
        <w:jc w:val="center"/>
      </w:trPr>
      <w:tc>
        <w:tcPr>
          <w:tcW w:w="10080" w:type="dxa"/>
        </w:tcPr>
        <w:p w:rsidR="00E456CD" w:rsidRDefault="00000000">
          <w:pPr>
            <w:pStyle w:val="Normal45"/>
            <w:spacing w:before="60" w:after="200"/>
            <w:jc w:val="center"/>
          </w:pPr>
          <w:r>
            <w:rPr>
              <w:rFonts w:ascii="Arial" w:eastAsia="Arial" w:hAnsi="Arial" w:cs="Arial"/>
              <w:sz w:val="20"/>
            </w:rPr>
            <w:t>Kalani v. Starbucks Coffee Co., 698 Fed. Appx. 883</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5"/>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6"/>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6"/>
          </w:pPr>
        </w:p>
      </w:tc>
    </w:tr>
    <w:tr w:rsidR="00E456CD">
      <w:trPr>
        <w:jc w:val="center"/>
      </w:trPr>
      <w:tc>
        <w:tcPr>
          <w:tcW w:w="10080" w:type="dxa"/>
        </w:tcPr>
        <w:p w:rsidR="00E456CD" w:rsidRDefault="00000000">
          <w:pPr>
            <w:pStyle w:val="Normal46"/>
            <w:spacing w:before="60" w:after="200"/>
            <w:jc w:val="center"/>
          </w:pPr>
          <w:r>
            <w:rPr>
              <w:rFonts w:ascii="Arial" w:eastAsia="Arial" w:hAnsi="Arial" w:cs="Arial"/>
              <w:sz w:val="20"/>
            </w:rPr>
            <w:t>Chin v. Rutgers, 697 Fed. Appx. 751</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6"/>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7"/>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7"/>
          </w:pPr>
        </w:p>
      </w:tc>
    </w:tr>
    <w:tr w:rsidR="00E456CD">
      <w:trPr>
        <w:jc w:val="center"/>
      </w:trPr>
      <w:tc>
        <w:tcPr>
          <w:tcW w:w="10080" w:type="dxa"/>
        </w:tcPr>
        <w:p w:rsidR="00E456CD" w:rsidRDefault="00000000">
          <w:pPr>
            <w:pStyle w:val="Normal47"/>
            <w:spacing w:before="60" w:after="200"/>
            <w:jc w:val="center"/>
          </w:pPr>
          <w:r>
            <w:rPr>
              <w:rFonts w:ascii="Arial" w:eastAsia="Arial" w:hAnsi="Arial" w:cs="Arial"/>
              <w:sz w:val="20"/>
            </w:rPr>
            <w:t>City of L.A. v. AECOM Servs., 854 F.3d 1149</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7"/>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8"/>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8"/>
          </w:pPr>
        </w:p>
      </w:tc>
    </w:tr>
    <w:tr w:rsidR="00E456CD">
      <w:trPr>
        <w:jc w:val="center"/>
      </w:trPr>
      <w:tc>
        <w:tcPr>
          <w:tcW w:w="10080" w:type="dxa"/>
        </w:tcPr>
        <w:p w:rsidR="00E456CD" w:rsidRDefault="00000000">
          <w:pPr>
            <w:pStyle w:val="Normal48"/>
            <w:spacing w:before="60" w:after="200"/>
            <w:jc w:val="center"/>
          </w:pPr>
          <w:r>
            <w:rPr>
              <w:rFonts w:ascii="Arial" w:eastAsia="Arial" w:hAnsi="Arial" w:cs="Arial"/>
              <w:sz w:val="20"/>
            </w:rPr>
            <w:t>Berrett v. Clark Cnty. Sch. Dist. No. 161, 682 Fed. Appx. 623</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8"/>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9"/>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456CD">
      <w:trPr>
        <w:jc w:val="center"/>
      </w:trPr>
      <w:tc>
        <w:tcPr>
          <w:tcW w:w="10080" w:type="dxa"/>
          <w:vAlign w:val="center"/>
        </w:tcPr>
        <w:p w:rsidR="00E456CD" w:rsidRDefault="00E456CD">
          <w:pPr>
            <w:pStyle w:val="Normal49"/>
          </w:pPr>
        </w:p>
      </w:tc>
    </w:tr>
    <w:tr w:rsidR="00E456CD">
      <w:trPr>
        <w:jc w:val="center"/>
      </w:trPr>
      <w:tc>
        <w:tcPr>
          <w:tcW w:w="10080" w:type="dxa"/>
        </w:tcPr>
        <w:p w:rsidR="00E456CD" w:rsidRDefault="00000000">
          <w:pPr>
            <w:pStyle w:val="Normal49"/>
            <w:spacing w:before="60" w:after="200"/>
            <w:jc w:val="center"/>
          </w:pPr>
          <w:r>
            <w:rPr>
              <w:rFonts w:ascii="Arial" w:eastAsia="Arial" w:hAnsi="Arial" w:cs="Arial"/>
              <w:sz w:val="20"/>
            </w:rPr>
            <w:t>Campbell v. Lamar Inst. of Tech., 842 F.3d 375</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6CD" w:rsidRDefault="00E456CD">
    <w:pPr>
      <w:pStyle w:val="Normal4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8573AC"/>
    <w:rsid w:val="00A77B3E"/>
    <w:rsid w:val="00CA2A55"/>
    <w:rsid w:val="00E22289"/>
    <w:rsid w:val="00E45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65E3D8-042F-4E0C-9A1E-FD010C09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 w:type="paragraph" w:customStyle="1" w:styleId="Normal1">
    <w:name w:val="Normal_1"/>
    <w:qFormat/>
    <w:rPr>
      <w:sz w:val="24"/>
      <w:szCs w:val="24"/>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rPr>
  </w:style>
  <w:style w:type="paragraph" w:customStyle="1" w:styleId="Normal2">
    <w:name w:val="Normal_2"/>
    <w:qFormat/>
    <w:rPr>
      <w:sz w:val="24"/>
      <w:szCs w:val="24"/>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rPr>
  </w:style>
  <w:style w:type="paragraph" w:customStyle="1" w:styleId="Normal3">
    <w:name w:val="Normal_3"/>
    <w:qFormat/>
    <w:rPr>
      <w:sz w:val="24"/>
      <w:szCs w:val="24"/>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rPr>
  </w:style>
  <w:style w:type="paragraph" w:customStyle="1" w:styleId="Normal4">
    <w:name w:val="Normal_4"/>
    <w:qFormat/>
    <w:rPr>
      <w:sz w:val="24"/>
      <w:szCs w:val="24"/>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rPr>
  </w:style>
  <w:style w:type="paragraph" w:customStyle="1" w:styleId="Normal5">
    <w:name w:val="Normal_5"/>
    <w:qFormat/>
    <w:rPr>
      <w:sz w:val="24"/>
      <w:szCs w:val="24"/>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rPr>
  </w:style>
  <w:style w:type="paragraph" w:customStyle="1" w:styleId="Normal6">
    <w:name w:val="Normal_6"/>
    <w:qFormat/>
    <w:rPr>
      <w:sz w:val="24"/>
      <w:szCs w:val="24"/>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rPr>
  </w:style>
  <w:style w:type="paragraph" w:customStyle="1" w:styleId="Normal7">
    <w:name w:val="Normal_7"/>
    <w:qFormat/>
    <w:rPr>
      <w:sz w:val="24"/>
      <w:szCs w:val="24"/>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rPr>
  </w:style>
  <w:style w:type="paragraph" w:customStyle="1" w:styleId="Normal8">
    <w:name w:val="Normal_8"/>
    <w:qFormat/>
    <w:rPr>
      <w:sz w:val="24"/>
      <w:szCs w:val="24"/>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rPr>
  </w:style>
  <w:style w:type="paragraph" w:customStyle="1" w:styleId="Normal9">
    <w:name w:val="Normal_9"/>
    <w:qFormat/>
    <w:rPr>
      <w:sz w:val="24"/>
      <w:szCs w:val="24"/>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rPr>
  </w:style>
  <w:style w:type="paragraph" w:customStyle="1" w:styleId="Normal10">
    <w:name w:val="Normal_10"/>
    <w:qFormat/>
    <w:rPr>
      <w:sz w:val="24"/>
      <w:szCs w:val="24"/>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rPr>
  </w:style>
  <w:style w:type="paragraph" w:customStyle="1" w:styleId="Normal11">
    <w:name w:val="Normal_11"/>
    <w:qFormat/>
    <w:rPr>
      <w:sz w:val="24"/>
      <w:szCs w:val="24"/>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rPr>
  </w:style>
  <w:style w:type="paragraph" w:customStyle="1" w:styleId="Normal12">
    <w:name w:val="Normal_12"/>
    <w:qFormat/>
    <w:rPr>
      <w:sz w:val="24"/>
      <w:szCs w:val="24"/>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rPr>
  </w:style>
  <w:style w:type="paragraph" w:customStyle="1" w:styleId="Normal13">
    <w:name w:val="Normal_13"/>
    <w:qFormat/>
    <w:rPr>
      <w:sz w:val="24"/>
      <w:szCs w:val="24"/>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rPr>
  </w:style>
  <w:style w:type="paragraph" w:customStyle="1" w:styleId="Normal14">
    <w:name w:val="Normal_14"/>
    <w:qFormat/>
    <w:rPr>
      <w:sz w:val="24"/>
      <w:szCs w:val="24"/>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rPr>
  </w:style>
  <w:style w:type="paragraph" w:customStyle="1" w:styleId="Normal15">
    <w:name w:val="Normal_15"/>
    <w:qFormat/>
    <w:rPr>
      <w:sz w:val="24"/>
      <w:szCs w:val="24"/>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rPr>
  </w:style>
  <w:style w:type="paragraph" w:customStyle="1" w:styleId="Normal16">
    <w:name w:val="Normal_16"/>
    <w:qFormat/>
    <w:rPr>
      <w:sz w:val="24"/>
      <w:szCs w:val="24"/>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rPr>
  </w:style>
  <w:style w:type="paragraph" w:customStyle="1" w:styleId="Normal17">
    <w:name w:val="Normal_17"/>
    <w:qFormat/>
    <w:rPr>
      <w:sz w:val="24"/>
      <w:szCs w:val="24"/>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rPr>
  </w:style>
  <w:style w:type="paragraph" w:customStyle="1" w:styleId="Normal18">
    <w:name w:val="Normal_18"/>
    <w:qFormat/>
    <w:rPr>
      <w:sz w:val="24"/>
      <w:szCs w:val="24"/>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rPr>
  </w:style>
  <w:style w:type="paragraph" w:customStyle="1" w:styleId="Normal19">
    <w:name w:val="Normal_19"/>
    <w:qFormat/>
    <w:rPr>
      <w:sz w:val="24"/>
      <w:szCs w:val="24"/>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rPr>
  </w:style>
  <w:style w:type="paragraph" w:customStyle="1" w:styleId="Normal20">
    <w:name w:val="Normal_20"/>
    <w:qFormat/>
    <w:rPr>
      <w:sz w:val="24"/>
      <w:szCs w:val="24"/>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rPr>
  </w:style>
  <w:style w:type="paragraph" w:customStyle="1" w:styleId="Normal21">
    <w:name w:val="Normal_21"/>
    <w:qFormat/>
    <w:rPr>
      <w:sz w:val="24"/>
      <w:szCs w:val="24"/>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rPr>
  </w:style>
  <w:style w:type="paragraph" w:customStyle="1" w:styleId="Normal22">
    <w:name w:val="Normal_22"/>
    <w:qFormat/>
    <w:rPr>
      <w:sz w:val="24"/>
      <w:szCs w:val="24"/>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rPr>
  </w:style>
  <w:style w:type="paragraph" w:customStyle="1" w:styleId="Normal23">
    <w:name w:val="Normal_23"/>
    <w:qFormat/>
    <w:rPr>
      <w:sz w:val="24"/>
      <w:szCs w:val="24"/>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rPr>
  </w:style>
  <w:style w:type="paragraph" w:customStyle="1" w:styleId="Normal24">
    <w:name w:val="Normal_24"/>
    <w:qFormat/>
    <w:rPr>
      <w:sz w:val="24"/>
      <w:szCs w:val="24"/>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rPr>
  </w:style>
  <w:style w:type="paragraph" w:customStyle="1" w:styleId="Normal25">
    <w:name w:val="Normal_25"/>
    <w:qFormat/>
    <w:rPr>
      <w:sz w:val="24"/>
      <w:szCs w:val="24"/>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rPr>
  </w:style>
  <w:style w:type="paragraph" w:customStyle="1" w:styleId="Normal26">
    <w:name w:val="Normal_26"/>
    <w:qFormat/>
    <w:rPr>
      <w:sz w:val="24"/>
      <w:szCs w:val="24"/>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rPr>
  </w:style>
  <w:style w:type="paragraph" w:customStyle="1" w:styleId="Normal27">
    <w:name w:val="Normal_27"/>
    <w:qFormat/>
    <w:rPr>
      <w:sz w:val="24"/>
      <w:szCs w:val="24"/>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rPr>
  </w:style>
  <w:style w:type="paragraph" w:customStyle="1" w:styleId="Normal28">
    <w:name w:val="Normal_28"/>
    <w:qFormat/>
    <w:rPr>
      <w:sz w:val="24"/>
      <w:szCs w:val="24"/>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rPr>
  </w:style>
  <w:style w:type="paragraph" w:customStyle="1" w:styleId="Normal29">
    <w:name w:val="Normal_29"/>
    <w:qFormat/>
    <w:rPr>
      <w:sz w:val="24"/>
      <w:szCs w:val="24"/>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rPr>
  </w:style>
  <w:style w:type="paragraph" w:customStyle="1" w:styleId="Normal30">
    <w:name w:val="Normal_30"/>
    <w:qFormat/>
    <w:rPr>
      <w:sz w:val="24"/>
      <w:szCs w:val="24"/>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rPr>
  </w:style>
  <w:style w:type="paragraph" w:customStyle="1" w:styleId="Normal31">
    <w:name w:val="Normal_31"/>
    <w:qFormat/>
    <w:rPr>
      <w:sz w:val="24"/>
      <w:szCs w:val="24"/>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rPr>
  </w:style>
  <w:style w:type="paragraph" w:customStyle="1" w:styleId="Normal32">
    <w:name w:val="Normal_32"/>
    <w:qFormat/>
    <w:rPr>
      <w:sz w:val="24"/>
      <w:szCs w:val="24"/>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rPr>
  </w:style>
  <w:style w:type="paragraph" w:customStyle="1" w:styleId="Normal33">
    <w:name w:val="Normal_33"/>
    <w:qFormat/>
    <w:rPr>
      <w:sz w:val="24"/>
      <w:szCs w:val="24"/>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rPr>
  </w:style>
  <w:style w:type="paragraph" w:customStyle="1" w:styleId="Normal34">
    <w:name w:val="Normal_34"/>
    <w:qFormat/>
    <w:rPr>
      <w:sz w:val="24"/>
      <w:szCs w:val="24"/>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rPr>
  </w:style>
  <w:style w:type="paragraph" w:customStyle="1" w:styleId="Normal35">
    <w:name w:val="Normal_35"/>
    <w:qFormat/>
    <w:rPr>
      <w:sz w:val="24"/>
      <w:szCs w:val="24"/>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rPr>
  </w:style>
  <w:style w:type="paragraph" w:customStyle="1" w:styleId="Normal36">
    <w:name w:val="Normal_36"/>
    <w:qFormat/>
    <w:rPr>
      <w:sz w:val="24"/>
      <w:szCs w:val="24"/>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rPr>
  </w:style>
  <w:style w:type="paragraph" w:customStyle="1" w:styleId="Normal37">
    <w:name w:val="Normal_37"/>
    <w:qFormat/>
    <w:rPr>
      <w:sz w:val="24"/>
      <w:szCs w:val="24"/>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rPr>
  </w:style>
  <w:style w:type="paragraph" w:customStyle="1" w:styleId="Normal38">
    <w:name w:val="Normal_38"/>
    <w:qFormat/>
    <w:rPr>
      <w:sz w:val="24"/>
      <w:szCs w:val="24"/>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rPr>
  </w:style>
  <w:style w:type="paragraph" w:customStyle="1" w:styleId="Normal39">
    <w:name w:val="Normal_39"/>
    <w:qFormat/>
    <w:rPr>
      <w:sz w:val="24"/>
      <w:szCs w:val="24"/>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rPr>
  </w:style>
  <w:style w:type="paragraph" w:customStyle="1" w:styleId="Normal40">
    <w:name w:val="Normal_40"/>
    <w:qFormat/>
    <w:rPr>
      <w:sz w:val="24"/>
      <w:szCs w:val="24"/>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rPr>
  </w:style>
  <w:style w:type="paragraph" w:customStyle="1" w:styleId="Normal41">
    <w:name w:val="Normal_41"/>
    <w:qFormat/>
    <w:rPr>
      <w:sz w:val="24"/>
      <w:szCs w:val="24"/>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rPr>
  </w:style>
  <w:style w:type="paragraph" w:customStyle="1" w:styleId="Normal42">
    <w:name w:val="Normal_42"/>
    <w:qFormat/>
    <w:rPr>
      <w:sz w:val="24"/>
      <w:szCs w:val="24"/>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rPr>
  </w:style>
  <w:style w:type="paragraph" w:customStyle="1" w:styleId="Normal43">
    <w:name w:val="Normal_43"/>
    <w:qFormat/>
    <w:rPr>
      <w:sz w:val="24"/>
      <w:szCs w:val="24"/>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rPr>
  </w:style>
  <w:style w:type="paragraph" w:customStyle="1" w:styleId="Normal44">
    <w:name w:val="Normal_44"/>
    <w:qFormat/>
    <w:rPr>
      <w:sz w:val="24"/>
      <w:szCs w:val="24"/>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rPr>
  </w:style>
  <w:style w:type="paragraph" w:customStyle="1" w:styleId="Normal45">
    <w:name w:val="Normal_45"/>
    <w:qFormat/>
    <w:rPr>
      <w:sz w:val="24"/>
      <w:szCs w:val="24"/>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rPr>
  </w:style>
  <w:style w:type="paragraph" w:customStyle="1" w:styleId="Normal46">
    <w:name w:val="Normal_46"/>
    <w:qFormat/>
    <w:rPr>
      <w:sz w:val="24"/>
      <w:szCs w:val="24"/>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rPr>
  </w:style>
  <w:style w:type="paragraph" w:customStyle="1" w:styleId="Normal47">
    <w:name w:val="Normal_47"/>
    <w:qFormat/>
    <w:rPr>
      <w:sz w:val="24"/>
      <w:szCs w:val="24"/>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rPr>
  </w:style>
  <w:style w:type="paragraph" w:customStyle="1" w:styleId="Normal48">
    <w:name w:val="Normal_48"/>
    <w:qFormat/>
    <w:rPr>
      <w:sz w:val="24"/>
      <w:szCs w:val="24"/>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rPr>
  </w:style>
  <w:style w:type="paragraph" w:customStyle="1" w:styleId="Normal49">
    <w:name w:val="Normal_49"/>
    <w:qFormat/>
    <w:rPr>
      <w:sz w:val="24"/>
      <w:szCs w:val="24"/>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5.xml"/><Relationship Id="rId299" Type="http://schemas.openxmlformats.org/officeDocument/2006/relationships/header" Target="header147.xml"/><Relationship Id="rId21" Type="http://schemas.openxmlformats.org/officeDocument/2006/relationships/footer" Target="footer8.xml"/><Relationship Id="rId63" Type="http://schemas.openxmlformats.org/officeDocument/2006/relationships/footer" Target="footer29.xml"/><Relationship Id="rId159" Type="http://schemas.openxmlformats.org/officeDocument/2006/relationships/footer" Target="footer76.xml"/><Relationship Id="rId170" Type="http://schemas.openxmlformats.org/officeDocument/2006/relationships/header" Target="header83.xml"/><Relationship Id="rId226" Type="http://schemas.openxmlformats.org/officeDocument/2006/relationships/footer" Target="footer110.xml"/><Relationship Id="rId268" Type="http://schemas.openxmlformats.org/officeDocument/2006/relationships/footer" Target="footer131.xml"/><Relationship Id="rId32" Type="http://schemas.openxmlformats.org/officeDocument/2006/relationships/footer" Target="footer13.xml"/><Relationship Id="rId74" Type="http://schemas.openxmlformats.org/officeDocument/2006/relationships/footer" Target="footer34.xml"/><Relationship Id="rId128" Type="http://schemas.openxmlformats.org/officeDocument/2006/relationships/header" Target="header62.xml"/><Relationship Id="rId5" Type="http://schemas.openxmlformats.org/officeDocument/2006/relationships/endnotes" Target="endnotes.xml"/><Relationship Id="rId181" Type="http://schemas.openxmlformats.org/officeDocument/2006/relationships/header" Target="header88.xml"/><Relationship Id="rId237" Type="http://schemas.openxmlformats.org/officeDocument/2006/relationships/footer" Target="footer115.xml"/><Relationship Id="rId279" Type="http://schemas.openxmlformats.org/officeDocument/2006/relationships/footer" Target="footer136.xml"/><Relationship Id="rId43" Type="http://schemas.openxmlformats.org/officeDocument/2006/relationships/header" Target="header20.xml"/><Relationship Id="rId139" Type="http://schemas.openxmlformats.org/officeDocument/2006/relationships/header" Target="header67.xml"/><Relationship Id="rId290" Type="http://schemas.openxmlformats.org/officeDocument/2006/relationships/header" Target="header143.xml"/><Relationship Id="rId304" Type="http://schemas.openxmlformats.org/officeDocument/2006/relationships/footer" Target="footer149.xml"/><Relationship Id="rId85" Type="http://schemas.openxmlformats.org/officeDocument/2006/relationships/header" Target="header41.xml"/><Relationship Id="rId150" Type="http://schemas.openxmlformats.org/officeDocument/2006/relationships/footer" Target="footer72.xml"/><Relationship Id="rId192" Type="http://schemas.openxmlformats.org/officeDocument/2006/relationships/footer" Target="footer93.xml"/><Relationship Id="rId206" Type="http://schemas.openxmlformats.org/officeDocument/2006/relationships/header" Target="header101.xml"/><Relationship Id="rId248" Type="http://schemas.openxmlformats.org/officeDocument/2006/relationships/header" Target="header122.xml"/><Relationship Id="rId12" Type="http://schemas.openxmlformats.org/officeDocument/2006/relationships/header" Target="header4.xml"/><Relationship Id="rId108" Type="http://schemas.openxmlformats.org/officeDocument/2006/relationships/image" Target="media/image1.png"/><Relationship Id="rId54" Type="http://schemas.openxmlformats.org/officeDocument/2006/relationships/header" Target="header25.xml"/><Relationship Id="rId96" Type="http://schemas.openxmlformats.org/officeDocument/2006/relationships/header" Target="header46.xml"/><Relationship Id="rId161" Type="http://schemas.openxmlformats.org/officeDocument/2006/relationships/header" Target="header78.xml"/><Relationship Id="rId217" Type="http://schemas.openxmlformats.org/officeDocument/2006/relationships/header" Target="header106.xml"/><Relationship Id="rId259" Type="http://schemas.openxmlformats.org/officeDocument/2006/relationships/header" Target="header127.xml"/><Relationship Id="rId23" Type="http://schemas.openxmlformats.org/officeDocument/2006/relationships/footer" Target="footer9.xml"/><Relationship Id="rId119" Type="http://schemas.openxmlformats.org/officeDocument/2006/relationships/header" Target="header57.xml"/><Relationship Id="rId270" Type="http://schemas.openxmlformats.org/officeDocument/2006/relationships/footer" Target="footer132.xml"/><Relationship Id="rId291" Type="http://schemas.openxmlformats.org/officeDocument/2006/relationships/footer" Target="footer142.xml"/><Relationship Id="rId305" Type="http://schemas.openxmlformats.org/officeDocument/2006/relationships/header" Target="header150.xml"/><Relationship Id="rId44" Type="http://schemas.openxmlformats.org/officeDocument/2006/relationships/footer" Target="footer19.xml"/><Relationship Id="rId65" Type="http://schemas.openxmlformats.org/officeDocument/2006/relationships/footer" Target="footer30.xml"/><Relationship Id="rId86" Type="http://schemas.openxmlformats.org/officeDocument/2006/relationships/footer" Target="footer40.xml"/><Relationship Id="rId130" Type="http://schemas.openxmlformats.org/officeDocument/2006/relationships/footer" Target="footer62.xml"/><Relationship Id="rId151" Type="http://schemas.openxmlformats.org/officeDocument/2006/relationships/header" Target="header73.xml"/><Relationship Id="rId172" Type="http://schemas.openxmlformats.org/officeDocument/2006/relationships/footer" Target="footer83.xml"/><Relationship Id="rId193" Type="http://schemas.openxmlformats.org/officeDocument/2006/relationships/header" Target="header94.xml"/><Relationship Id="rId207" Type="http://schemas.openxmlformats.org/officeDocument/2006/relationships/footer" Target="footer100.xml"/><Relationship Id="rId228" Type="http://schemas.openxmlformats.org/officeDocument/2006/relationships/footer" Target="footer111.xml"/><Relationship Id="rId249" Type="http://schemas.openxmlformats.org/officeDocument/2006/relationships/footer" Target="footer121.xml"/><Relationship Id="rId13" Type="http://schemas.openxmlformats.org/officeDocument/2006/relationships/header" Target="header5.xml"/><Relationship Id="rId109" Type="http://schemas.openxmlformats.org/officeDocument/2006/relationships/header" Target="header52.xml"/><Relationship Id="rId260" Type="http://schemas.openxmlformats.org/officeDocument/2006/relationships/header" Target="header128.xml"/><Relationship Id="rId281" Type="http://schemas.openxmlformats.org/officeDocument/2006/relationships/header" Target="header138.xml"/><Relationship Id="rId34" Type="http://schemas.openxmlformats.org/officeDocument/2006/relationships/header" Target="header15.xml"/><Relationship Id="rId55" Type="http://schemas.openxmlformats.org/officeDocument/2006/relationships/header" Target="header26.xml"/><Relationship Id="rId76" Type="http://schemas.openxmlformats.org/officeDocument/2006/relationships/header" Target="header36.xml"/><Relationship Id="rId97" Type="http://schemas.openxmlformats.org/officeDocument/2006/relationships/header" Target="header47.xml"/><Relationship Id="rId120" Type="http://schemas.openxmlformats.org/officeDocument/2006/relationships/footer" Target="footer57.xml"/><Relationship Id="rId141" Type="http://schemas.openxmlformats.org/officeDocument/2006/relationships/footer" Target="footer67.xml"/><Relationship Id="rId7" Type="http://schemas.openxmlformats.org/officeDocument/2006/relationships/header" Target="header2.xml"/><Relationship Id="rId162" Type="http://schemas.openxmlformats.org/officeDocument/2006/relationships/footer" Target="footer78.xml"/><Relationship Id="rId183" Type="http://schemas.openxmlformats.org/officeDocument/2006/relationships/footer" Target="footer88.xml"/><Relationship Id="rId218" Type="http://schemas.openxmlformats.org/officeDocument/2006/relationships/header" Target="header107.xml"/><Relationship Id="rId239" Type="http://schemas.openxmlformats.org/officeDocument/2006/relationships/header" Target="header117.xml"/><Relationship Id="rId250" Type="http://schemas.openxmlformats.org/officeDocument/2006/relationships/footer" Target="footer122.xml"/><Relationship Id="rId271" Type="http://schemas.openxmlformats.org/officeDocument/2006/relationships/header" Target="header133.xml"/><Relationship Id="rId292" Type="http://schemas.openxmlformats.org/officeDocument/2006/relationships/footer" Target="footer143.xml"/><Relationship Id="rId306" Type="http://schemas.openxmlformats.org/officeDocument/2006/relationships/footer" Target="footer150.xml"/><Relationship Id="rId24" Type="http://schemas.openxmlformats.org/officeDocument/2006/relationships/header" Target="header10.xml"/><Relationship Id="rId45" Type="http://schemas.openxmlformats.org/officeDocument/2006/relationships/footer" Target="footer20.xml"/><Relationship Id="rId66" Type="http://schemas.openxmlformats.org/officeDocument/2006/relationships/header" Target="header31.xml"/><Relationship Id="rId87" Type="http://schemas.openxmlformats.org/officeDocument/2006/relationships/footer" Target="footer41.xml"/><Relationship Id="rId110" Type="http://schemas.openxmlformats.org/officeDocument/2006/relationships/header" Target="header53.xml"/><Relationship Id="rId131" Type="http://schemas.openxmlformats.org/officeDocument/2006/relationships/header" Target="header63.xml"/><Relationship Id="rId152" Type="http://schemas.openxmlformats.org/officeDocument/2006/relationships/header" Target="header74.xml"/><Relationship Id="rId173" Type="http://schemas.openxmlformats.org/officeDocument/2006/relationships/header" Target="header84.xml"/><Relationship Id="rId194" Type="http://schemas.openxmlformats.org/officeDocument/2006/relationships/header" Target="header95.xml"/><Relationship Id="rId208" Type="http://schemas.openxmlformats.org/officeDocument/2006/relationships/footer" Target="footer101.xml"/><Relationship Id="rId229" Type="http://schemas.openxmlformats.org/officeDocument/2006/relationships/header" Target="header112.xml"/><Relationship Id="rId240" Type="http://schemas.openxmlformats.org/officeDocument/2006/relationships/footer" Target="footer117.xml"/><Relationship Id="rId261" Type="http://schemas.openxmlformats.org/officeDocument/2006/relationships/footer" Target="footer127.xml"/><Relationship Id="rId14" Type="http://schemas.openxmlformats.org/officeDocument/2006/relationships/footer" Target="footer4.xml"/><Relationship Id="rId35" Type="http://schemas.openxmlformats.org/officeDocument/2006/relationships/footer" Target="footer15.xml"/><Relationship Id="rId56" Type="http://schemas.openxmlformats.org/officeDocument/2006/relationships/footer" Target="footer25.xml"/><Relationship Id="rId77" Type="http://schemas.openxmlformats.org/officeDocument/2006/relationships/footer" Target="footer36.xml"/><Relationship Id="rId100" Type="http://schemas.openxmlformats.org/officeDocument/2006/relationships/header" Target="header48.xml"/><Relationship Id="rId282" Type="http://schemas.openxmlformats.org/officeDocument/2006/relationships/footer" Target="footer138.xml"/><Relationship Id="rId8" Type="http://schemas.openxmlformats.org/officeDocument/2006/relationships/footer" Target="footer1.xml"/><Relationship Id="rId98" Type="http://schemas.openxmlformats.org/officeDocument/2006/relationships/footer" Target="footer46.xml"/><Relationship Id="rId121" Type="http://schemas.openxmlformats.org/officeDocument/2006/relationships/header" Target="header58.xml"/><Relationship Id="rId142" Type="http://schemas.openxmlformats.org/officeDocument/2006/relationships/footer" Target="footer68.xml"/><Relationship Id="rId163" Type="http://schemas.openxmlformats.org/officeDocument/2006/relationships/header" Target="header79.xml"/><Relationship Id="rId184" Type="http://schemas.openxmlformats.org/officeDocument/2006/relationships/footer" Target="footer89.xml"/><Relationship Id="rId219" Type="http://schemas.openxmlformats.org/officeDocument/2006/relationships/footer" Target="footer106.xml"/><Relationship Id="rId230" Type="http://schemas.openxmlformats.org/officeDocument/2006/relationships/header" Target="header113.xml"/><Relationship Id="rId251" Type="http://schemas.openxmlformats.org/officeDocument/2006/relationships/header" Target="header123.xml"/><Relationship Id="rId25" Type="http://schemas.openxmlformats.org/officeDocument/2006/relationships/header" Target="header11.xml"/><Relationship Id="rId46" Type="http://schemas.openxmlformats.org/officeDocument/2006/relationships/header" Target="header21.xml"/><Relationship Id="rId67" Type="http://schemas.openxmlformats.org/officeDocument/2006/relationships/header" Target="header32.xml"/><Relationship Id="rId272" Type="http://schemas.openxmlformats.org/officeDocument/2006/relationships/header" Target="header134.xml"/><Relationship Id="rId293" Type="http://schemas.openxmlformats.org/officeDocument/2006/relationships/header" Target="header144.xml"/><Relationship Id="rId307" Type="http://schemas.openxmlformats.org/officeDocument/2006/relationships/fontTable" Target="fontTable.xml"/><Relationship Id="rId88" Type="http://schemas.openxmlformats.org/officeDocument/2006/relationships/header" Target="header42.xml"/><Relationship Id="rId111" Type="http://schemas.openxmlformats.org/officeDocument/2006/relationships/footer" Target="footer52.xml"/><Relationship Id="rId132" Type="http://schemas.openxmlformats.org/officeDocument/2006/relationships/footer" Target="footer63.xml"/><Relationship Id="rId153" Type="http://schemas.openxmlformats.org/officeDocument/2006/relationships/footer" Target="footer73.xml"/><Relationship Id="rId174" Type="http://schemas.openxmlformats.org/officeDocument/2006/relationships/footer" Target="footer84.xml"/><Relationship Id="rId195" Type="http://schemas.openxmlformats.org/officeDocument/2006/relationships/footer" Target="footer94.xml"/><Relationship Id="rId209" Type="http://schemas.openxmlformats.org/officeDocument/2006/relationships/header" Target="header102.xml"/><Relationship Id="rId220" Type="http://schemas.openxmlformats.org/officeDocument/2006/relationships/footer" Target="footer107.xml"/><Relationship Id="rId241" Type="http://schemas.openxmlformats.org/officeDocument/2006/relationships/header" Target="header118.xml"/><Relationship Id="rId15" Type="http://schemas.openxmlformats.org/officeDocument/2006/relationships/footer" Target="footer5.xml"/><Relationship Id="rId36" Type="http://schemas.openxmlformats.org/officeDocument/2006/relationships/header" Target="header16.xml"/><Relationship Id="rId57" Type="http://schemas.openxmlformats.org/officeDocument/2006/relationships/footer" Target="footer26.xml"/><Relationship Id="rId262" Type="http://schemas.openxmlformats.org/officeDocument/2006/relationships/footer" Target="footer128.xml"/><Relationship Id="rId283" Type="http://schemas.openxmlformats.org/officeDocument/2006/relationships/header" Target="header139.xml"/><Relationship Id="rId78" Type="http://schemas.openxmlformats.org/officeDocument/2006/relationships/header" Target="header37.xml"/><Relationship Id="rId99" Type="http://schemas.openxmlformats.org/officeDocument/2006/relationships/footer" Target="footer47.xml"/><Relationship Id="rId101" Type="http://schemas.openxmlformats.org/officeDocument/2006/relationships/footer" Target="footer48.xml"/><Relationship Id="rId122" Type="http://schemas.openxmlformats.org/officeDocument/2006/relationships/header" Target="header59.xml"/><Relationship Id="rId143" Type="http://schemas.openxmlformats.org/officeDocument/2006/relationships/header" Target="header69.xml"/><Relationship Id="rId164" Type="http://schemas.openxmlformats.org/officeDocument/2006/relationships/header" Target="header80.xml"/><Relationship Id="rId185" Type="http://schemas.openxmlformats.org/officeDocument/2006/relationships/header" Target="header90.xml"/><Relationship Id="rId9" Type="http://schemas.openxmlformats.org/officeDocument/2006/relationships/footer" Target="footer2.xml"/><Relationship Id="rId210" Type="http://schemas.openxmlformats.org/officeDocument/2006/relationships/footer" Target="footer102.xml"/><Relationship Id="rId26" Type="http://schemas.openxmlformats.org/officeDocument/2006/relationships/footer" Target="footer10.xml"/><Relationship Id="rId231" Type="http://schemas.openxmlformats.org/officeDocument/2006/relationships/footer" Target="footer112.xml"/><Relationship Id="rId252" Type="http://schemas.openxmlformats.org/officeDocument/2006/relationships/footer" Target="footer123.xml"/><Relationship Id="rId273" Type="http://schemas.openxmlformats.org/officeDocument/2006/relationships/footer" Target="footer133.xml"/><Relationship Id="rId294" Type="http://schemas.openxmlformats.org/officeDocument/2006/relationships/footer" Target="footer144.xml"/><Relationship Id="rId308" Type="http://schemas.openxmlformats.org/officeDocument/2006/relationships/theme" Target="theme/theme1.xml"/><Relationship Id="rId47" Type="http://schemas.openxmlformats.org/officeDocument/2006/relationships/footer" Target="footer21.xml"/><Relationship Id="rId68" Type="http://schemas.openxmlformats.org/officeDocument/2006/relationships/footer" Target="footer31.xml"/><Relationship Id="rId89" Type="http://schemas.openxmlformats.org/officeDocument/2006/relationships/footer" Target="footer42.xml"/><Relationship Id="rId112" Type="http://schemas.openxmlformats.org/officeDocument/2006/relationships/footer" Target="footer53.xml"/><Relationship Id="rId133" Type="http://schemas.openxmlformats.org/officeDocument/2006/relationships/header" Target="header64.xml"/><Relationship Id="rId154" Type="http://schemas.openxmlformats.org/officeDocument/2006/relationships/footer" Target="footer74.xml"/><Relationship Id="rId175" Type="http://schemas.openxmlformats.org/officeDocument/2006/relationships/header" Target="header85.xml"/><Relationship Id="rId196" Type="http://schemas.openxmlformats.org/officeDocument/2006/relationships/footer" Target="footer95.xml"/><Relationship Id="rId200" Type="http://schemas.openxmlformats.org/officeDocument/2006/relationships/header" Target="header98.xml"/><Relationship Id="rId16" Type="http://schemas.openxmlformats.org/officeDocument/2006/relationships/header" Target="header6.xml"/><Relationship Id="rId221" Type="http://schemas.openxmlformats.org/officeDocument/2006/relationships/header" Target="header108.xml"/><Relationship Id="rId242" Type="http://schemas.openxmlformats.org/officeDocument/2006/relationships/header" Target="header119.xml"/><Relationship Id="rId263" Type="http://schemas.openxmlformats.org/officeDocument/2006/relationships/header" Target="header129.xml"/><Relationship Id="rId284" Type="http://schemas.openxmlformats.org/officeDocument/2006/relationships/header" Target="header140.xml"/><Relationship Id="rId37" Type="http://schemas.openxmlformats.org/officeDocument/2006/relationships/header" Target="header17.xml"/><Relationship Id="rId58" Type="http://schemas.openxmlformats.org/officeDocument/2006/relationships/header" Target="header27.xml"/><Relationship Id="rId79" Type="http://schemas.openxmlformats.org/officeDocument/2006/relationships/header" Target="header38.xml"/><Relationship Id="rId102" Type="http://schemas.openxmlformats.org/officeDocument/2006/relationships/header" Target="header49.xml"/><Relationship Id="rId123" Type="http://schemas.openxmlformats.org/officeDocument/2006/relationships/footer" Target="footer58.xml"/><Relationship Id="rId144" Type="http://schemas.openxmlformats.org/officeDocument/2006/relationships/footer" Target="footer69.xml"/><Relationship Id="rId90" Type="http://schemas.openxmlformats.org/officeDocument/2006/relationships/header" Target="header43.xml"/><Relationship Id="rId165" Type="http://schemas.openxmlformats.org/officeDocument/2006/relationships/footer" Target="footer79.xml"/><Relationship Id="rId186" Type="http://schemas.openxmlformats.org/officeDocument/2006/relationships/footer" Target="footer90.xml"/><Relationship Id="rId211" Type="http://schemas.openxmlformats.org/officeDocument/2006/relationships/header" Target="header103.xml"/><Relationship Id="rId232" Type="http://schemas.openxmlformats.org/officeDocument/2006/relationships/footer" Target="footer113.xml"/><Relationship Id="rId253" Type="http://schemas.openxmlformats.org/officeDocument/2006/relationships/header" Target="header124.xml"/><Relationship Id="rId274" Type="http://schemas.openxmlformats.org/officeDocument/2006/relationships/footer" Target="footer134.xml"/><Relationship Id="rId295" Type="http://schemas.openxmlformats.org/officeDocument/2006/relationships/header" Target="header145.xml"/><Relationship Id="rId27" Type="http://schemas.openxmlformats.org/officeDocument/2006/relationships/footer" Target="footer11.xml"/><Relationship Id="rId48" Type="http://schemas.openxmlformats.org/officeDocument/2006/relationships/header" Target="header22.xml"/><Relationship Id="rId69" Type="http://schemas.openxmlformats.org/officeDocument/2006/relationships/footer" Target="footer32.xml"/><Relationship Id="rId113" Type="http://schemas.openxmlformats.org/officeDocument/2006/relationships/header" Target="header54.xml"/><Relationship Id="rId134" Type="http://schemas.openxmlformats.org/officeDocument/2006/relationships/header" Target="header65.xml"/><Relationship Id="rId80" Type="http://schemas.openxmlformats.org/officeDocument/2006/relationships/footer" Target="footer37.xml"/><Relationship Id="rId155" Type="http://schemas.openxmlformats.org/officeDocument/2006/relationships/header" Target="header75.xml"/><Relationship Id="rId176" Type="http://schemas.openxmlformats.org/officeDocument/2006/relationships/header" Target="header86.xml"/><Relationship Id="rId197" Type="http://schemas.openxmlformats.org/officeDocument/2006/relationships/header" Target="header96.xml"/><Relationship Id="rId201" Type="http://schemas.openxmlformats.org/officeDocument/2006/relationships/footer" Target="footer97.xml"/><Relationship Id="rId222" Type="http://schemas.openxmlformats.org/officeDocument/2006/relationships/footer" Target="footer108.xml"/><Relationship Id="rId243" Type="http://schemas.openxmlformats.org/officeDocument/2006/relationships/footer" Target="footer118.xml"/><Relationship Id="rId264" Type="http://schemas.openxmlformats.org/officeDocument/2006/relationships/footer" Target="footer129.xml"/><Relationship Id="rId285" Type="http://schemas.openxmlformats.org/officeDocument/2006/relationships/footer" Target="footer139.xml"/><Relationship Id="rId17" Type="http://schemas.openxmlformats.org/officeDocument/2006/relationships/footer" Target="footer6.xml"/><Relationship Id="rId38" Type="http://schemas.openxmlformats.org/officeDocument/2006/relationships/footer" Target="footer16.xml"/><Relationship Id="rId59" Type="http://schemas.openxmlformats.org/officeDocument/2006/relationships/footer" Target="footer27.xml"/><Relationship Id="rId103" Type="http://schemas.openxmlformats.org/officeDocument/2006/relationships/header" Target="header50.xml"/><Relationship Id="rId124" Type="http://schemas.openxmlformats.org/officeDocument/2006/relationships/footer" Target="footer59.xml"/><Relationship Id="rId70" Type="http://schemas.openxmlformats.org/officeDocument/2006/relationships/header" Target="header33.xml"/><Relationship Id="rId91" Type="http://schemas.openxmlformats.org/officeDocument/2006/relationships/header" Target="header44.xml"/><Relationship Id="rId145" Type="http://schemas.openxmlformats.org/officeDocument/2006/relationships/header" Target="header70.xml"/><Relationship Id="rId166" Type="http://schemas.openxmlformats.org/officeDocument/2006/relationships/footer" Target="footer80.xml"/><Relationship Id="rId187" Type="http://schemas.openxmlformats.org/officeDocument/2006/relationships/header" Target="header91.xml"/><Relationship Id="rId1" Type="http://schemas.openxmlformats.org/officeDocument/2006/relationships/styles" Target="styles.xml"/><Relationship Id="rId212" Type="http://schemas.openxmlformats.org/officeDocument/2006/relationships/header" Target="header104.xml"/><Relationship Id="rId233" Type="http://schemas.openxmlformats.org/officeDocument/2006/relationships/header" Target="header114.xml"/><Relationship Id="rId254" Type="http://schemas.openxmlformats.org/officeDocument/2006/relationships/header" Target="header125.xml"/><Relationship Id="rId28" Type="http://schemas.openxmlformats.org/officeDocument/2006/relationships/header" Target="header12.xml"/><Relationship Id="rId49" Type="http://schemas.openxmlformats.org/officeDocument/2006/relationships/header" Target="header23.xml"/><Relationship Id="rId114" Type="http://schemas.openxmlformats.org/officeDocument/2006/relationships/footer" Target="footer54.xml"/><Relationship Id="rId275" Type="http://schemas.openxmlformats.org/officeDocument/2006/relationships/header" Target="header135.xml"/><Relationship Id="rId296" Type="http://schemas.openxmlformats.org/officeDocument/2006/relationships/header" Target="header146.xml"/><Relationship Id="rId300" Type="http://schemas.openxmlformats.org/officeDocument/2006/relationships/footer" Target="footer147.xml"/><Relationship Id="rId60" Type="http://schemas.openxmlformats.org/officeDocument/2006/relationships/header" Target="header28.xml"/><Relationship Id="rId81" Type="http://schemas.openxmlformats.org/officeDocument/2006/relationships/footer" Target="footer38.xml"/><Relationship Id="rId135" Type="http://schemas.openxmlformats.org/officeDocument/2006/relationships/footer" Target="footer64.xml"/><Relationship Id="rId156" Type="http://schemas.openxmlformats.org/officeDocument/2006/relationships/footer" Target="footer75.xml"/><Relationship Id="rId177" Type="http://schemas.openxmlformats.org/officeDocument/2006/relationships/footer" Target="footer85.xml"/><Relationship Id="rId198" Type="http://schemas.openxmlformats.org/officeDocument/2006/relationships/footer" Target="footer96.xml"/><Relationship Id="rId202" Type="http://schemas.openxmlformats.org/officeDocument/2006/relationships/footer" Target="footer98.xml"/><Relationship Id="rId223" Type="http://schemas.openxmlformats.org/officeDocument/2006/relationships/header" Target="header109.xml"/><Relationship Id="rId244" Type="http://schemas.openxmlformats.org/officeDocument/2006/relationships/footer" Target="footer119.xml"/><Relationship Id="rId18" Type="http://schemas.openxmlformats.org/officeDocument/2006/relationships/header" Target="header7.xml"/><Relationship Id="rId39" Type="http://schemas.openxmlformats.org/officeDocument/2006/relationships/footer" Target="footer17.xml"/><Relationship Id="rId265" Type="http://schemas.openxmlformats.org/officeDocument/2006/relationships/header" Target="header130.xml"/><Relationship Id="rId286" Type="http://schemas.openxmlformats.org/officeDocument/2006/relationships/footer" Target="footer140.xml"/><Relationship Id="rId50" Type="http://schemas.openxmlformats.org/officeDocument/2006/relationships/footer" Target="footer22.xml"/><Relationship Id="rId104" Type="http://schemas.openxmlformats.org/officeDocument/2006/relationships/footer" Target="footer49.xml"/><Relationship Id="rId125" Type="http://schemas.openxmlformats.org/officeDocument/2006/relationships/header" Target="header60.xml"/><Relationship Id="rId146" Type="http://schemas.openxmlformats.org/officeDocument/2006/relationships/header" Target="header71.xml"/><Relationship Id="rId167" Type="http://schemas.openxmlformats.org/officeDocument/2006/relationships/header" Target="header81.xml"/><Relationship Id="rId188" Type="http://schemas.openxmlformats.org/officeDocument/2006/relationships/header" Target="header92.xml"/><Relationship Id="rId71" Type="http://schemas.openxmlformats.org/officeDocument/2006/relationships/footer" Target="footer33.xml"/><Relationship Id="rId92" Type="http://schemas.openxmlformats.org/officeDocument/2006/relationships/footer" Target="footer43.xml"/><Relationship Id="rId213" Type="http://schemas.openxmlformats.org/officeDocument/2006/relationships/footer" Target="footer103.xml"/><Relationship Id="rId234" Type="http://schemas.openxmlformats.org/officeDocument/2006/relationships/footer" Target="footer114.xml"/><Relationship Id="rId2" Type="http://schemas.openxmlformats.org/officeDocument/2006/relationships/settings" Target="settings.xml"/><Relationship Id="rId29" Type="http://schemas.openxmlformats.org/officeDocument/2006/relationships/footer" Target="footer12.xml"/><Relationship Id="rId255" Type="http://schemas.openxmlformats.org/officeDocument/2006/relationships/footer" Target="footer124.xml"/><Relationship Id="rId276" Type="http://schemas.openxmlformats.org/officeDocument/2006/relationships/footer" Target="footer135.xml"/><Relationship Id="rId297" Type="http://schemas.openxmlformats.org/officeDocument/2006/relationships/footer" Target="footer145.xml"/><Relationship Id="rId40" Type="http://schemas.openxmlformats.org/officeDocument/2006/relationships/header" Target="header18.xml"/><Relationship Id="rId115" Type="http://schemas.openxmlformats.org/officeDocument/2006/relationships/header" Target="header55.xml"/><Relationship Id="rId136" Type="http://schemas.openxmlformats.org/officeDocument/2006/relationships/footer" Target="footer65.xml"/><Relationship Id="rId157" Type="http://schemas.openxmlformats.org/officeDocument/2006/relationships/header" Target="header76.xml"/><Relationship Id="rId178" Type="http://schemas.openxmlformats.org/officeDocument/2006/relationships/footer" Target="footer86.xml"/><Relationship Id="rId301" Type="http://schemas.openxmlformats.org/officeDocument/2006/relationships/header" Target="header148.xml"/><Relationship Id="rId61" Type="http://schemas.openxmlformats.org/officeDocument/2006/relationships/header" Target="header29.xml"/><Relationship Id="rId82" Type="http://schemas.openxmlformats.org/officeDocument/2006/relationships/header" Target="header39.xml"/><Relationship Id="rId199" Type="http://schemas.openxmlformats.org/officeDocument/2006/relationships/header" Target="header97.xml"/><Relationship Id="rId203" Type="http://schemas.openxmlformats.org/officeDocument/2006/relationships/header" Target="header99.xml"/><Relationship Id="rId19" Type="http://schemas.openxmlformats.org/officeDocument/2006/relationships/header" Target="header8.xml"/><Relationship Id="rId224" Type="http://schemas.openxmlformats.org/officeDocument/2006/relationships/header" Target="header110.xml"/><Relationship Id="rId245" Type="http://schemas.openxmlformats.org/officeDocument/2006/relationships/header" Target="header120.xml"/><Relationship Id="rId266" Type="http://schemas.openxmlformats.org/officeDocument/2006/relationships/header" Target="header131.xml"/><Relationship Id="rId287" Type="http://schemas.openxmlformats.org/officeDocument/2006/relationships/header" Target="header141.xml"/><Relationship Id="rId30" Type="http://schemas.openxmlformats.org/officeDocument/2006/relationships/header" Target="header13.xml"/><Relationship Id="rId105" Type="http://schemas.openxmlformats.org/officeDocument/2006/relationships/footer" Target="footer50.xml"/><Relationship Id="rId126" Type="http://schemas.openxmlformats.org/officeDocument/2006/relationships/footer" Target="footer60.xml"/><Relationship Id="rId147" Type="http://schemas.openxmlformats.org/officeDocument/2006/relationships/footer" Target="footer70.xml"/><Relationship Id="rId168" Type="http://schemas.openxmlformats.org/officeDocument/2006/relationships/footer" Target="footer81.xml"/><Relationship Id="rId51" Type="http://schemas.openxmlformats.org/officeDocument/2006/relationships/footer" Target="footer23.xml"/><Relationship Id="rId72" Type="http://schemas.openxmlformats.org/officeDocument/2006/relationships/header" Target="header34.xml"/><Relationship Id="rId93" Type="http://schemas.openxmlformats.org/officeDocument/2006/relationships/footer" Target="footer44.xml"/><Relationship Id="rId189" Type="http://schemas.openxmlformats.org/officeDocument/2006/relationships/footer" Target="footer91.xml"/><Relationship Id="rId3" Type="http://schemas.openxmlformats.org/officeDocument/2006/relationships/webSettings" Target="webSettings.xml"/><Relationship Id="rId214" Type="http://schemas.openxmlformats.org/officeDocument/2006/relationships/footer" Target="footer104.xml"/><Relationship Id="rId235" Type="http://schemas.openxmlformats.org/officeDocument/2006/relationships/header" Target="header115.xml"/><Relationship Id="rId256" Type="http://schemas.openxmlformats.org/officeDocument/2006/relationships/footer" Target="footer125.xml"/><Relationship Id="rId277" Type="http://schemas.openxmlformats.org/officeDocument/2006/relationships/header" Target="header136.xml"/><Relationship Id="rId298" Type="http://schemas.openxmlformats.org/officeDocument/2006/relationships/footer" Target="footer146.xml"/><Relationship Id="rId116" Type="http://schemas.openxmlformats.org/officeDocument/2006/relationships/header" Target="header56.xml"/><Relationship Id="rId137" Type="http://schemas.openxmlformats.org/officeDocument/2006/relationships/header" Target="header66.xml"/><Relationship Id="rId158" Type="http://schemas.openxmlformats.org/officeDocument/2006/relationships/header" Target="header77.xml"/><Relationship Id="rId302" Type="http://schemas.openxmlformats.org/officeDocument/2006/relationships/header" Target="header149.xml"/><Relationship Id="rId20" Type="http://schemas.openxmlformats.org/officeDocument/2006/relationships/footer" Target="footer7.xml"/><Relationship Id="rId41" Type="http://schemas.openxmlformats.org/officeDocument/2006/relationships/footer" Target="footer18.xml"/><Relationship Id="rId62" Type="http://schemas.openxmlformats.org/officeDocument/2006/relationships/footer" Target="footer28.xml"/><Relationship Id="rId83" Type="http://schemas.openxmlformats.org/officeDocument/2006/relationships/footer" Target="footer39.xml"/><Relationship Id="rId179" Type="http://schemas.openxmlformats.org/officeDocument/2006/relationships/header" Target="header87.xml"/><Relationship Id="rId190" Type="http://schemas.openxmlformats.org/officeDocument/2006/relationships/footer" Target="footer92.xml"/><Relationship Id="rId204" Type="http://schemas.openxmlformats.org/officeDocument/2006/relationships/footer" Target="footer99.xml"/><Relationship Id="rId225" Type="http://schemas.openxmlformats.org/officeDocument/2006/relationships/footer" Target="footer109.xml"/><Relationship Id="rId246" Type="http://schemas.openxmlformats.org/officeDocument/2006/relationships/footer" Target="footer120.xml"/><Relationship Id="rId267" Type="http://schemas.openxmlformats.org/officeDocument/2006/relationships/footer" Target="footer130.xml"/><Relationship Id="rId288" Type="http://schemas.openxmlformats.org/officeDocument/2006/relationships/footer" Target="footer141.xml"/><Relationship Id="rId106" Type="http://schemas.openxmlformats.org/officeDocument/2006/relationships/header" Target="header51.xml"/><Relationship Id="rId127" Type="http://schemas.openxmlformats.org/officeDocument/2006/relationships/header" Target="header61.xml"/><Relationship Id="rId10" Type="http://schemas.openxmlformats.org/officeDocument/2006/relationships/header" Target="header3.xml"/><Relationship Id="rId31" Type="http://schemas.openxmlformats.org/officeDocument/2006/relationships/header" Target="header14.xml"/><Relationship Id="rId52" Type="http://schemas.openxmlformats.org/officeDocument/2006/relationships/header" Target="header24.xml"/><Relationship Id="rId73" Type="http://schemas.openxmlformats.org/officeDocument/2006/relationships/header" Target="header35.xml"/><Relationship Id="rId94" Type="http://schemas.openxmlformats.org/officeDocument/2006/relationships/header" Target="header45.xml"/><Relationship Id="rId148" Type="http://schemas.openxmlformats.org/officeDocument/2006/relationships/footer" Target="footer71.xml"/><Relationship Id="rId169" Type="http://schemas.openxmlformats.org/officeDocument/2006/relationships/header" Target="header82.xml"/><Relationship Id="rId4" Type="http://schemas.openxmlformats.org/officeDocument/2006/relationships/footnotes" Target="footnotes.xml"/><Relationship Id="rId180" Type="http://schemas.openxmlformats.org/officeDocument/2006/relationships/footer" Target="footer87.xml"/><Relationship Id="rId215" Type="http://schemas.openxmlformats.org/officeDocument/2006/relationships/header" Target="header105.xml"/><Relationship Id="rId236" Type="http://schemas.openxmlformats.org/officeDocument/2006/relationships/header" Target="header116.xml"/><Relationship Id="rId257" Type="http://schemas.openxmlformats.org/officeDocument/2006/relationships/header" Target="header126.xml"/><Relationship Id="rId278" Type="http://schemas.openxmlformats.org/officeDocument/2006/relationships/header" Target="header137.xml"/><Relationship Id="rId303" Type="http://schemas.openxmlformats.org/officeDocument/2006/relationships/footer" Target="footer148.xml"/><Relationship Id="rId42" Type="http://schemas.openxmlformats.org/officeDocument/2006/relationships/header" Target="header19.xml"/><Relationship Id="rId84" Type="http://schemas.openxmlformats.org/officeDocument/2006/relationships/header" Target="header40.xml"/><Relationship Id="rId138" Type="http://schemas.openxmlformats.org/officeDocument/2006/relationships/footer" Target="footer66.xml"/><Relationship Id="rId191" Type="http://schemas.openxmlformats.org/officeDocument/2006/relationships/header" Target="header93.xml"/><Relationship Id="rId205" Type="http://schemas.openxmlformats.org/officeDocument/2006/relationships/header" Target="header100.xml"/><Relationship Id="rId247" Type="http://schemas.openxmlformats.org/officeDocument/2006/relationships/header" Target="header121.xml"/><Relationship Id="rId107" Type="http://schemas.openxmlformats.org/officeDocument/2006/relationships/footer" Target="footer51.xml"/><Relationship Id="rId289" Type="http://schemas.openxmlformats.org/officeDocument/2006/relationships/header" Target="header142.xml"/><Relationship Id="rId11" Type="http://schemas.openxmlformats.org/officeDocument/2006/relationships/footer" Target="footer3.xml"/><Relationship Id="rId53" Type="http://schemas.openxmlformats.org/officeDocument/2006/relationships/footer" Target="footer24.xml"/><Relationship Id="rId149" Type="http://schemas.openxmlformats.org/officeDocument/2006/relationships/header" Target="header72.xml"/><Relationship Id="rId95" Type="http://schemas.openxmlformats.org/officeDocument/2006/relationships/footer" Target="footer45.xml"/><Relationship Id="rId160" Type="http://schemas.openxmlformats.org/officeDocument/2006/relationships/footer" Target="footer77.xml"/><Relationship Id="rId216" Type="http://schemas.openxmlformats.org/officeDocument/2006/relationships/footer" Target="footer105.xml"/><Relationship Id="rId258" Type="http://schemas.openxmlformats.org/officeDocument/2006/relationships/footer" Target="footer126.xml"/><Relationship Id="rId22" Type="http://schemas.openxmlformats.org/officeDocument/2006/relationships/header" Target="header9.xml"/><Relationship Id="rId64" Type="http://schemas.openxmlformats.org/officeDocument/2006/relationships/header" Target="header30.xml"/><Relationship Id="rId118" Type="http://schemas.openxmlformats.org/officeDocument/2006/relationships/footer" Target="footer56.xml"/><Relationship Id="rId171" Type="http://schemas.openxmlformats.org/officeDocument/2006/relationships/footer" Target="footer82.xml"/><Relationship Id="rId227" Type="http://schemas.openxmlformats.org/officeDocument/2006/relationships/header" Target="header111.xml"/><Relationship Id="rId269" Type="http://schemas.openxmlformats.org/officeDocument/2006/relationships/header" Target="header132.xml"/><Relationship Id="rId33" Type="http://schemas.openxmlformats.org/officeDocument/2006/relationships/footer" Target="footer14.xml"/><Relationship Id="rId129" Type="http://schemas.openxmlformats.org/officeDocument/2006/relationships/footer" Target="footer61.xml"/><Relationship Id="rId280" Type="http://schemas.openxmlformats.org/officeDocument/2006/relationships/footer" Target="footer137.xml"/><Relationship Id="rId75" Type="http://schemas.openxmlformats.org/officeDocument/2006/relationships/footer" Target="footer35.xml"/><Relationship Id="rId140" Type="http://schemas.openxmlformats.org/officeDocument/2006/relationships/header" Target="header68.xml"/><Relationship Id="rId182" Type="http://schemas.openxmlformats.org/officeDocument/2006/relationships/header" Target="header89.xml"/><Relationship Id="rId6" Type="http://schemas.openxmlformats.org/officeDocument/2006/relationships/header" Target="header1.xml"/><Relationship Id="rId238" Type="http://schemas.openxmlformats.org/officeDocument/2006/relationships/footer" Target="footer1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200168</Words>
  <Characters>1140960</Characters>
  <Application>Microsoft Office Word</Application>
  <DocSecurity>0</DocSecurity>
  <Lines>9508</Lines>
  <Paragraphs>2676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Campbell v. Lamar Inst. of Tech., 842 F.3d 375</dc:title>
  <dc:creator>Connor Mitchell</dc:creator>
  <cp:lastModifiedBy>Connor Mitchell</cp:lastModifiedBy>
  <cp:revision>3</cp:revision>
  <dcterms:created xsi:type="dcterms:W3CDTF">2023-08-29T15:37:00Z</dcterms:created>
  <dcterms:modified xsi:type="dcterms:W3CDTF">2023-08-29T15:37:00Z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204597140</vt:lpwstr>
  </property>
  <property fmtid="{D5CDD505-2E9C-101B-9397-08002B2CF9AE}" pid="3" name="LADocCount">
    <vt:i4>50</vt:i4>
  </property>
  <property fmtid="{D5CDD505-2E9C-101B-9397-08002B2CF9AE}" pid="4" name="LADocumentID:urn:contentItem:5M7M-BB91-F04K-N029-00000-00">
    <vt:lpwstr>Doc::/shared/document|contextualFeaturePermID::1521360</vt:lpwstr>
  </property>
  <property fmtid="{D5CDD505-2E9C-101B-9397-08002B2CF9AE}" pid="5" name="LADocumentID:urn:contentItem:5N3V-32B1-F04K-V0PY-00000-00">
    <vt:lpwstr>Doc::/shared/document|contextualFeaturePermID::1521360</vt:lpwstr>
  </property>
  <property fmtid="{D5CDD505-2E9C-101B-9397-08002B2CF9AE}" pid="6" name="LADocumentID:urn:contentItem:5NCX-H131-F04K-V000-00000-00">
    <vt:lpwstr>Doc::/shared/document|contextualFeaturePermID::1521360</vt:lpwstr>
  </property>
  <property fmtid="{D5CDD505-2E9C-101B-9397-08002B2CF9AE}" pid="7" name="LADocumentID:urn:contentItem:5NVG-PXY1-F04K-K0DY-00000-00">
    <vt:lpwstr>Doc::/shared/document|contextualFeaturePermID::1521360</vt:lpwstr>
  </property>
  <property fmtid="{D5CDD505-2E9C-101B-9397-08002B2CF9AE}" pid="8" name="LADocumentID:urn:contentItem:5NWX-6YR1-F04K-V1SY-00000-00">
    <vt:lpwstr>Doc::/shared/document|contextualFeaturePermID::1521360</vt:lpwstr>
  </property>
  <property fmtid="{D5CDD505-2E9C-101B-9397-08002B2CF9AE}" pid="9" name="LADocumentID:urn:contentItem:5P0B-8541-F04K-V2C3-00000-00">
    <vt:lpwstr>Doc::/shared/document|contextualFeaturePermID::1521360</vt:lpwstr>
  </property>
  <property fmtid="{D5CDD505-2E9C-101B-9397-08002B2CF9AE}" pid="10" name="LADocumentID:urn:contentItem:5P1Y-93F1-F04K-N220-00000-00">
    <vt:lpwstr>Doc::/shared/document|contextualFeaturePermID::1521360</vt:lpwstr>
  </property>
  <property fmtid="{D5CDD505-2E9C-101B-9397-08002B2CF9AE}" pid="11" name="LADocumentID:urn:contentItem:5PCD-RR81-F04K-V10M-00000-00">
    <vt:lpwstr>Doc::/shared/document|contextualFeaturePermID::1521360</vt:lpwstr>
  </property>
  <property fmtid="{D5CDD505-2E9C-101B-9397-08002B2CF9AE}" pid="12" name="LADocumentID:urn:contentItem:5PFT-CY01-F04K-N12V-00000-00">
    <vt:lpwstr>Doc::/shared/document|contextualFeaturePermID::1521360</vt:lpwstr>
  </property>
  <property fmtid="{D5CDD505-2E9C-101B-9397-08002B2CF9AE}" pid="13" name="LADocumentID:urn:contentItem:5PMW-K1S1-F04K-W0FG-00000-00">
    <vt:lpwstr>Doc::/shared/document|contextualFeaturePermID::1521360</vt:lpwstr>
  </property>
  <property fmtid="{D5CDD505-2E9C-101B-9397-08002B2CF9AE}" pid="14" name="LADocumentID:urn:contentItem:5PV6-YKW1-F04K-P39M-00000-00">
    <vt:lpwstr>Doc::/shared/document|contextualFeaturePermID::1521360</vt:lpwstr>
  </property>
  <property fmtid="{D5CDD505-2E9C-101B-9397-08002B2CF9AE}" pid="15" name="LADocumentID:urn:contentItem:5PY6-GMV1-F04K-P1HB-00000-00">
    <vt:lpwstr>Doc::/shared/document|contextualFeaturePermID::1521360</vt:lpwstr>
  </property>
  <property fmtid="{D5CDD505-2E9C-101B-9397-08002B2CF9AE}" pid="16" name="LADocumentID:urn:contentItem:5PYB-0K31-F04K-N2N8-00000-00">
    <vt:lpwstr>Doc::/shared/document|contextualFeaturePermID::1521360</vt:lpwstr>
  </property>
  <property fmtid="{D5CDD505-2E9C-101B-9397-08002B2CF9AE}" pid="17" name="LADocumentID:urn:contentItem:5PYB-HX51-F04K-P2SN-00000-00">
    <vt:lpwstr>Doc::/shared/document|contextualFeaturePermID::1521360</vt:lpwstr>
  </property>
  <property fmtid="{D5CDD505-2E9C-101B-9397-08002B2CF9AE}" pid="18" name="LADocumentID:urn:contentItem:5RB1-DMN1-F04K-V2PR-00000-00">
    <vt:lpwstr>Doc::/shared/document|contextualFeaturePermID::1521360</vt:lpwstr>
  </property>
  <property fmtid="{D5CDD505-2E9C-101B-9397-08002B2CF9AE}" pid="19" name="LADocumentID:urn:contentItem:5RGS-CFC1-F81W-217N-00000-00">
    <vt:lpwstr>Doc::/shared/document|contextualFeaturePermID::1521360</vt:lpwstr>
  </property>
  <property fmtid="{D5CDD505-2E9C-101B-9397-08002B2CF9AE}" pid="20" name="LADocumentID:urn:contentItem:5RHV-CM41-FJM6-62RW-00000-00">
    <vt:lpwstr>Doc::/shared/document|contextualFeaturePermID::1521360</vt:lpwstr>
  </property>
  <property fmtid="{D5CDD505-2E9C-101B-9397-08002B2CF9AE}" pid="21" name="LADocumentID:urn:contentItem:5RN1-JM61-JBDT-B3H2-00000-00">
    <vt:lpwstr>Doc::/shared/document|contextualFeaturePermID::1521360</vt:lpwstr>
  </property>
  <property fmtid="{D5CDD505-2E9C-101B-9397-08002B2CF9AE}" pid="22" name="LADocumentID:urn:contentItem:5RS1-GT01-FBFS-S1HG-00000-00">
    <vt:lpwstr>Doc::/shared/document|contextualFeaturePermID::1521360</vt:lpwstr>
  </property>
  <property fmtid="{D5CDD505-2E9C-101B-9397-08002B2CF9AE}" pid="23" name="LADocumentID:urn:contentItem:5RXG-HN31-F04K-S01V-00000-00">
    <vt:lpwstr>Doc::/shared/document|contextualFeaturePermID::1521360</vt:lpwstr>
  </property>
  <property fmtid="{D5CDD505-2E9C-101B-9397-08002B2CF9AE}" pid="24" name="LADocumentID:urn:contentItem:5RYK-7PJ1-JG59-2020-00000-00">
    <vt:lpwstr>Doc::/shared/document|contextualFeaturePermID::1521360</vt:lpwstr>
  </property>
  <property fmtid="{D5CDD505-2E9C-101B-9397-08002B2CF9AE}" pid="25" name="LADocumentID:urn:contentItem:5S1N-6XK1-JF1Y-B0BG-00000-00">
    <vt:lpwstr>Doc::/shared/document|contextualFeaturePermID::1521360</vt:lpwstr>
  </property>
  <property fmtid="{D5CDD505-2E9C-101B-9397-08002B2CF9AE}" pid="26" name="LADocumentID:urn:contentItem:5S77-9TN1-F65M-617B-00000-00">
    <vt:lpwstr>Doc::/shared/document|contextualFeaturePermID::1521360</vt:lpwstr>
  </property>
  <property fmtid="{D5CDD505-2E9C-101B-9397-08002B2CF9AE}" pid="27" name="LADocumentID:urn:contentItem:5S7P-7BH1-F528-G1D5-00000-00">
    <vt:lpwstr>Doc::/shared/document|contextualFeaturePermID::1521360</vt:lpwstr>
  </property>
  <property fmtid="{D5CDD505-2E9C-101B-9397-08002B2CF9AE}" pid="28" name="LADocumentID:urn:contentItem:5S8H-XBY1-F65M-610P-00000-00">
    <vt:lpwstr>Doc::/shared/document|contextualFeaturePermID::1521360</vt:lpwstr>
  </property>
  <property fmtid="{D5CDD505-2E9C-101B-9397-08002B2CF9AE}" pid="29" name="LADocumentID:urn:contentItem:5SD5-HXC1-JNY7-X2VJ-00000-00">
    <vt:lpwstr>Doc::/shared/document|contextualFeaturePermID::1521360</vt:lpwstr>
  </property>
  <property fmtid="{D5CDD505-2E9C-101B-9397-08002B2CF9AE}" pid="30" name="LADocumentID:urn:contentItem:5SJM-XS41-JPGX-S502-00000-00">
    <vt:lpwstr>Doc::/shared/document|contextualFeaturePermID::1521360</vt:lpwstr>
  </property>
  <property fmtid="{D5CDD505-2E9C-101B-9397-08002B2CF9AE}" pid="31" name="LADocumentID:urn:contentItem:5SSK-WF91-JYYX-61WR-00000-00">
    <vt:lpwstr>Doc::/shared/document|contextualFeaturePermID::1521360</vt:lpwstr>
  </property>
  <property fmtid="{D5CDD505-2E9C-101B-9397-08002B2CF9AE}" pid="32" name="LADocumentID:urn:contentItem:5SVB-48C1-DXPM-S55D-00000-00">
    <vt:lpwstr>Doc::/shared/document|contextualFeaturePermID::1521360</vt:lpwstr>
  </property>
  <property fmtid="{D5CDD505-2E9C-101B-9397-08002B2CF9AE}" pid="33" name="LADocumentID:urn:contentItem:5SWK-38M1-JSXV-G0TF-00000-00">
    <vt:lpwstr>Doc::/shared/document|contextualFeaturePermID::1521360</vt:lpwstr>
  </property>
  <property fmtid="{D5CDD505-2E9C-101B-9397-08002B2CF9AE}" pid="34" name="LADocumentID:urn:contentItem:5SWS-T5Y1-JN14-G004-00000-00">
    <vt:lpwstr>Doc::/shared/document|contextualFeaturePermID::1521360</vt:lpwstr>
  </property>
  <property fmtid="{D5CDD505-2E9C-101B-9397-08002B2CF9AE}" pid="35" name="LADocumentID:urn:contentItem:5SXM-V451-FBN1-20JK-00000-00">
    <vt:lpwstr>Doc::/shared/document|contextualFeaturePermID::1521360</vt:lpwstr>
  </property>
  <property fmtid="{D5CDD505-2E9C-101B-9397-08002B2CF9AE}" pid="36" name="LADocumentID:urn:contentItem:5T1M-HRW1-JNCK-22DW-00000-00">
    <vt:lpwstr>Doc::/shared/document|contextualFeaturePermID::1521360</vt:lpwstr>
  </property>
  <property fmtid="{D5CDD505-2E9C-101B-9397-08002B2CF9AE}" pid="37" name="LADocumentID:urn:contentItem:5T29-3921-JF75-M3HY-00000-00">
    <vt:lpwstr>Doc::/shared/document|contextualFeaturePermID::1521360</vt:lpwstr>
  </property>
  <property fmtid="{D5CDD505-2E9C-101B-9397-08002B2CF9AE}" pid="38" name="LADocumentID:urn:contentItem:5T4R-DWR1-F4GK-M4H3-00000-00">
    <vt:lpwstr>Doc::/shared/document|contextualFeaturePermID::1521360</vt:lpwstr>
  </property>
  <property fmtid="{D5CDD505-2E9C-101B-9397-08002B2CF9AE}" pid="39" name="LADocumentID:urn:contentItem:5T63-NB11-DXPM-S2MB-00000-00">
    <vt:lpwstr>Doc::/shared/document|contextualFeaturePermID::1521360</vt:lpwstr>
  </property>
  <property fmtid="{D5CDD505-2E9C-101B-9397-08002B2CF9AE}" pid="40" name="LADocumentID:urn:contentItem:5T7K-KVT1-JSRM-62D7-00000-00">
    <vt:lpwstr>Doc::/shared/document|contextualFeaturePermID::1521360</vt:lpwstr>
  </property>
  <property fmtid="{D5CDD505-2E9C-101B-9397-08002B2CF9AE}" pid="41" name="LADocumentID:urn:contentItem:5TJN-T5C1-DYFH-X0W0-00000-00">
    <vt:lpwstr>Doc::/shared/document|contextualFeaturePermID::1521360</vt:lpwstr>
  </property>
  <property fmtid="{D5CDD505-2E9C-101B-9397-08002B2CF9AE}" pid="42" name="LADocumentID:urn:contentItem:5V6G-9PC1-FCK4-G128-00000-00">
    <vt:lpwstr>Doc::/shared/document|contextualFeaturePermID::1521360</vt:lpwstr>
  </property>
  <property fmtid="{D5CDD505-2E9C-101B-9397-08002B2CF9AE}" pid="43" name="LADocumentID:urn:contentItem:5V9F-R901-JJ6S-6006-00000-00">
    <vt:lpwstr>Doc::/shared/document|contextualFeaturePermID::1521360</vt:lpwstr>
  </property>
  <property fmtid="{D5CDD505-2E9C-101B-9397-08002B2CF9AE}" pid="44" name="LADocumentID:urn:contentItem:5VCM-BSN1-FG12-6065-00000-00">
    <vt:lpwstr>Doc::/shared/document|contextualFeaturePermID::1521360</vt:lpwstr>
  </property>
  <property fmtid="{D5CDD505-2E9C-101B-9397-08002B2CF9AE}" pid="45" name="LADocumentID:urn:contentItem:5VS1-S7S1-JWXF-24PX-00000-00">
    <vt:lpwstr>Doc::/shared/document|contextualFeaturePermID::1521360</vt:lpwstr>
  </property>
  <property fmtid="{D5CDD505-2E9C-101B-9397-08002B2CF9AE}" pid="46" name="LADocumentID:urn:contentItem:5VT4-BTP1-F65M-62P0-00000-00">
    <vt:lpwstr>Doc::/shared/document|contextualFeaturePermID::1521360</vt:lpwstr>
  </property>
  <property fmtid="{D5CDD505-2E9C-101B-9397-08002B2CF9AE}" pid="47" name="LADocumentID:urn:contentItem:5W7G-C2J1-F2MB-S002-00000-00">
    <vt:lpwstr>Doc::/shared/document|contextualFeaturePermID::1521360</vt:lpwstr>
  </property>
  <property fmtid="{D5CDD505-2E9C-101B-9397-08002B2CF9AE}" pid="48" name="LADocumentID:urn:contentItem:5W8B-CKT1-DYFH-X0RB-00000-00">
    <vt:lpwstr>Doc::/shared/document|contextualFeaturePermID::1521360</vt:lpwstr>
  </property>
  <property fmtid="{D5CDD505-2E9C-101B-9397-08002B2CF9AE}" pid="49" name="LADocumentID:urn:contentItem:5WDM-2YM1-JSXV-G2M2-00000-00">
    <vt:lpwstr>Doc::/shared/document|contextualFeaturePermID::1521360</vt:lpwstr>
  </property>
  <property fmtid="{D5CDD505-2E9C-101B-9397-08002B2CF9AE}" pid="50" name="LADocumentID:urn:contentItem:5WGX-W3V1-K0HK-24P8-00000-00">
    <vt:lpwstr>Doc::/shared/document|contextualFeaturePermID::1521360</vt:lpwstr>
  </property>
  <property fmtid="{D5CDD505-2E9C-101B-9397-08002B2CF9AE}" pid="51" name="LADocumentID:urn:contentItem:5WS0-D9F1-FJTD-G237-00000-00">
    <vt:lpwstr>Doc::/shared/document|contextualFeaturePermID::1521360</vt:lpwstr>
  </property>
  <property fmtid="{D5CDD505-2E9C-101B-9397-08002B2CF9AE}" pid="52" name="LADocumentID:urn:contentItem:5WS6-CW41-F5KY-B1C4-00000-00">
    <vt:lpwstr>Doc::/shared/document|contextualFeaturePermID::1521360</vt:lpwstr>
  </property>
  <property fmtid="{D5CDD505-2E9C-101B-9397-08002B2CF9AE}" pid="53" name="LADocumentID:urn:contentItem:5WW5-VMB1-JWR6-S2W9-00000-00">
    <vt:lpwstr>Doc::/shared/document|contextualFeaturePermID::1521360</vt:lpwstr>
  </property>
  <property fmtid="{D5CDD505-2E9C-101B-9397-08002B2CF9AE}" pid="54" name="UserPermID">
    <vt:lpwstr>urn:user:PA191081579</vt:lpwstr>
  </property>
</Properties>
</file>